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endnotes.xml" ContentType="application/vnd.openxmlformats-officedocument.wordprocessingml.endnotes+xml"/>
  <Override PartName="/word/footer5.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charts/chart2.xml" ContentType="application/vnd.openxmlformats-officedocument.drawingml.chart+xml"/>
  <Override PartName="/word/theme/theme1.xml" ContentType="application/vnd.openxmlformats-officedocument.theme+xml"/>
  <Override PartName="/word/charts/chart1.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26785D" w14:textId="77777777" w:rsidR="00544F78" w:rsidRPr="005B5602" w:rsidRDefault="00BD3162" w:rsidP="0009107D">
      <w:pPr>
        <w:ind w:left="720" w:firstLine="720"/>
        <w:rPr>
          <w:rFonts w:cs="Arial"/>
          <w:b/>
          <w:szCs w:val="22"/>
          <w:lang w:val="en-US"/>
        </w:rPr>
      </w:pPr>
      <w:bookmarkStart w:id="0" w:name="Annex1"/>
      <w:bookmarkStart w:id="1" w:name="_GoBack"/>
      <w:bookmarkEnd w:id="1"/>
      <w:r w:rsidRPr="005B5602">
        <w:rPr>
          <w:rFonts w:cs="Arial"/>
          <w:b/>
          <w:noProof/>
          <w:szCs w:val="22"/>
          <w:lang w:val="en-US"/>
        </w:rPr>
        <w:drawing>
          <wp:anchor distT="0" distB="0" distL="114300" distR="114300" simplePos="0" relativeHeight="251656704" behindDoc="1" locked="0" layoutInCell="1" allowOverlap="1" wp14:anchorId="7E3A25BA" wp14:editId="17C652B9">
            <wp:simplePos x="0" y="0"/>
            <wp:positionH relativeFrom="column">
              <wp:posOffset>1162050</wp:posOffset>
            </wp:positionH>
            <wp:positionV relativeFrom="paragraph">
              <wp:posOffset>-17145</wp:posOffset>
            </wp:positionV>
            <wp:extent cx="544830" cy="957580"/>
            <wp:effectExtent l="0" t="0" r="0" b="7620"/>
            <wp:wrapNone/>
            <wp:docPr id="407" name="Picture 407"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8" cstate="print"/>
                    <a:srcRect/>
                    <a:stretch>
                      <a:fillRect/>
                    </a:stretch>
                  </pic:blipFill>
                  <pic:spPr bwMode="auto">
                    <a:xfrm>
                      <a:off x="0" y="0"/>
                      <a:ext cx="544830" cy="957580"/>
                    </a:xfrm>
                    <a:prstGeom prst="rect">
                      <a:avLst/>
                    </a:prstGeom>
                    <a:noFill/>
                    <a:ln w="9525">
                      <a:noFill/>
                      <a:miter lim="800000"/>
                      <a:headEnd/>
                      <a:tailEnd/>
                    </a:ln>
                  </pic:spPr>
                </pic:pic>
              </a:graphicData>
            </a:graphic>
          </wp:anchor>
        </w:drawing>
      </w:r>
      <w:r w:rsidR="00B64A65">
        <w:rPr>
          <w:noProof/>
          <w:lang w:val="en-US"/>
        </w:rPr>
        <w:drawing>
          <wp:anchor distT="0" distB="0" distL="114300" distR="114300" simplePos="0" relativeHeight="251667968" behindDoc="0" locked="0" layoutInCell="1" allowOverlap="1" wp14:anchorId="2E604A51" wp14:editId="3F0FC75D">
            <wp:simplePos x="0" y="0"/>
            <wp:positionH relativeFrom="column">
              <wp:posOffset>2423160</wp:posOffset>
            </wp:positionH>
            <wp:positionV relativeFrom="paragraph">
              <wp:posOffset>-17145</wp:posOffset>
            </wp:positionV>
            <wp:extent cx="1046480" cy="1017905"/>
            <wp:effectExtent l="0" t="0" r="0" b="0"/>
            <wp:wrapSquare wrapText="bothSides"/>
            <wp:docPr id="95" name="Picture 95" descr="Kazakhstan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azakhstan_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46480" cy="1017905"/>
                    </a:xfrm>
                    <a:prstGeom prst="rect">
                      <a:avLst/>
                    </a:prstGeom>
                    <a:noFill/>
                    <a:ln>
                      <a:noFill/>
                    </a:ln>
                  </pic:spPr>
                </pic:pic>
              </a:graphicData>
            </a:graphic>
          </wp:anchor>
        </w:drawing>
      </w:r>
      <w:bookmarkStart w:id="2" w:name="_Ref249345587"/>
      <w:bookmarkEnd w:id="2"/>
      <w:r w:rsidR="0009107D" w:rsidRPr="005B5602">
        <w:rPr>
          <w:sz w:val="15"/>
          <w:szCs w:val="15"/>
          <w:lang w:val="en-US"/>
        </w:rPr>
        <w:tab/>
      </w:r>
      <w:r w:rsidR="0009107D" w:rsidRPr="005B5602">
        <w:rPr>
          <w:sz w:val="15"/>
          <w:szCs w:val="15"/>
          <w:lang w:val="en-US"/>
        </w:rPr>
        <w:tab/>
      </w:r>
      <w:r w:rsidR="0009107D" w:rsidRPr="005B5602">
        <w:rPr>
          <w:sz w:val="15"/>
          <w:szCs w:val="15"/>
          <w:lang w:val="en-US"/>
        </w:rPr>
        <w:tab/>
      </w:r>
      <w:r w:rsidRPr="00BD3162">
        <w:rPr>
          <w:noProof/>
          <w:sz w:val="15"/>
          <w:szCs w:val="15"/>
          <w:lang w:val="en-US"/>
        </w:rPr>
        <w:drawing>
          <wp:inline distT="0" distB="0" distL="0" distR="0" wp14:anchorId="5B600EA1" wp14:editId="0F1E1A25">
            <wp:extent cx="908050" cy="932419"/>
            <wp:effectExtent l="25400" t="0" r="6350" b="0"/>
            <wp:docPr id="2"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print"/>
                    <a:srcRect/>
                    <a:stretch>
                      <a:fillRect/>
                    </a:stretch>
                  </pic:blipFill>
                  <pic:spPr bwMode="auto">
                    <a:xfrm>
                      <a:off x="0" y="0"/>
                      <a:ext cx="907199" cy="931545"/>
                    </a:xfrm>
                    <a:prstGeom prst="rect">
                      <a:avLst/>
                    </a:prstGeom>
                    <a:noFill/>
                    <a:ln w="9525">
                      <a:noFill/>
                      <a:miter lim="800000"/>
                      <a:headEnd/>
                      <a:tailEnd/>
                    </a:ln>
                  </pic:spPr>
                </pic:pic>
              </a:graphicData>
            </a:graphic>
          </wp:inline>
        </w:drawing>
      </w:r>
    </w:p>
    <w:p w14:paraId="3AE4448D" w14:textId="77777777" w:rsidR="00544F78" w:rsidRPr="005B5602" w:rsidRDefault="00544F78" w:rsidP="00544F78">
      <w:pPr>
        <w:rPr>
          <w:rFonts w:cs="Arial"/>
          <w:b/>
          <w:szCs w:val="22"/>
          <w:lang w:val="en-US"/>
        </w:rPr>
      </w:pPr>
    </w:p>
    <w:bookmarkEnd w:id="0"/>
    <w:p w14:paraId="6226BAF9" w14:textId="77777777" w:rsidR="00544F78" w:rsidRPr="005B5602" w:rsidRDefault="00544F78" w:rsidP="00E1433A">
      <w:pPr>
        <w:jc w:val="center"/>
        <w:rPr>
          <w:rFonts w:cs="Arial"/>
          <w:b/>
          <w:szCs w:val="22"/>
          <w:lang w:val="en-US"/>
        </w:rPr>
      </w:pPr>
    </w:p>
    <w:p w14:paraId="02DFD5ED" w14:textId="77777777" w:rsidR="00E1433A" w:rsidRPr="005B5602" w:rsidRDefault="00E1433A" w:rsidP="00E1433A">
      <w:pPr>
        <w:jc w:val="center"/>
        <w:rPr>
          <w:rFonts w:cs="Arial"/>
          <w:b/>
          <w:szCs w:val="22"/>
          <w:lang w:val="en-US"/>
        </w:rPr>
      </w:pPr>
      <w:r w:rsidRPr="005B5602">
        <w:rPr>
          <w:rFonts w:cs="Arial"/>
          <w:b/>
          <w:szCs w:val="22"/>
          <w:lang w:val="en-US"/>
        </w:rPr>
        <w:t>United Nations Development Programme</w:t>
      </w:r>
    </w:p>
    <w:p w14:paraId="601E950D" w14:textId="77777777" w:rsidR="00E1433A" w:rsidRPr="005B5602" w:rsidRDefault="00BE1FA1" w:rsidP="00E1433A">
      <w:pPr>
        <w:jc w:val="center"/>
        <w:rPr>
          <w:rFonts w:cs="Arial"/>
          <w:b/>
          <w:sz w:val="20"/>
          <w:szCs w:val="20"/>
          <w:lang w:val="en-US"/>
        </w:rPr>
      </w:pPr>
      <w:r w:rsidRPr="005B5602">
        <w:rPr>
          <w:rFonts w:cs="Arial"/>
          <w:b/>
          <w:sz w:val="20"/>
          <w:szCs w:val="20"/>
          <w:lang w:val="en-US"/>
        </w:rPr>
        <w:t>Country: Kazakhstan</w:t>
      </w:r>
    </w:p>
    <w:p w14:paraId="1048F728" w14:textId="41572346" w:rsidR="002E4970" w:rsidRDefault="00E1433A" w:rsidP="00E1433A">
      <w:pPr>
        <w:jc w:val="center"/>
        <w:rPr>
          <w:rFonts w:cs="Arial"/>
          <w:b/>
          <w:sz w:val="20"/>
          <w:szCs w:val="20"/>
          <w:lang w:val="en-US"/>
        </w:rPr>
      </w:pPr>
      <w:r w:rsidRPr="005B5602">
        <w:rPr>
          <w:rFonts w:cs="Arial"/>
          <w:b/>
          <w:sz w:val="20"/>
          <w:szCs w:val="20"/>
          <w:lang w:val="en-US"/>
        </w:rPr>
        <w:t>PROJECT DOCUMENT</w:t>
      </w:r>
    </w:p>
    <w:p w14:paraId="6DED325E" w14:textId="77777777" w:rsidR="00AA5BF6" w:rsidRDefault="00AA5BF6" w:rsidP="00E1433A">
      <w:pPr>
        <w:jc w:val="center"/>
        <w:rPr>
          <w:rFonts w:cs="Arial"/>
          <w:b/>
          <w:sz w:val="20"/>
          <w:szCs w:val="20"/>
          <w:lang w:val="en-US"/>
        </w:rPr>
      </w:pPr>
    </w:p>
    <w:p w14:paraId="3FB2229B" w14:textId="77777777" w:rsidR="00AA5BF6" w:rsidRDefault="00AA5BF6" w:rsidP="00E1433A">
      <w:pPr>
        <w:jc w:val="center"/>
        <w:rPr>
          <w:rFonts w:cs="Arial"/>
          <w:b/>
          <w:sz w:val="20"/>
          <w:szCs w:val="20"/>
          <w:lang w:val="en-US"/>
        </w:rPr>
      </w:pPr>
    </w:p>
    <w:p w14:paraId="2FE661B6" w14:textId="77777777" w:rsidR="00AA5BF6" w:rsidRPr="005B5602" w:rsidRDefault="00AA5BF6" w:rsidP="00E1433A">
      <w:pPr>
        <w:jc w:val="center"/>
        <w:rPr>
          <w:rFonts w:cs="Arial"/>
          <w:b/>
          <w:sz w:val="20"/>
          <w:szCs w:val="20"/>
          <w:lang w:val="en-US"/>
        </w:rPr>
      </w:pPr>
    </w:p>
    <w:p w14:paraId="5A3E856F" w14:textId="77777777" w:rsidR="00E1433A" w:rsidRPr="005B5602" w:rsidRDefault="00E1433A" w:rsidP="00E1433A">
      <w:pPr>
        <w:jc w:val="center"/>
        <w:rPr>
          <w:rFonts w:cs="Arial"/>
          <w:b/>
          <w:sz w:val="20"/>
          <w:szCs w:val="20"/>
          <w:lang w:val="en-US"/>
        </w:rPr>
      </w:pPr>
    </w:p>
    <w:tbl>
      <w:tblPr>
        <w:tblW w:w="9540" w:type="dxa"/>
        <w:tblInd w:w="108" w:type="dxa"/>
        <w:tblLayout w:type="fixed"/>
        <w:tblLook w:val="01E0" w:firstRow="1" w:lastRow="1" w:firstColumn="1" w:lastColumn="1" w:noHBand="0" w:noVBand="0"/>
      </w:tblPr>
      <w:tblGrid>
        <w:gridCol w:w="9214"/>
        <w:gridCol w:w="56"/>
        <w:gridCol w:w="34"/>
        <w:gridCol w:w="236"/>
      </w:tblGrid>
      <w:tr w:rsidR="00E1433A" w:rsidRPr="005B5602" w14:paraId="02630EBF" w14:textId="77777777">
        <w:trPr>
          <w:trHeight w:val="359"/>
        </w:trPr>
        <w:tc>
          <w:tcPr>
            <w:tcW w:w="9304" w:type="dxa"/>
            <w:gridSpan w:val="3"/>
            <w:vAlign w:val="center"/>
          </w:tcPr>
          <w:p w14:paraId="2B91CD3D" w14:textId="77777777" w:rsidR="00E1433A" w:rsidRPr="00AA5BF6" w:rsidRDefault="00E1433A" w:rsidP="00AA5BF6">
            <w:pPr>
              <w:tabs>
                <w:tab w:val="left" w:pos="4680"/>
              </w:tabs>
              <w:spacing w:before="60" w:after="120"/>
              <w:jc w:val="left"/>
              <w:rPr>
                <w:rFonts w:cs="Arial"/>
                <w:b/>
                <w:bCs/>
                <w:szCs w:val="22"/>
                <w:lang w:val="en-US"/>
              </w:rPr>
            </w:pPr>
            <w:r w:rsidRPr="00AA5BF6">
              <w:rPr>
                <w:rFonts w:cs="Arial"/>
                <w:b/>
                <w:bCs/>
                <w:szCs w:val="22"/>
                <w:lang w:val="en-US"/>
              </w:rPr>
              <w:t>Project Title:</w:t>
            </w:r>
            <w:r w:rsidR="00BE1FA1" w:rsidRPr="00AA5BF6">
              <w:rPr>
                <w:rFonts w:cs="Arial"/>
                <w:b/>
                <w:bCs/>
                <w:szCs w:val="22"/>
                <w:lang w:val="en-US"/>
              </w:rPr>
              <w:t xml:space="preserve"> </w:t>
            </w:r>
            <w:r w:rsidR="00BE1FA1" w:rsidRPr="00AA5BF6">
              <w:rPr>
                <w:szCs w:val="22"/>
                <w:lang w:val="en-US"/>
              </w:rPr>
              <w:t>Nationally Appropriate Mitigation Actions for Low-carbon Urban Development</w:t>
            </w:r>
          </w:p>
        </w:tc>
        <w:tc>
          <w:tcPr>
            <w:tcW w:w="236" w:type="dxa"/>
            <w:vAlign w:val="center"/>
          </w:tcPr>
          <w:p w14:paraId="137B75CE" w14:textId="77777777" w:rsidR="00E1433A" w:rsidRPr="005B5602" w:rsidRDefault="00E1433A" w:rsidP="005751FA">
            <w:pPr>
              <w:tabs>
                <w:tab w:val="left" w:pos="4680"/>
              </w:tabs>
              <w:jc w:val="left"/>
              <w:rPr>
                <w:rFonts w:cs="Arial"/>
                <w:sz w:val="20"/>
                <w:szCs w:val="20"/>
                <w:shd w:val="clear" w:color="auto" w:fill="E0E0E0"/>
                <w:lang w:val="en-US"/>
              </w:rPr>
            </w:pPr>
          </w:p>
        </w:tc>
      </w:tr>
      <w:tr w:rsidR="00E1433A" w:rsidRPr="005B5602" w14:paraId="2AF416CC" w14:textId="77777777">
        <w:trPr>
          <w:trHeight w:val="359"/>
        </w:trPr>
        <w:tc>
          <w:tcPr>
            <w:tcW w:w="9304" w:type="dxa"/>
            <w:gridSpan w:val="3"/>
            <w:vAlign w:val="center"/>
          </w:tcPr>
          <w:p w14:paraId="2D395DA0" w14:textId="77777777" w:rsidR="00E1433A" w:rsidRPr="00AA5BF6" w:rsidRDefault="00E1433A" w:rsidP="00AA5BF6">
            <w:pPr>
              <w:tabs>
                <w:tab w:val="left" w:pos="4680"/>
              </w:tabs>
              <w:spacing w:before="60" w:after="120"/>
              <w:jc w:val="left"/>
              <w:rPr>
                <w:rFonts w:cs="Arial"/>
                <w:szCs w:val="22"/>
                <w:lang w:val="en-US"/>
              </w:rPr>
            </w:pPr>
            <w:r w:rsidRPr="00AA5BF6">
              <w:rPr>
                <w:rFonts w:cs="Arial"/>
                <w:b/>
                <w:bCs/>
                <w:szCs w:val="22"/>
                <w:lang w:val="en-US"/>
              </w:rPr>
              <w:t>UNDAF Outcome(s):</w:t>
            </w:r>
            <w:r w:rsidR="00BE1FA1" w:rsidRPr="00AA5BF6">
              <w:rPr>
                <w:rFonts w:cs="Arial"/>
                <w:b/>
                <w:bCs/>
                <w:szCs w:val="22"/>
                <w:lang w:val="en-US"/>
              </w:rPr>
              <w:t xml:space="preserve"> </w:t>
            </w:r>
            <w:r w:rsidR="00BE1FA1" w:rsidRPr="00AA5BF6">
              <w:rPr>
                <w:rFonts w:cs="Arial"/>
                <w:bCs/>
                <w:szCs w:val="22"/>
                <w:lang w:val="en-US"/>
              </w:rPr>
              <w:t>Environmental Sustainability.  By 2015, communities, national and local authorities use more effective mechanisms and partnerships that promote environmental sustainability and enable them to prepare, respond and recover from natural and man-made disasters.</w:t>
            </w:r>
          </w:p>
        </w:tc>
        <w:tc>
          <w:tcPr>
            <w:tcW w:w="236" w:type="dxa"/>
            <w:vAlign w:val="center"/>
          </w:tcPr>
          <w:p w14:paraId="0CC98B5D" w14:textId="77777777" w:rsidR="00E1433A" w:rsidRPr="005B5602" w:rsidRDefault="00E1433A" w:rsidP="005751FA">
            <w:pPr>
              <w:tabs>
                <w:tab w:val="left" w:pos="4680"/>
              </w:tabs>
              <w:jc w:val="left"/>
              <w:rPr>
                <w:rFonts w:cs="Arial"/>
                <w:sz w:val="20"/>
                <w:szCs w:val="20"/>
                <w:shd w:val="clear" w:color="auto" w:fill="E0E0E0"/>
                <w:lang w:val="en-US"/>
              </w:rPr>
            </w:pPr>
          </w:p>
        </w:tc>
      </w:tr>
      <w:tr w:rsidR="00E1433A" w:rsidRPr="005B5602" w14:paraId="272C84F1" w14:textId="77777777">
        <w:tc>
          <w:tcPr>
            <w:tcW w:w="9540" w:type="dxa"/>
            <w:gridSpan w:val="4"/>
            <w:vAlign w:val="center"/>
          </w:tcPr>
          <w:p w14:paraId="711B69CC" w14:textId="77777777" w:rsidR="008169C0" w:rsidRPr="00AA5BF6" w:rsidRDefault="00E1433A" w:rsidP="00AA5BF6">
            <w:pPr>
              <w:tabs>
                <w:tab w:val="left" w:pos="4680"/>
              </w:tabs>
              <w:spacing w:before="60" w:after="120"/>
              <w:jc w:val="left"/>
              <w:rPr>
                <w:rFonts w:cs="Arial"/>
                <w:b/>
                <w:bCs/>
                <w:szCs w:val="22"/>
                <w:lang w:val="en-US"/>
              </w:rPr>
            </w:pPr>
            <w:r w:rsidRPr="00AA5BF6">
              <w:rPr>
                <w:rFonts w:cs="Arial"/>
                <w:b/>
                <w:bCs/>
                <w:szCs w:val="22"/>
                <w:lang w:val="en-US"/>
              </w:rPr>
              <w:t xml:space="preserve">UNDP Strategic Plan </w:t>
            </w:r>
            <w:r w:rsidRPr="00AA5BF6">
              <w:rPr>
                <w:rFonts w:cs="Arial"/>
                <w:b/>
                <w:bCs/>
                <w:szCs w:val="22"/>
                <w:u w:val="single"/>
                <w:lang w:val="en-US"/>
              </w:rPr>
              <w:t>Primary</w:t>
            </w:r>
            <w:r w:rsidRPr="00AA5BF6">
              <w:rPr>
                <w:rFonts w:cs="Arial"/>
                <w:b/>
                <w:bCs/>
                <w:szCs w:val="22"/>
                <w:lang w:val="en-US"/>
              </w:rPr>
              <w:t xml:space="preserve"> Outcome:</w:t>
            </w:r>
            <w:r w:rsidR="008169C0" w:rsidRPr="00AA5BF6">
              <w:rPr>
                <w:rFonts w:cs="Arial"/>
                <w:b/>
                <w:bCs/>
                <w:szCs w:val="22"/>
                <w:lang w:val="en-US"/>
              </w:rPr>
              <w:t xml:space="preserve"> </w:t>
            </w:r>
          </w:p>
          <w:p w14:paraId="43B6A135" w14:textId="77777777" w:rsidR="00E1433A" w:rsidRPr="00AA5BF6" w:rsidRDefault="00BD3162" w:rsidP="00AA5BF6">
            <w:pPr>
              <w:tabs>
                <w:tab w:val="left" w:pos="4680"/>
              </w:tabs>
              <w:spacing w:before="60" w:after="120"/>
              <w:jc w:val="left"/>
              <w:rPr>
                <w:rFonts w:cs="Arial"/>
                <w:bCs/>
                <w:szCs w:val="22"/>
                <w:lang w:val="en-US"/>
              </w:rPr>
            </w:pPr>
            <w:r w:rsidRPr="00AA5BF6">
              <w:rPr>
                <w:rFonts w:cs="Arial"/>
                <w:bCs/>
                <w:szCs w:val="22"/>
                <w:lang w:val="en-US"/>
              </w:rPr>
              <w:t>Outcome 1: Growth and development are inclusive and sustainable, incorporating productive capacities that create employment and livelihoods for the poor and excluded</w:t>
            </w:r>
          </w:p>
          <w:p w14:paraId="50534FE3" w14:textId="77777777" w:rsidR="00E1433A" w:rsidRPr="00AA5BF6" w:rsidRDefault="00BD3162" w:rsidP="00AA5BF6">
            <w:pPr>
              <w:tabs>
                <w:tab w:val="left" w:pos="4680"/>
              </w:tabs>
              <w:spacing w:before="60" w:after="120"/>
              <w:jc w:val="left"/>
              <w:rPr>
                <w:rFonts w:cs="Arial"/>
                <w:szCs w:val="22"/>
                <w:shd w:val="clear" w:color="auto" w:fill="E0E0E0"/>
                <w:lang w:val="en-US"/>
              </w:rPr>
            </w:pPr>
            <w:r w:rsidRPr="00AA5BF6">
              <w:rPr>
                <w:rFonts w:cs="Arial"/>
                <w:bCs/>
                <w:szCs w:val="22"/>
                <w:lang w:val="en-US"/>
              </w:rPr>
              <w:t>Output 1.4. Scaled up action on climate change adaptation and mitigation across sectors which is funded and implemented</w:t>
            </w:r>
            <w:r w:rsidRPr="00AA5BF6" w:rsidDel="00BD3162">
              <w:rPr>
                <w:rFonts w:cs="Arial"/>
                <w:b/>
                <w:bCs/>
                <w:szCs w:val="22"/>
                <w:lang w:val="en-US"/>
              </w:rPr>
              <w:t xml:space="preserve"> </w:t>
            </w:r>
          </w:p>
        </w:tc>
      </w:tr>
      <w:tr w:rsidR="00E1433A" w:rsidRPr="005B5602" w14:paraId="5AE8F928" w14:textId="77777777">
        <w:tc>
          <w:tcPr>
            <w:tcW w:w="9540" w:type="dxa"/>
            <w:gridSpan w:val="4"/>
            <w:vAlign w:val="center"/>
          </w:tcPr>
          <w:p w14:paraId="71F4E458" w14:textId="77777777" w:rsidR="00E1433A" w:rsidRPr="00AA5BF6" w:rsidRDefault="00E1433A" w:rsidP="00AA5BF6">
            <w:pPr>
              <w:tabs>
                <w:tab w:val="left" w:pos="4680"/>
              </w:tabs>
              <w:spacing w:before="60" w:after="120"/>
              <w:jc w:val="left"/>
              <w:rPr>
                <w:iCs/>
                <w:szCs w:val="22"/>
                <w:lang w:val="en-US"/>
              </w:rPr>
            </w:pPr>
            <w:r w:rsidRPr="00AA5BF6">
              <w:rPr>
                <w:rFonts w:cs="Arial"/>
                <w:b/>
                <w:bCs/>
                <w:szCs w:val="22"/>
                <w:lang w:val="en-US"/>
              </w:rPr>
              <w:t>Expected CP Outcome(s):</w:t>
            </w:r>
            <w:r w:rsidRPr="00AA5BF6">
              <w:rPr>
                <w:iCs/>
                <w:szCs w:val="22"/>
                <w:lang w:val="en-US"/>
              </w:rPr>
              <w:t xml:space="preserve"> </w:t>
            </w:r>
            <w:r w:rsidR="00BE1FA1" w:rsidRPr="00AA5BF6">
              <w:rPr>
                <w:iCs/>
                <w:szCs w:val="22"/>
                <w:lang w:val="en-US"/>
              </w:rPr>
              <w:t xml:space="preserve">The Government, industries and civil society take steps to adapt to climate change and mitigate its impact through energy efficiency measures and climate change adaptation policies. </w:t>
            </w:r>
          </w:p>
        </w:tc>
      </w:tr>
      <w:tr w:rsidR="00E1433A" w:rsidRPr="005B5602" w14:paraId="6542817E" w14:textId="77777777">
        <w:tc>
          <w:tcPr>
            <w:tcW w:w="9540" w:type="dxa"/>
            <w:gridSpan w:val="4"/>
            <w:vAlign w:val="center"/>
          </w:tcPr>
          <w:p w14:paraId="36AB50AB" w14:textId="77777777" w:rsidR="00E61BB0" w:rsidRPr="00AA5BF6" w:rsidRDefault="00E61BB0" w:rsidP="00AA5BF6">
            <w:pPr>
              <w:tabs>
                <w:tab w:val="left" w:pos="4680"/>
              </w:tabs>
              <w:spacing w:before="60" w:after="120"/>
              <w:jc w:val="left"/>
              <w:rPr>
                <w:rFonts w:cs="Arial"/>
                <w:b/>
                <w:szCs w:val="22"/>
                <w:shd w:val="clear" w:color="auto" w:fill="E0E0E0"/>
                <w:lang w:val="en-US"/>
              </w:rPr>
            </w:pPr>
            <w:r w:rsidRPr="00AA5BF6">
              <w:rPr>
                <w:rFonts w:cs="Arial"/>
                <w:b/>
                <w:bCs/>
                <w:szCs w:val="22"/>
                <w:lang w:val="en-US"/>
              </w:rPr>
              <w:t>Expected CPAP Output (s)</w:t>
            </w:r>
            <w:r w:rsidR="00BE1FA1" w:rsidRPr="00AA5BF6">
              <w:rPr>
                <w:rFonts w:cs="Arial"/>
                <w:b/>
                <w:bCs/>
                <w:szCs w:val="22"/>
                <w:lang w:val="en-US"/>
              </w:rPr>
              <w:t>:</w:t>
            </w:r>
            <w:r w:rsidRPr="00AA5BF6">
              <w:rPr>
                <w:iCs/>
                <w:szCs w:val="22"/>
                <w:lang w:val="en-US"/>
              </w:rPr>
              <w:t xml:space="preserve"> </w:t>
            </w:r>
            <w:r w:rsidR="00BE1FA1" w:rsidRPr="00AA5BF6">
              <w:rPr>
                <w:iCs/>
                <w:szCs w:val="22"/>
                <w:lang w:val="en-US"/>
              </w:rPr>
              <w:t>Government and energy consumers are better equipped with knowledge, policies and pilot cases on energy efficiency in sectors with high carbon dioxide emission levels.</w:t>
            </w:r>
          </w:p>
        </w:tc>
      </w:tr>
      <w:tr w:rsidR="00E1433A" w:rsidRPr="005B5602" w14:paraId="1554B67F" w14:textId="77777777" w:rsidTr="00D33405">
        <w:tc>
          <w:tcPr>
            <w:tcW w:w="9214" w:type="dxa"/>
            <w:shd w:val="clear" w:color="auto" w:fill="FFFFFF"/>
            <w:vAlign w:val="center"/>
          </w:tcPr>
          <w:p w14:paraId="436EA2A7" w14:textId="77777777" w:rsidR="00E1433A" w:rsidRPr="00AA5BF6" w:rsidRDefault="00E1433A" w:rsidP="00AA5BF6">
            <w:pPr>
              <w:tabs>
                <w:tab w:val="left" w:pos="4680"/>
              </w:tabs>
              <w:spacing w:before="60" w:after="120"/>
              <w:jc w:val="left"/>
              <w:rPr>
                <w:rFonts w:cs="Arial"/>
                <w:b/>
                <w:szCs w:val="22"/>
                <w:shd w:val="clear" w:color="auto" w:fill="E0E0E0"/>
                <w:lang w:val="en-US"/>
              </w:rPr>
            </w:pPr>
            <w:r w:rsidRPr="00AA5BF6">
              <w:rPr>
                <w:rFonts w:cs="Arial"/>
                <w:b/>
                <w:bCs/>
                <w:szCs w:val="22"/>
                <w:lang w:val="en-US"/>
              </w:rPr>
              <w:t>Executing Entity</w:t>
            </w:r>
            <w:r w:rsidR="00E61BB0" w:rsidRPr="00AA5BF6">
              <w:rPr>
                <w:rFonts w:cs="Arial"/>
                <w:b/>
                <w:bCs/>
                <w:szCs w:val="22"/>
                <w:lang w:val="en-US"/>
              </w:rPr>
              <w:t>/Implemen</w:t>
            </w:r>
            <w:r w:rsidRPr="00AA5BF6">
              <w:rPr>
                <w:rFonts w:cs="Arial"/>
                <w:b/>
                <w:bCs/>
                <w:szCs w:val="22"/>
                <w:lang w:val="en-US"/>
              </w:rPr>
              <w:t>ting Partner:</w:t>
            </w:r>
            <w:r w:rsidR="005B5602" w:rsidRPr="00AA5BF6">
              <w:rPr>
                <w:rFonts w:cs="Arial"/>
                <w:b/>
                <w:szCs w:val="22"/>
                <w:shd w:val="clear" w:color="auto" w:fill="E0E0E0"/>
                <w:lang w:val="en-US"/>
              </w:rPr>
              <w:t xml:space="preserve"> </w:t>
            </w:r>
            <w:r w:rsidR="00BE1FA1" w:rsidRPr="00AA5BF6">
              <w:rPr>
                <w:iCs/>
                <w:szCs w:val="22"/>
                <w:lang w:val="en-US"/>
              </w:rPr>
              <w:t>National Agency for Construction and Housing &amp; Communal Affairs</w:t>
            </w:r>
          </w:p>
        </w:tc>
        <w:tc>
          <w:tcPr>
            <w:tcW w:w="326" w:type="dxa"/>
            <w:gridSpan w:val="3"/>
            <w:shd w:val="clear" w:color="auto" w:fill="FFFFFF"/>
            <w:vAlign w:val="center"/>
          </w:tcPr>
          <w:p w14:paraId="0662BF62" w14:textId="77777777" w:rsidR="00E1433A" w:rsidRPr="00AA5BF6" w:rsidRDefault="00E1433A" w:rsidP="00AA5BF6">
            <w:pPr>
              <w:tabs>
                <w:tab w:val="left" w:pos="4680"/>
              </w:tabs>
              <w:spacing w:before="60" w:after="120"/>
              <w:jc w:val="left"/>
              <w:rPr>
                <w:rFonts w:cs="Arial"/>
                <w:b/>
                <w:szCs w:val="22"/>
                <w:shd w:val="clear" w:color="auto" w:fill="E0E0E0"/>
                <w:lang w:val="en-US"/>
              </w:rPr>
            </w:pPr>
          </w:p>
        </w:tc>
      </w:tr>
      <w:tr w:rsidR="00E1433A" w:rsidRPr="005B5602" w14:paraId="2F1612E0" w14:textId="77777777">
        <w:tc>
          <w:tcPr>
            <w:tcW w:w="9270" w:type="dxa"/>
            <w:gridSpan w:val="2"/>
          </w:tcPr>
          <w:p w14:paraId="6DE9D9D6" w14:textId="77777777" w:rsidR="00E1433A" w:rsidRPr="00AA5BF6" w:rsidRDefault="00E1433A" w:rsidP="00AA5BF6">
            <w:pPr>
              <w:tabs>
                <w:tab w:val="left" w:pos="4680"/>
              </w:tabs>
              <w:spacing w:before="60" w:after="120"/>
              <w:jc w:val="left"/>
              <w:rPr>
                <w:iCs/>
                <w:szCs w:val="22"/>
                <w:lang w:val="en-US"/>
              </w:rPr>
            </w:pPr>
            <w:r w:rsidRPr="00AA5BF6">
              <w:rPr>
                <w:rFonts w:cs="Arial"/>
                <w:b/>
                <w:bCs/>
                <w:szCs w:val="22"/>
                <w:lang w:val="en-US"/>
              </w:rPr>
              <w:t xml:space="preserve">Implementing </w:t>
            </w:r>
            <w:r w:rsidR="00320044" w:rsidRPr="00AA5BF6">
              <w:rPr>
                <w:rFonts w:cs="Arial"/>
                <w:b/>
                <w:bCs/>
                <w:szCs w:val="22"/>
                <w:lang w:val="en-US"/>
              </w:rPr>
              <w:t>Entity</w:t>
            </w:r>
            <w:r w:rsidR="00E61BB0" w:rsidRPr="00AA5BF6">
              <w:rPr>
                <w:rFonts w:cs="Arial"/>
                <w:b/>
                <w:bCs/>
                <w:szCs w:val="22"/>
                <w:lang w:val="en-US"/>
              </w:rPr>
              <w:t>/</w:t>
            </w:r>
            <w:r w:rsidRPr="00AA5BF6">
              <w:rPr>
                <w:rFonts w:cs="Arial"/>
                <w:b/>
                <w:bCs/>
                <w:szCs w:val="22"/>
                <w:lang w:val="en-US"/>
              </w:rPr>
              <w:t>Responsible Partners:</w:t>
            </w:r>
            <w:r w:rsidR="00BE1FA1" w:rsidRPr="00AA5BF6">
              <w:rPr>
                <w:rFonts w:cs="Arial"/>
                <w:b/>
                <w:bCs/>
                <w:szCs w:val="22"/>
                <w:lang w:val="en-US"/>
              </w:rPr>
              <w:t xml:space="preserve"> </w:t>
            </w:r>
            <w:r w:rsidR="00A337D0" w:rsidRPr="00AA5BF6">
              <w:rPr>
                <w:rFonts w:cs="Arial"/>
                <w:bCs/>
                <w:szCs w:val="22"/>
                <w:lang w:val="en-US"/>
              </w:rPr>
              <w:t>Ministry of Regional Development,</w:t>
            </w:r>
            <w:r w:rsidR="00A337D0" w:rsidRPr="00AA5BF6">
              <w:rPr>
                <w:rFonts w:cs="Arial"/>
                <w:b/>
                <w:bCs/>
                <w:szCs w:val="22"/>
                <w:lang w:val="en-US"/>
              </w:rPr>
              <w:t xml:space="preserve"> </w:t>
            </w:r>
            <w:r w:rsidR="00BE1FA1" w:rsidRPr="00AA5BF6">
              <w:rPr>
                <w:iCs/>
                <w:szCs w:val="22"/>
                <w:lang w:val="en-US"/>
              </w:rPr>
              <w:t xml:space="preserve">Ministry of Environment Protection, </w:t>
            </w:r>
            <w:r w:rsidR="00A337D0" w:rsidRPr="00AA5BF6">
              <w:rPr>
                <w:iCs/>
                <w:szCs w:val="22"/>
                <w:lang w:val="en-US"/>
              </w:rPr>
              <w:t xml:space="preserve">City </w:t>
            </w:r>
            <w:r w:rsidR="00E30D71" w:rsidRPr="00AA5BF6">
              <w:rPr>
                <w:iCs/>
                <w:szCs w:val="22"/>
                <w:lang w:val="en-US"/>
              </w:rPr>
              <w:t xml:space="preserve">Municipal </w:t>
            </w:r>
            <w:r w:rsidR="00A337D0" w:rsidRPr="00AA5BF6">
              <w:rPr>
                <w:iCs/>
                <w:szCs w:val="22"/>
                <w:lang w:val="en-US"/>
              </w:rPr>
              <w:t>Administrations (Akimats)</w:t>
            </w:r>
          </w:p>
          <w:p w14:paraId="000F8FE5" w14:textId="77777777" w:rsidR="00E30D71" w:rsidRPr="00AA5BF6" w:rsidRDefault="00E30D71" w:rsidP="00AA5BF6">
            <w:pPr>
              <w:tabs>
                <w:tab w:val="left" w:pos="4680"/>
              </w:tabs>
              <w:spacing w:before="60" w:after="120"/>
              <w:jc w:val="left"/>
              <w:rPr>
                <w:rFonts w:cs="Arial"/>
                <w:b/>
                <w:bCs/>
                <w:szCs w:val="22"/>
                <w:lang w:val="en-US"/>
              </w:rPr>
            </w:pPr>
          </w:p>
        </w:tc>
        <w:tc>
          <w:tcPr>
            <w:tcW w:w="270" w:type="dxa"/>
            <w:gridSpan w:val="2"/>
            <w:vAlign w:val="center"/>
          </w:tcPr>
          <w:p w14:paraId="700FF425" w14:textId="77777777" w:rsidR="00E1433A" w:rsidRPr="00AA5BF6" w:rsidRDefault="00E1433A" w:rsidP="00AA5BF6">
            <w:pPr>
              <w:tabs>
                <w:tab w:val="left" w:pos="4680"/>
              </w:tabs>
              <w:spacing w:before="60" w:after="120"/>
              <w:jc w:val="left"/>
              <w:rPr>
                <w:rFonts w:cs="Arial"/>
                <w:szCs w:val="22"/>
                <w:shd w:val="clear" w:color="auto" w:fill="E0E0E0"/>
                <w:lang w:val="en-US"/>
              </w:rPr>
            </w:pPr>
          </w:p>
        </w:tc>
      </w:tr>
    </w:tbl>
    <w:p w14:paraId="7CDEDDFC" w14:textId="77777777" w:rsidR="00E30D71" w:rsidRDefault="008276A4" w:rsidP="00E1433A">
      <w:pPr>
        <w:tabs>
          <w:tab w:val="left" w:pos="4680"/>
        </w:tabs>
        <w:rPr>
          <w:rFonts w:cs="Arial"/>
          <w:noProof/>
          <w:sz w:val="20"/>
          <w:szCs w:val="20"/>
          <w:lang w:eastAsia="en-GB"/>
        </w:rPr>
      </w:pPr>
      <w:r>
        <w:rPr>
          <w:rFonts w:cs="Arial"/>
          <w:noProof/>
          <w:sz w:val="20"/>
          <w:szCs w:val="20"/>
          <w:lang w:val="en-US"/>
        </w:rPr>
        <w:lastRenderedPageBreak/>
        <mc:AlternateContent>
          <mc:Choice Requires="wps">
            <w:drawing>
              <wp:inline distT="0" distB="0" distL="0" distR="0" wp14:anchorId="10DDC740" wp14:editId="718BA192">
                <wp:extent cx="6057900" cy="3767959"/>
                <wp:effectExtent l="0" t="0" r="19050" b="23495"/>
                <wp:docPr id="454"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3767959"/>
                        </a:xfrm>
                        <a:prstGeom prst="rect">
                          <a:avLst/>
                        </a:prstGeom>
                        <a:solidFill>
                          <a:srgbClr val="FFFFFF"/>
                        </a:solidFill>
                        <a:ln w="9525">
                          <a:solidFill>
                            <a:srgbClr val="000000"/>
                          </a:solidFill>
                          <a:miter lim="800000"/>
                          <a:headEnd/>
                          <a:tailEnd/>
                        </a:ln>
                      </wps:spPr>
                      <wps:txbx>
                        <w:txbxContent>
                          <w:p w14:paraId="68A98D49" w14:textId="77777777" w:rsidR="00BA2E09" w:rsidRDefault="00BA2E09" w:rsidP="00AA5BF6">
                            <w:pPr>
                              <w:spacing w:after="0"/>
                              <w:jc w:val="center"/>
                              <w:rPr>
                                <w:b/>
                                <w:bCs/>
                                <w:sz w:val="20"/>
                              </w:rPr>
                            </w:pPr>
                            <w:r w:rsidRPr="00E30D71">
                              <w:rPr>
                                <w:b/>
                                <w:bCs/>
                                <w:sz w:val="20"/>
                              </w:rPr>
                              <w:t>Brief Description</w:t>
                            </w:r>
                          </w:p>
                          <w:p w14:paraId="3932F719" w14:textId="77777777" w:rsidR="00BA2E09" w:rsidRPr="00E30D71" w:rsidRDefault="00BA2E09" w:rsidP="00AA5BF6">
                            <w:pPr>
                              <w:spacing w:after="0"/>
                              <w:jc w:val="center"/>
                              <w:rPr>
                                <w:b/>
                                <w:bCs/>
                                <w:sz w:val="20"/>
                              </w:rPr>
                            </w:pPr>
                          </w:p>
                          <w:p w14:paraId="4B9E1F02" w14:textId="77777777" w:rsidR="00BA2E09" w:rsidRDefault="00BA2E09" w:rsidP="00AA5BF6">
                            <w:pPr>
                              <w:widowControl w:val="0"/>
                              <w:autoSpaceDE w:val="0"/>
                              <w:autoSpaceDN w:val="0"/>
                              <w:adjustRightInd w:val="0"/>
                              <w:spacing w:after="0"/>
                              <w:rPr>
                                <w:rFonts w:cs="Arial"/>
                                <w:sz w:val="20"/>
                                <w:szCs w:val="22"/>
                              </w:rPr>
                            </w:pPr>
                            <w:r w:rsidRPr="00E30D71">
                              <w:rPr>
                                <w:rFonts w:eastAsia="MS Mincho"/>
                                <w:sz w:val="20"/>
                                <w:szCs w:val="22"/>
                              </w:rPr>
                              <w:t xml:space="preserve">The Project supports the identification, design, and implementation of Nationally Appropriate </w:t>
                            </w:r>
                            <w:r w:rsidRPr="00B64A65">
                              <w:rPr>
                                <w:rFonts w:eastAsia="MS Mincho" w:cs="Arial"/>
                                <w:sz w:val="20"/>
                                <w:szCs w:val="22"/>
                              </w:rPr>
                              <w:t>Mitigation Actions (NAMAs)</w:t>
                            </w:r>
                            <w:r>
                              <w:rPr>
                                <w:rFonts w:eastAsia="MS Mincho" w:cs="Arial"/>
                                <w:sz w:val="20"/>
                                <w:szCs w:val="22"/>
                              </w:rPr>
                              <w:t xml:space="preserve"> </w:t>
                            </w:r>
                            <w:r w:rsidRPr="00B64A65">
                              <w:rPr>
                                <w:rFonts w:eastAsia="MS Mincho" w:cs="Arial"/>
                                <w:sz w:val="20"/>
                                <w:szCs w:val="22"/>
                              </w:rPr>
                              <w:t>in the urban sector.</w:t>
                            </w:r>
                            <w:r>
                              <w:rPr>
                                <w:rFonts w:eastAsia="MS Mincho" w:cs="Arial"/>
                                <w:sz w:val="20"/>
                                <w:szCs w:val="22"/>
                              </w:rPr>
                              <w:t xml:space="preserve"> NAMAs, consisting of investments in infrastructure supported by capacity building, awareness raising and technical assistance, will contribute to </w:t>
                            </w:r>
                            <w:r w:rsidRPr="00B64A65">
                              <w:rPr>
                                <w:rFonts w:eastAsia="MS Mincho" w:cs="Arial"/>
                                <w:sz w:val="20"/>
                                <w:szCs w:val="22"/>
                              </w:rPr>
                              <w:t>achieving the country’s GHG emission reduction voluntary target</w:t>
                            </w:r>
                            <w:r>
                              <w:rPr>
                                <w:rFonts w:eastAsia="MS Mincho" w:cs="Arial"/>
                                <w:sz w:val="20"/>
                                <w:szCs w:val="22"/>
                              </w:rPr>
                              <w:t xml:space="preserve"> while improving urban services and the quality of life of citizens in Kazakh towns and cities.</w:t>
                            </w:r>
                            <w:r w:rsidRPr="00B64A65">
                              <w:rPr>
                                <w:rFonts w:cs="Arial"/>
                                <w:sz w:val="20"/>
                                <w:szCs w:val="22"/>
                              </w:rPr>
                              <w:t xml:space="preserve"> The project </w:t>
                            </w:r>
                            <w:r>
                              <w:rPr>
                                <w:rFonts w:cs="Arial"/>
                                <w:sz w:val="20"/>
                                <w:szCs w:val="22"/>
                              </w:rPr>
                              <w:t xml:space="preserve">is </w:t>
                            </w:r>
                            <w:r w:rsidRPr="00B64A65">
                              <w:rPr>
                                <w:rFonts w:cs="Arial"/>
                                <w:sz w:val="20"/>
                                <w:szCs w:val="22"/>
                              </w:rPr>
                              <w:t xml:space="preserve">the first effort in Kazakhstan to adopt a comprehensive approach to reduce GHG emissions in cities. </w:t>
                            </w:r>
                          </w:p>
                          <w:p w14:paraId="0C186260" w14:textId="77777777" w:rsidR="00BA2E09" w:rsidRPr="00B64A65" w:rsidRDefault="00BA2E09" w:rsidP="00AA5BF6">
                            <w:pPr>
                              <w:widowControl w:val="0"/>
                              <w:autoSpaceDE w:val="0"/>
                              <w:autoSpaceDN w:val="0"/>
                              <w:adjustRightInd w:val="0"/>
                              <w:spacing w:after="0"/>
                              <w:rPr>
                                <w:rFonts w:cs="Arial"/>
                                <w:sz w:val="20"/>
                                <w:szCs w:val="22"/>
                              </w:rPr>
                            </w:pPr>
                            <w:r w:rsidRPr="00B64A65">
                              <w:rPr>
                                <w:rFonts w:cs="Arial"/>
                                <w:sz w:val="20"/>
                                <w:szCs w:val="22"/>
                              </w:rPr>
                              <w:t xml:space="preserve">The </w:t>
                            </w:r>
                            <w:r>
                              <w:rPr>
                                <w:rFonts w:cs="Arial"/>
                                <w:sz w:val="20"/>
                                <w:szCs w:val="22"/>
                              </w:rPr>
                              <w:t>project will</w:t>
                            </w:r>
                          </w:p>
                          <w:p w14:paraId="1E82BDC4" w14:textId="77777777" w:rsidR="00BA2E09" w:rsidRDefault="00BA2E09" w:rsidP="007D6892">
                            <w:pPr>
                              <w:pStyle w:val="ListParagraph"/>
                              <w:widowControl w:val="0"/>
                              <w:numPr>
                                <w:ilvl w:val="0"/>
                                <w:numId w:val="40"/>
                              </w:numPr>
                              <w:autoSpaceDE w:val="0"/>
                              <w:autoSpaceDN w:val="0"/>
                              <w:adjustRightInd w:val="0"/>
                              <w:ind w:left="0"/>
                              <w:rPr>
                                <w:rFonts w:ascii="Arial" w:hAnsi="Arial" w:cs="Arial"/>
                                <w:sz w:val="20"/>
                                <w:szCs w:val="22"/>
                              </w:rPr>
                            </w:pPr>
                            <w:r>
                              <w:rPr>
                                <w:rFonts w:ascii="Arial" w:hAnsi="Arial" w:cs="Arial"/>
                                <w:sz w:val="20"/>
                                <w:szCs w:val="22"/>
                              </w:rPr>
                              <w:t>I</w:t>
                            </w:r>
                            <w:r w:rsidRPr="00B64A65">
                              <w:rPr>
                                <w:rFonts w:ascii="Arial" w:hAnsi="Arial" w:cs="Arial"/>
                                <w:sz w:val="20"/>
                                <w:szCs w:val="22"/>
                              </w:rPr>
                              <w:t>mprove the capacity of municipalities to carry out integrated municipal planning</w:t>
                            </w:r>
                            <w:r>
                              <w:rPr>
                                <w:rFonts w:ascii="Arial" w:hAnsi="Arial" w:cs="Arial"/>
                                <w:sz w:val="20"/>
                                <w:szCs w:val="22"/>
                              </w:rPr>
                              <w:t xml:space="preserve">, </w:t>
                            </w:r>
                            <w:r w:rsidRPr="00B64A65">
                              <w:rPr>
                                <w:rFonts w:ascii="Arial" w:hAnsi="Arial" w:cs="Arial"/>
                                <w:sz w:val="20"/>
                                <w:szCs w:val="22"/>
                              </w:rPr>
                              <w:t>make targets and prioritize urban mitigation actions (</w:t>
                            </w:r>
                            <w:r>
                              <w:rPr>
                                <w:rFonts w:ascii="Arial" w:hAnsi="Arial" w:cs="Arial"/>
                                <w:sz w:val="20"/>
                                <w:szCs w:val="22"/>
                              </w:rPr>
                              <w:t>Component 1)</w:t>
                            </w:r>
                          </w:p>
                          <w:p w14:paraId="18B6C738" w14:textId="77777777" w:rsidR="00BA2E09" w:rsidRDefault="00BA2E09" w:rsidP="007D6892">
                            <w:pPr>
                              <w:pStyle w:val="ListParagraph"/>
                              <w:widowControl w:val="0"/>
                              <w:numPr>
                                <w:ilvl w:val="0"/>
                                <w:numId w:val="40"/>
                              </w:numPr>
                              <w:autoSpaceDE w:val="0"/>
                              <w:autoSpaceDN w:val="0"/>
                              <w:adjustRightInd w:val="0"/>
                              <w:ind w:left="0"/>
                              <w:rPr>
                                <w:rFonts w:ascii="Arial" w:hAnsi="Arial" w:cs="Arial"/>
                                <w:sz w:val="20"/>
                                <w:szCs w:val="22"/>
                              </w:rPr>
                            </w:pPr>
                            <w:r>
                              <w:rPr>
                                <w:rFonts w:ascii="Arial" w:hAnsi="Arial" w:cs="Arial"/>
                                <w:sz w:val="20"/>
                                <w:szCs w:val="22"/>
                              </w:rPr>
                              <w:t>S</w:t>
                            </w:r>
                            <w:r w:rsidRPr="00B64A65">
                              <w:rPr>
                                <w:rFonts w:ascii="Arial" w:hAnsi="Arial" w:cs="Arial"/>
                                <w:sz w:val="20"/>
                                <w:szCs w:val="22"/>
                              </w:rPr>
                              <w:t xml:space="preserve">upport </w:t>
                            </w:r>
                            <w:r>
                              <w:rPr>
                                <w:rFonts w:ascii="Arial" w:hAnsi="Arial" w:cs="Arial"/>
                                <w:sz w:val="20"/>
                                <w:szCs w:val="22"/>
                              </w:rPr>
                              <w:t xml:space="preserve">the </w:t>
                            </w:r>
                            <w:r w:rsidRPr="00B64A65">
                              <w:rPr>
                                <w:rFonts w:ascii="Arial" w:hAnsi="Arial" w:cs="Arial"/>
                                <w:sz w:val="20"/>
                                <w:szCs w:val="22"/>
                              </w:rPr>
                              <w:t xml:space="preserve">creation and strengthening of institutional structures that will allow </w:t>
                            </w:r>
                            <w:r>
                              <w:rPr>
                                <w:rFonts w:ascii="Arial" w:hAnsi="Arial" w:cs="Arial"/>
                                <w:sz w:val="20"/>
                                <w:szCs w:val="22"/>
                              </w:rPr>
                              <w:t xml:space="preserve">public and private sector </w:t>
                            </w:r>
                            <w:r w:rsidRPr="00B64A65">
                              <w:rPr>
                                <w:rFonts w:ascii="Arial" w:hAnsi="Arial" w:cs="Arial"/>
                                <w:sz w:val="20"/>
                                <w:szCs w:val="22"/>
                              </w:rPr>
                              <w:t xml:space="preserve">investments in </w:t>
                            </w:r>
                            <w:r>
                              <w:rPr>
                                <w:rFonts w:ascii="Arial" w:hAnsi="Arial" w:cs="Arial"/>
                                <w:sz w:val="20"/>
                                <w:szCs w:val="22"/>
                              </w:rPr>
                              <w:t xml:space="preserve">identified infrastructure and technical assistance (Component 2) </w:t>
                            </w:r>
                          </w:p>
                          <w:p w14:paraId="37057FF8" w14:textId="77777777" w:rsidR="00BA2E09" w:rsidRDefault="00BA2E09" w:rsidP="007D6892">
                            <w:pPr>
                              <w:pStyle w:val="ListParagraph"/>
                              <w:widowControl w:val="0"/>
                              <w:numPr>
                                <w:ilvl w:val="0"/>
                                <w:numId w:val="40"/>
                              </w:numPr>
                              <w:autoSpaceDE w:val="0"/>
                              <w:autoSpaceDN w:val="0"/>
                              <w:adjustRightInd w:val="0"/>
                              <w:ind w:left="0"/>
                              <w:rPr>
                                <w:rFonts w:ascii="Arial" w:hAnsi="Arial" w:cs="Arial"/>
                                <w:sz w:val="20"/>
                                <w:szCs w:val="22"/>
                              </w:rPr>
                            </w:pPr>
                            <w:r>
                              <w:rPr>
                                <w:rFonts w:ascii="Arial" w:hAnsi="Arial" w:cs="Arial"/>
                                <w:sz w:val="20"/>
                                <w:szCs w:val="22"/>
                              </w:rPr>
                              <w:t xml:space="preserve">Provide </w:t>
                            </w:r>
                            <w:r w:rsidRPr="00B64A65">
                              <w:rPr>
                                <w:rFonts w:ascii="Arial" w:hAnsi="Arial" w:cs="Arial"/>
                                <w:sz w:val="20"/>
                                <w:szCs w:val="22"/>
                              </w:rPr>
                              <w:t xml:space="preserve">facilitation </w:t>
                            </w:r>
                            <w:r>
                              <w:rPr>
                                <w:rFonts w:ascii="Arial" w:hAnsi="Arial" w:cs="Arial"/>
                                <w:sz w:val="20"/>
                                <w:szCs w:val="22"/>
                              </w:rPr>
                              <w:t xml:space="preserve">of </w:t>
                            </w:r>
                            <w:r w:rsidRPr="00B64A65">
                              <w:rPr>
                                <w:rFonts w:ascii="Arial" w:hAnsi="Arial" w:cs="Arial"/>
                                <w:sz w:val="20"/>
                                <w:szCs w:val="22"/>
                              </w:rPr>
                              <w:t>financing of urban NAMA</w:t>
                            </w:r>
                            <w:r>
                              <w:rPr>
                                <w:rFonts w:ascii="Arial" w:hAnsi="Arial" w:cs="Arial"/>
                                <w:sz w:val="20"/>
                                <w:szCs w:val="22"/>
                              </w:rPr>
                              <w:t xml:space="preserve"> through creation of a dedicated fund (Component 3)</w:t>
                            </w:r>
                          </w:p>
                          <w:p w14:paraId="690B11A7" w14:textId="77777777" w:rsidR="00BA2E09" w:rsidRDefault="00BA2E09" w:rsidP="007D6892">
                            <w:pPr>
                              <w:pStyle w:val="ListParagraph"/>
                              <w:widowControl w:val="0"/>
                              <w:numPr>
                                <w:ilvl w:val="0"/>
                                <w:numId w:val="40"/>
                              </w:numPr>
                              <w:autoSpaceDE w:val="0"/>
                              <w:autoSpaceDN w:val="0"/>
                              <w:adjustRightInd w:val="0"/>
                              <w:ind w:left="0"/>
                              <w:rPr>
                                <w:rFonts w:ascii="Arial" w:hAnsi="Arial" w:cs="Arial"/>
                                <w:sz w:val="20"/>
                                <w:szCs w:val="22"/>
                              </w:rPr>
                            </w:pPr>
                            <w:r>
                              <w:rPr>
                                <w:rFonts w:ascii="Arial" w:hAnsi="Arial" w:cs="Arial"/>
                                <w:sz w:val="20"/>
                                <w:szCs w:val="22"/>
                              </w:rPr>
                              <w:t>Piloting of an</w:t>
                            </w:r>
                            <w:r w:rsidRPr="00B64A65">
                              <w:rPr>
                                <w:rFonts w:ascii="Arial" w:hAnsi="Arial" w:cs="Arial"/>
                                <w:sz w:val="20"/>
                                <w:szCs w:val="22"/>
                              </w:rPr>
                              <w:t xml:space="preserve"> urban NAMA</w:t>
                            </w:r>
                            <w:r>
                              <w:rPr>
                                <w:rFonts w:ascii="Arial" w:hAnsi="Arial" w:cs="Arial"/>
                                <w:sz w:val="20"/>
                                <w:szCs w:val="22"/>
                              </w:rPr>
                              <w:t xml:space="preserve"> in the Prigorodnoye district of Astana through investments in modernization and upgrating of the urban infrastructure (Component 4)</w:t>
                            </w:r>
                          </w:p>
                          <w:p w14:paraId="68B11539" w14:textId="77777777" w:rsidR="00BA2E09" w:rsidRDefault="00BA2E09" w:rsidP="007D6892">
                            <w:pPr>
                              <w:pStyle w:val="ListParagraph"/>
                              <w:widowControl w:val="0"/>
                              <w:numPr>
                                <w:ilvl w:val="0"/>
                                <w:numId w:val="40"/>
                              </w:numPr>
                              <w:autoSpaceDE w:val="0"/>
                              <w:autoSpaceDN w:val="0"/>
                              <w:adjustRightInd w:val="0"/>
                              <w:ind w:left="0"/>
                              <w:rPr>
                                <w:rFonts w:ascii="Arial" w:hAnsi="Arial" w:cs="Arial"/>
                                <w:sz w:val="20"/>
                                <w:szCs w:val="22"/>
                              </w:rPr>
                            </w:pPr>
                            <w:r w:rsidRPr="00CF406C">
                              <w:rPr>
                                <w:rFonts w:ascii="Arial" w:hAnsi="Arial" w:cs="Arial"/>
                                <w:sz w:val="20"/>
                                <w:szCs w:val="22"/>
                              </w:rPr>
                              <w:t>Linking the project with the national GHG mitigation efforts, including through standards, rules and procedures for monitoring, reporting and verification (MRV), promoting better information dissemination to stakeholders,  and linking the NAMA process with the domestic Emission Trading Scheme (ETS) for industrial emitters</w:t>
                            </w:r>
                          </w:p>
                          <w:p w14:paraId="6C881893" w14:textId="77777777" w:rsidR="00BA2E09" w:rsidRDefault="00BA2E09" w:rsidP="00AA5BF6">
                            <w:pPr>
                              <w:widowControl w:val="0"/>
                              <w:autoSpaceDE w:val="0"/>
                              <w:autoSpaceDN w:val="0"/>
                              <w:adjustRightInd w:val="0"/>
                              <w:spacing w:after="0"/>
                              <w:rPr>
                                <w:rFonts w:cs="Arial"/>
                                <w:sz w:val="20"/>
                                <w:szCs w:val="22"/>
                              </w:rPr>
                            </w:pPr>
                          </w:p>
                          <w:p w14:paraId="3C23BCAF" w14:textId="77777777" w:rsidR="00BA2E09" w:rsidRPr="00CF406C" w:rsidRDefault="00BA2E09" w:rsidP="00AA5BF6">
                            <w:pPr>
                              <w:widowControl w:val="0"/>
                              <w:autoSpaceDE w:val="0"/>
                              <w:autoSpaceDN w:val="0"/>
                              <w:adjustRightInd w:val="0"/>
                              <w:spacing w:after="0"/>
                              <w:rPr>
                                <w:rFonts w:cs="Arial"/>
                                <w:sz w:val="20"/>
                                <w:szCs w:val="22"/>
                              </w:rPr>
                            </w:pPr>
                            <w:r>
                              <w:rPr>
                                <w:rFonts w:cs="Arial"/>
                                <w:sz w:val="20"/>
                                <w:szCs w:val="22"/>
                              </w:rPr>
                              <w:t>As a result of this project direct emission reductions of 370,000 tCO</w:t>
                            </w:r>
                            <w:r w:rsidRPr="00E909ED">
                              <w:rPr>
                                <w:rFonts w:cs="Arial"/>
                                <w:sz w:val="20"/>
                                <w:szCs w:val="22"/>
                                <w:vertAlign w:val="subscript"/>
                              </w:rPr>
                              <w:t>2</w:t>
                            </w:r>
                            <w:r w:rsidRPr="00E909ED">
                              <w:rPr>
                                <w:rFonts w:cs="Arial"/>
                                <w:sz w:val="20"/>
                                <w:szCs w:val="22"/>
                                <w:vertAlign w:val="subscript"/>
                              </w:rPr>
                              <w:softHyphen/>
                              <w:t>e</w:t>
                            </w:r>
                            <w:r>
                              <w:rPr>
                                <w:rFonts w:cs="Arial"/>
                                <w:sz w:val="20"/>
                                <w:szCs w:val="22"/>
                              </w:rPr>
                              <w:t>, direct post project emissions of 275,000</w:t>
                            </w:r>
                            <w:r w:rsidRPr="004976C2">
                              <w:rPr>
                                <w:rFonts w:cs="Arial"/>
                                <w:sz w:val="20"/>
                                <w:szCs w:val="22"/>
                              </w:rPr>
                              <w:t xml:space="preserve"> </w:t>
                            </w:r>
                            <w:r>
                              <w:rPr>
                                <w:rFonts w:cs="Arial"/>
                                <w:sz w:val="20"/>
                                <w:szCs w:val="22"/>
                              </w:rPr>
                              <w:t>tCO</w:t>
                            </w:r>
                            <w:r w:rsidRPr="003156D8">
                              <w:rPr>
                                <w:rFonts w:cs="Arial"/>
                                <w:sz w:val="20"/>
                                <w:szCs w:val="22"/>
                                <w:vertAlign w:val="subscript"/>
                              </w:rPr>
                              <w:t>2</w:t>
                            </w:r>
                            <w:r w:rsidRPr="003156D8">
                              <w:rPr>
                                <w:rFonts w:cs="Arial"/>
                                <w:sz w:val="20"/>
                                <w:szCs w:val="22"/>
                                <w:vertAlign w:val="subscript"/>
                              </w:rPr>
                              <w:softHyphen/>
                              <w:t>e</w:t>
                            </w:r>
                            <w:r>
                              <w:rPr>
                                <w:rFonts w:cs="Arial"/>
                                <w:sz w:val="20"/>
                                <w:szCs w:val="22"/>
                              </w:rPr>
                              <w:t xml:space="preserve"> and indirect emission reductions of between 1 and 5 million tCO</w:t>
                            </w:r>
                            <w:r w:rsidRPr="003156D8">
                              <w:rPr>
                                <w:rFonts w:cs="Arial"/>
                                <w:sz w:val="20"/>
                                <w:szCs w:val="22"/>
                                <w:vertAlign w:val="subscript"/>
                              </w:rPr>
                              <w:t>2</w:t>
                            </w:r>
                            <w:r w:rsidRPr="003156D8">
                              <w:rPr>
                                <w:rFonts w:cs="Arial"/>
                                <w:sz w:val="20"/>
                                <w:szCs w:val="22"/>
                                <w:vertAlign w:val="subscript"/>
                              </w:rPr>
                              <w:softHyphen/>
                              <w:t>e</w:t>
                            </w:r>
                            <w:r>
                              <w:rPr>
                                <w:rFonts w:cs="Arial"/>
                                <w:sz w:val="20"/>
                                <w:szCs w:val="22"/>
                                <w:vertAlign w:val="subscript"/>
                              </w:rPr>
                              <w:t xml:space="preserve"> </w:t>
                            </w:r>
                            <w:r>
                              <w:rPr>
                                <w:rFonts w:cs="Arial"/>
                                <w:sz w:val="20"/>
                                <w:szCs w:val="22"/>
                              </w:rPr>
                              <w:t>are expected.</w:t>
                            </w:r>
                            <w:r w:rsidRPr="003F5B16" w:rsidDel="004976C2">
                              <w:rPr>
                                <w:rFonts w:cs="Arial"/>
                                <w:sz w:val="20"/>
                                <w:szCs w:val="22"/>
                                <w:highlight w:val="yellow"/>
                              </w:rPr>
                              <w:t xml:space="preserve"> </w:t>
                            </w:r>
                          </w:p>
                        </w:txbxContent>
                      </wps:txbx>
                      <wps:bodyPr rot="0" vert="horz" wrap="square" lIns="91440" tIns="45720" rIns="91440" bIns="45720" anchor="t" anchorCtr="0" upright="1">
                        <a:noAutofit/>
                      </wps:bodyPr>
                    </wps:wsp>
                  </a:graphicData>
                </a:graphic>
              </wp:inline>
            </w:drawing>
          </mc:Choice>
          <mc:Fallback>
            <w:pict>
              <v:shapetype w14:anchorId="10DDC740" id="_x0000_t202" coordsize="21600,21600" o:spt="202" path="m,l,21600r21600,l21600,xe">
                <v:stroke joinstyle="miter"/>
                <v:path gradientshapeok="t" o:connecttype="rect"/>
              </v:shapetype>
              <v:shape id="Text Box 474" o:spid="_x0000_s1026" type="#_x0000_t202" style="width:477pt;height:296.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">
                <v:textbox>
                  <w:txbxContent>
                    <w:p w14:paraId="68A98D49" w14:textId="77777777" w:rsidR="00BA2E09" w:rsidRDefault="00BA2E09" w:rsidP="00AA5BF6">
                      <w:pPr>
                        <w:spacing w:after="0"/>
                        <w:jc w:val="center"/>
                        <w:rPr>
                          <w:b/>
                          <w:bCs/>
                          <w:sz w:val="20"/>
                        </w:rPr>
                      </w:pPr>
                      <w:r w:rsidRPr="00E30D71">
                        <w:rPr>
                          <w:b/>
                          <w:bCs/>
                          <w:sz w:val="20"/>
                        </w:rPr>
                        <w:t>Brief Description</w:t>
                      </w:r>
                    </w:p>
                    <w:p w14:paraId="3932F719" w14:textId="77777777" w:rsidR="00BA2E09" w:rsidRPr="00E30D71" w:rsidRDefault="00BA2E09" w:rsidP="00AA5BF6">
                      <w:pPr>
                        <w:spacing w:after="0"/>
                        <w:jc w:val="center"/>
                        <w:rPr>
                          <w:b/>
                          <w:bCs/>
                          <w:sz w:val="20"/>
                        </w:rPr>
                      </w:pPr>
                    </w:p>
                    <w:p w14:paraId="4B9E1F02" w14:textId="77777777" w:rsidR="00BA2E09" w:rsidRDefault="00BA2E09" w:rsidP="00AA5BF6">
                      <w:pPr>
                        <w:widowControl w:val="0"/>
                        <w:autoSpaceDE w:val="0"/>
                        <w:autoSpaceDN w:val="0"/>
                        <w:adjustRightInd w:val="0"/>
                        <w:spacing w:after="0"/>
                        <w:rPr>
                          <w:rFonts w:cs="Arial"/>
                          <w:sz w:val="20"/>
                          <w:szCs w:val="22"/>
                        </w:rPr>
                      </w:pPr>
                      <w:r w:rsidRPr="00E30D71">
                        <w:rPr>
                          <w:rFonts w:eastAsia="MS Mincho"/>
                          <w:sz w:val="20"/>
                          <w:szCs w:val="22"/>
                        </w:rPr>
                        <w:t xml:space="preserve">The Project supports the identification, design, and implementation of Nationally Appropriate </w:t>
                      </w:r>
                      <w:r w:rsidRPr="00B64A65">
                        <w:rPr>
                          <w:rFonts w:eastAsia="MS Mincho" w:cs="Arial"/>
                          <w:sz w:val="20"/>
                          <w:szCs w:val="22"/>
                        </w:rPr>
                        <w:t>Mitigation Actions (NAMAs)</w:t>
                      </w:r>
                      <w:r>
                        <w:rPr>
                          <w:rFonts w:eastAsia="MS Mincho" w:cs="Arial"/>
                          <w:sz w:val="20"/>
                          <w:szCs w:val="22"/>
                        </w:rPr>
                        <w:t xml:space="preserve"> </w:t>
                      </w:r>
                      <w:r w:rsidRPr="00B64A65">
                        <w:rPr>
                          <w:rFonts w:eastAsia="MS Mincho" w:cs="Arial"/>
                          <w:sz w:val="20"/>
                          <w:szCs w:val="22"/>
                        </w:rPr>
                        <w:t>in the urban sector.</w:t>
                      </w:r>
                      <w:r>
                        <w:rPr>
                          <w:rFonts w:eastAsia="MS Mincho" w:cs="Arial"/>
                          <w:sz w:val="20"/>
                          <w:szCs w:val="22"/>
                        </w:rPr>
                        <w:t xml:space="preserve"> NAMAs, consisting of investments in infrastructure supported by capacity building, awareness raising and technical assistance, will contribute to </w:t>
                      </w:r>
                      <w:r w:rsidRPr="00B64A65">
                        <w:rPr>
                          <w:rFonts w:eastAsia="MS Mincho" w:cs="Arial"/>
                          <w:sz w:val="20"/>
                          <w:szCs w:val="22"/>
                        </w:rPr>
                        <w:t>achieving the country’s GHG emission reduction voluntary target</w:t>
                      </w:r>
                      <w:r>
                        <w:rPr>
                          <w:rFonts w:eastAsia="MS Mincho" w:cs="Arial"/>
                          <w:sz w:val="20"/>
                          <w:szCs w:val="22"/>
                        </w:rPr>
                        <w:t xml:space="preserve"> while improving urban services and the quality of life of citizens in Kazakh towns and cities.</w:t>
                      </w:r>
                      <w:r w:rsidRPr="00B64A65">
                        <w:rPr>
                          <w:rFonts w:cs="Arial"/>
                          <w:sz w:val="20"/>
                          <w:szCs w:val="22"/>
                        </w:rPr>
                        <w:t xml:space="preserve"> The project </w:t>
                      </w:r>
                      <w:r>
                        <w:rPr>
                          <w:rFonts w:cs="Arial"/>
                          <w:sz w:val="20"/>
                          <w:szCs w:val="22"/>
                        </w:rPr>
                        <w:t xml:space="preserve">is </w:t>
                      </w:r>
                      <w:r w:rsidRPr="00B64A65">
                        <w:rPr>
                          <w:rFonts w:cs="Arial"/>
                          <w:sz w:val="20"/>
                          <w:szCs w:val="22"/>
                        </w:rPr>
                        <w:t xml:space="preserve">the first effort in Kazakhstan to adopt a comprehensive approach to reduce GHG emissions in cities. </w:t>
                      </w:r>
                    </w:p>
                    <w:p w14:paraId="0C186260" w14:textId="77777777" w:rsidR="00BA2E09" w:rsidRPr="00B64A65" w:rsidRDefault="00BA2E09" w:rsidP="00AA5BF6">
                      <w:pPr>
                        <w:widowControl w:val="0"/>
                        <w:autoSpaceDE w:val="0"/>
                        <w:autoSpaceDN w:val="0"/>
                        <w:adjustRightInd w:val="0"/>
                        <w:spacing w:after="0"/>
                        <w:rPr>
                          <w:rFonts w:cs="Arial"/>
                          <w:sz w:val="20"/>
                          <w:szCs w:val="22"/>
                        </w:rPr>
                      </w:pPr>
                      <w:r w:rsidRPr="00B64A65">
                        <w:rPr>
                          <w:rFonts w:cs="Arial"/>
                          <w:sz w:val="20"/>
                          <w:szCs w:val="22"/>
                        </w:rPr>
                        <w:t xml:space="preserve">The </w:t>
                      </w:r>
                      <w:r>
                        <w:rPr>
                          <w:rFonts w:cs="Arial"/>
                          <w:sz w:val="20"/>
                          <w:szCs w:val="22"/>
                        </w:rPr>
                        <w:t>project will</w:t>
                      </w:r>
                    </w:p>
                    <w:p w14:paraId="1E82BDC4" w14:textId="77777777" w:rsidR="00BA2E09" w:rsidRDefault="00BA2E09" w:rsidP="007D6892">
                      <w:pPr>
                        <w:pStyle w:val="ListParagraph"/>
                        <w:widowControl w:val="0"/>
                        <w:numPr>
                          <w:ilvl w:val="0"/>
                          <w:numId w:val="40"/>
                        </w:numPr>
                        <w:autoSpaceDE w:val="0"/>
                        <w:autoSpaceDN w:val="0"/>
                        <w:adjustRightInd w:val="0"/>
                        <w:ind w:left="0"/>
                        <w:rPr>
                          <w:rFonts w:ascii="Arial" w:hAnsi="Arial" w:cs="Arial"/>
                          <w:sz w:val="20"/>
                          <w:szCs w:val="22"/>
                        </w:rPr>
                      </w:pPr>
                      <w:r>
                        <w:rPr>
                          <w:rFonts w:ascii="Arial" w:hAnsi="Arial" w:cs="Arial"/>
                          <w:sz w:val="20"/>
                          <w:szCs w:val="22"/>
                        </w:rPr>
                        <w:t>I</w:t>
                      </w:r>
                      <w:r w:rsidRPr="00B64A65">
                        <w:rPr>
                          <w:rFonts w:ascii="Arial" w:hAnsi="Arial" w:cs="Arial"/>
                          <w:sz w:val="20"/>
                          <w:szCs w:val="22"/>
                        </w:rPr>
                        <w:t>mprove the capacity of municipalities to carry out integrated municipal planning</w:t>
                      </w:r>
                      <w:r>
                        <w:rPr>
                          <w:rFonts w:ascii="Arial" w:hAnsi="Arial" w:cs="Arial"/>
                          <w:sz w:val="20"/>
                          <w:szCs w:val="22"/>
                        </w:rPr>
                        <w:t xml:space="preserve">, </w:t>
                      </w:r>
                      <w:r w:rsidRPr="00B64A65">
                        <w:rPr>
                          <w:rFonts w:ascii="Arial" w:hAnsi="Arial" w:cs="Arial"/>
                          <w:sz w:val="20"/>
                          <w:szCs w:val="22"/>
                        </w:rPr>
                        <w:t>make targets and prioritize urban mitigation actions (</w:t>
                      </w:r>
                      <w:r>
                        <w:rPr>
                          <w:rFonts w:ascii="Arial" w:hAnsi="Arial" w:cs="Arial"/>
                          <w:sz w:val="20"/>
                          <w:szCs w:val="22"/>
                        </w:rPr>
                        <w:t>Component 1)</w:t>
                      </w:r>
                    </w:p>
                    <w:p w14:paraId="18B6C738" w14:textId="77777777" w:rsidR="00BA2E09" w:rsidRDefault="00BA2E09" w:rsidP="007D6892">
                      <w:pPr>
                        <w:pStyle w:val="ListParagraph"/>
                        <w:widowControl w:val="0"/>
                        <w:numPr>
                          <w:ilvl w:val="0"/>
                          <w:numId w:val="40"/>
                        </w:numPr>
                        <w:autoSpaceDE w:val="0"/>
                        <w:autoSpaceDN w:val="0"/>
                        <w:adjustRightInd w:val="0"/>
                        <w:ind w:left="0"/>
                        <w:rPr>
                          <w:rFonts w:ascii="Arial" w:hAnsi="Arial" w:cs="Arial"/>
                          <w:sz w:val="20"/>
                          <w:szCs w:val="22"/>
                        </w:rPr>
                      </w:pPr>
                      <w:r>
                        <w:rPr>
                          <w:rFonts w:ascii="Arial" w:hAnsi="Arial" w:cs="Arial"/>
                          <w:sz w:val="20"/>
                          <w:szCs w:val="22"/>
                        </w:rPr>
                        <w:t>S</w:t>
                      </w:r>
                      <w:r w:rsidRPr="00B64A65">
                        <w:rPr>
                          <w:rFonts w:ascii="Arial" w:hAnsi="Arial" w:cs="Arial"/>
                          <w:sz w:val="20"/>
                          <w:szCs w:val="22"/>
                        </w:rPr>
                        <w:t xml:space="preserve">upport </w:t>
                      </w:r>
                      <w:r>
                        <w:rPr>
                          <w:rFonts w:ascii="Arial" w:hAnsi="Arial" w:cs="Arial"/>
                          <w:sz w:val="20"/>
                          <w:szCs w:val="22"/>
                        </w:rPr>
                        <w:t xml:space="preserve">the </w:t>
                      </w:r>
                      <w:r w:rsidRPr="00B64A65">
                        <w:rPr>
                          <w:rFonts w:ascii="Arial" w:hAnsi="Arial" w:cs="Arial"/>
                          <w:sz w:val="20"/>
                          <w:szCs w:val="22"/>
                        </w:rPr>
                        <w:t xml:space="preserve">creation and strengthening of institutional structures that will allow </w:t>
                      </w:r>
                      <w:r>
                        <w:rPr>
                          <w:rFonts w:ascii="Arial" w:hAnsi="Arial" w:cs="Arial"/>
                          <w:sz w:val="20"/>
                          <w:szCs w:val="22"/>
                        </w:rPr>
                        <w:t xml:space="preserve">public and private sector </w:t>
                      </w:r>
                      <w:r w:rsidRPr="00B64A65">
                        <w:rPr>
                          <w:rFonts w:ascii="Arial" w:hAnsi="Arial" w:cs="Arial"/>
                          <w:sz w:val="20"/>
                          <w:szCs w:val="22"/>
                        </w:rPr>
                        <w:t xml:space="preserve">investments in </w:t>
                      </w:r>
                      <w:r>
                        <w:rPr>
                          <w:rFonts w:ascii="Arial" w:hAnsi="Arial" w:cs="Arial"/>
                          <w:sz w:val="20"/>
                          <w:szCs w:val="22"/>
                        </w:rPr>
                        <w:t xml:space="preserve">identified infrastructure and technical assistance (Component 2) </w:t>
                      </w:r>
                    </w:p>
                    <w:p w14:paraId="37057FF8" w14:textId="77777777" w:rsidR="00BA2E09" w:rsidRDefault="00BA2E09" w:rsidP="007D6892">
                      <w:pPr>
                        <w:pStyle w:val="ListParagraph"/>
                        <w:widowControl w:val="0"/>
                        <w:numPr>
                          <w:ilvl w:val="0"/>
                          <w:numId w:val="40"/>
                        </w:numPr>
                        <w:autoSpaceDE w:val="0"/>
                        <w:autoSpaceDN w:val="0"/>
                        <w:adjustRightInd w:val="0"/>
                        <w:ind w:left="0"/>
                        <w:rPr>
                          <w:rFonts w:ascii="Arial" w:hAnsi="Arial" w:cs="Arial"/>
                          <w:sz w:val="20"/>
                          <w:szCs w:val="22"/>
                        </w:rPr>
                      </w:pPr>
                      <w:r>
                        <w:rPr>
                          <w:rFonts w:ascii="Arial" w:hAnsi="Arial" w:cs="Arial"/>
                          <w:sz w:val="20"/>
                          <w:szCs w:val="22"/>
                        </w:rPr>
                        <w:t xml:space="preserve">Provide </w:t>
                      </w:r>
                      <w:r w:rsidRPr="00B64A65">
                        <w:rPr>
                          <w:rFonts w:ascii="Arial" w:hAnsi="Arial" w:cs="Arial"/>
                          <w:sz w:val="20"/>
                          <w:szCs w:val="22"/>
                        </w:rPr>
                        <w:t xml:space="preserve">facilitation </w:t>
                      </w:r>
                      <w:r>
                        <w:rPr>
                          <w:rFonts w:ascii="Arial" w:hAnsi="Arial" w:cs="Arial"/>
                          <w:sz w:val="20"/>
                          <w:szCs w:val="22"/>
                        </w:rPr>
                        <w:t xml:space="preserve">of </w:t>
                      </w:r>
                      <w:r w:rsidRPr="00B64A65">
                        <w:rPr>
                          <w:rFonts w:ascii="Arial" w:hAnsi="Arial" w:cs="Arial"/>
                          <w:sz w:val="20"/>
                          <w:szCs w:val="22"/>
                        </w:rPr>
                        <w:t>financing of urban NAMA</w:t>
                      </w:r>
                      <w:r>
                        <w:rPr>
                          <w:rFonts w:ascii="Arial" w:hAnsi="Arial" w:cs="Arial"/>
                          <w:sz w:val="20"/>
                          <w:szCs w:val="22"/>
                        </w:rPr>
                        <w:t xml:space="preserve"> through creation of a dedicated fund (Component 3)</w:t>
                      </w:r>
                    </w:p>
                    <w:p w14:paraId="690B11A7" w14:textId="77777777" w:rsidR="00BA2E09" w:rsidRDefault="00BA2E09" w:rsidP="007D6892">
                      <w:pPr>
                        <w:pStyle w:val="ListParagraph"/>
                        <w:widowControl w:val="0"/>
                        <w:numPr>
                          <w:ilvl w:val="0"/>
                          <w:numId w:val="40"/>
                        </w:numPr>
                        <w:autoSpaceDE w:val="0"/>
                        <w:autoSpaceDN w:val="0"/>
                        <w:adjustRightInd w:val="0"/>
                        <w:ind w:left="0"/>
                        <w:rPr>
                          <w:rFonts w:ascii="Arial" w:hAnsi="Arial" w:cs="Arial"/>
                          <w:sz w:val="20"/>
                          <w:szCs w:val="22"/>
                        </w:rPr>
                      </w:pPr>
                      <w:r>
                        <w:rPr>
                          <w:rFonts w:ascii="Arial" w:hAnsi="Arial" w:cs="Arial"/>
                          <w:sz w:val="20"/>
                          <w:szCs w:val="22"/>
                        </w:rPr>
                        <w:t>Piloting of an</w:t>
                      </w:r>
                      <w:r w:rsidRPr="00B64A65">
                        <w:rPr>
                          <w:rFonts w:ascii="Arial" w:hAnsi="Arial" w:cs="Arial"/>
                          <w:sz w:val="20"/>
                          <w:szCs w:val="22"/>
                        </w:rPr>
                        <w:t xml:space="preserve"> urban NAMA</w:t>
                      </w:r>
                      <w:r>
                        <w:rPr>
                          <w:rFonts w:ascii="Arial" w:hAnsi="Arial" w:cs="Arial"/>
                          <w:sz w:val="20"/>
                          <w:szCs w:val="22"/>
                        </w:rPr>
                        <w:t xml:space="preserve"> in the Prigorodnoye district of Astana through investments in modernization and upgrating of the urban infrastructure (Component 4)</w:t>
                      </w:r>
                    </w:p>
                    <w:p w14:paraId="68B11539" w14:textId="77777777" w:rsidR="00BA2E09" w:rsidRDefault="00BA2E09" w:rsidP="007D6892">
                      <w:pPr>
                        <w:pStyle w:val="ListParagraph"/>
                        <w:widowControl w:val="0"/>
                        <w:numPr>
                          <w:ilvl w:val="0"/>
                          <w:numId w:val="40"/>
                        </w:numPr>
                        <w:autoSpaceDE w:val="0"/>
                        <w:autoSpaceDN w:val="0"/>
                        <w:adjustRightInd w:val="0"/>
                        <w:ind w:left="0"/>
                        <w:rPr>
                          <w:rFonts w:ascii="Arial" w:hAnsi="Arial" w:cs="Arial"/>
                          <w:sz w:val="20"/>
                          <w:szCs w:val="22"/>
                        </w:rPr>
                      </w:pPr>
                      <w:r w:rsidRPr="00CF406C">
                        <w:rPr>
                          <w:rFonts w:ascii="Arial" w:hAnsi="Arial" w:cs="Arial"/>
                          <w:sz w:val="20"/>
                          <w:szCs w:val="22"/>
                        </w:rPr>
                        <w:t>Linking the project with the national GHG mitigation efforts, including through standards, rules and procedures for monitoring, reporting and verification (MRV), promoting better information dissemination to stakeholders,  and linking the NAMA process with the domestic Emission Trading Scheme (ETS) for industrial emitters</w:t>
                      </w:r>
                    </w:p>
                    <w:p w14:paraId="6C881893" w14:textId="77777777" w:rsidR="00BA2E09" w:rsidRDefault="00BA2E09" w:rsidP="00AA5BF6">
                      <w:pPr>
                        <w:widowControl w:val="0"/>
                        <w:autoSpaceDE w:val="0"/>
                        <w:autoSpaceDN w:val="0"/>
                        <w:adjustRightInd w:val="0"/>
                        <w:spacing w:after="0"/>
                        <w:rPr>
                          <w:rFonts w:cs="Arial"/>
                          <w:sz w:val="20"/>
                          <w:szCs w:val="22"/>
                        </w:rPr>
                      </w:pPr>
                    </w:p>
                    <w:p w14:paraId="3C23BCAF" w14:textId="77777777" w:rsidR="00BA2E09" w:rsidRPr="00CF406C" w:rsidRDefault="00BA2E09" w:rsidP="00AA5BF6">
                      <w:pPr>
                        <w:widowControl w:val="0"/>
                        <w:autoSpaceDE w:val="0"/>
                        <w:autoSpaceDN w:val="0"/>
                        <w:adjustRightInd w:val="0"/>
                        <w:spacing w:after="0"/>
                        <w:rPr>
                          <w:rFonts w:cs="Arial"/>
                          <w:sz w:val="20"/>
                          <w:szCs w:val="22"/>
                        </w:rPr>
                      </w:pPr>
                      <w:r>
                        <w:rPr>
                          <w:rFonts w:cs="Arial"/>
                          <w:sz w:val="20"/>
                          <w:szCs w:val="22"/>
                        </w:rPr>
                        <w:t>As a result of this project direct emission reductions of 370,000 tCO</w:t>
                      </w:r>
                      <w:r w:rsidRPr="00E909ED">
                        <w:rPr>
                          <w:rFonts w:cs="Arial"/>
                          <w:sz w:val="20"/>
                          <w:szCs w:val="22"/>
                          <w:vertAlign w:val="subscript"/>
                        </w:rPr>
                        <w:t>2</w:t>
                      </w:r>
                      <w:r w:rsidRPr="00E909ED">
                        <w:rPr>
                          <w:rFonts w:cs="Arial"/>
                          <w:sz w:val="20"/>
                          <w:szCs w:val="22"/>
                          <w:vertAlign w:val="subscript"/>
                        </w:rPr>
                        <w:softHyphen/>
                        <w:t>e</w:t>
                      </w:r>
                      <w:r>
                        <w:rPr>
                          <w:rFonts w:cs="Arial"/>
                          <w:sz w:val="20"/>
                          <w:szCs w:val="22"/>
                        </w:rPr>
                        <w:t>, direct post project emissions of 275,000</w:t>
                      </w:r>
                      <w:r w:rsidRPr="004976C2">
                        <w:rPr>
                          <w:rFonts w:cs="Arial"/>
                          <w:sz w:val="20"/>
                          <w:szCs w:val="22"/>
                        </w:rPr>
                        <w:t xml:space="preserve"> </w:t>
                      </w:r>
                      <w:r>
                        <w:rPr>
                          <w:rFonts w:cs="Arial"/>
                          <w:sz w:val="20"/>
                          <w:szCs w:val="22"/>
                        </w:rPr>
                        <w:t>tCO</w:t>
                      </w:r>
                      <w:r w:rsidRPr="003156D8">
                        <w:rPr>
                          <w:rFonts w:cs="Arial"/>
                          <w:sz w:val="20"/>
                          <w:szCs w:val="22"/>
                          <w:vertAlign w:val="subscript"/>
                        </w:rPr>
                        <w:t>2</w:t>
                      </w:r>
                      <w:r w:rsidRPr="003156D8">
                        <w:rPr>
                          <w:rFonts w:cs="Arial"/>
                          <w:sz w:val="20"/>
                          <w:szCs w:val="22"/>
                          <w:vertAlign w:val="subscript"/>
                        </w:rPr>
                        <w:softHyphen/>
                        <w:t>e</w:t>
                      </w:r>
                      <w:r>
                        <w:rPr>
                          <w:rFonts w:cs="Arial"/>
                          <w:sz w:val="20"/>
                          <w:szCs w:val="22"/>
                        </w:rPr>
                        <w:t xml:space="preserve"> and indirect emission reductions of between 1 and 5 million tCO</w:t>
                      </w:r>
                      <w:r w:rsidRPr="003156D8">
                        <w:rPr>
                          <w:rFonts w:cs="Arial"/>
                          <w:sz w:val="20"/>
                          <w:szCs w:val="22"/>
                          <w:vertAlign w:val="subscript"/>
                        </w:rPr>
                        <w:t>2</w:t>
                      </w:r>
                      <w:r w:rsidRPr="003156D8">
                        <w:rPr>
                          <w:rFonts w:cs="Arial"/>
                          <w:sz w:val="20"/>
                          <w:szCs w:val="22"/>
                          <w:vertAlign w:val="subscript"/>
                        </w:rPr>
                        <w:softHyphen/>
                        <w:t>e</w:t>
                      </w:r>
                      <w:r>
                        <w:rPr>
                          <w:rFonts w:cs="Arial"/>
                          <w:sz w:val="20"/>
                          <w:szCs w:val="22"/>
                          <w:vertAlign w:val="subscript"/>
                        </w:rPr>
                        <w:t xml:space="preserve"> </w:t>
                      </w:r>
                      <w:r>
                        <w:rPr>
                          <w:rFonts w:cs="Arial"/>
                          <w:sz w:val="20"/>
                          <w:szCs w:val="22"/>
                        </w:rPr>
                        <w:t>are expected.</w:t>
                      </w:r>
                      <w:r w:rsidRPr="003F5B16" w:rsidDel="004976C2">
                        <w:rPr>
                          <w:rFonts w:cs="Arial"/>
                          <w:sz w:val="20"/>
                          <w:szCs w:val="22"/>
                          <w:highlight w:val="yellow"/>
                        </w:rPr>
                        <w:t xml:space="preserve"> </w:t>
                      </w:r>
                    </w:p>
                  </w:txbxContent>
                </v:textbox>
                <w10:anchorlock/>
              </v:shape>
            </w:pict>
          </mc:Fallback>
        </mc:AlternateContent>
      </w:r>
    </w:p>
    <w:p w14:paraId="0B0BCD6E" w14:textId="14C240CC" w:rsidR="00E1433A" w:rsidRPr="00AA5BF6" w:rsidRDefault="00E1433A" w:rsidP="00AA5BF6">
      <w:pPr>
        <w:tabs>
          <w:tab w:val="left" w:pos="4680"/>
        </w:tabs>
        <w:rPr>
          <w:rFonts w:cs="Arial"/>
          <w:sz w:val="20"/>
          <w:szCs w:val="20"/>
          <w:shd w:val="clear" w:color="auto" w:fill="E0E0E0"/>
          <w:lang w:val="en-US"/>
        </w:rPr>
      </w:pPr>
      <w:r w:rsidRPr="005B5602">
        <w:rPr>
          <w:rFonts w:cs="Arial"/>
          <w:sz w:val="20"/>
          <w:szCs w:val="20"/>
          <w:lang w:val="en-US"/>
        </w:rPr>
        <w:tab/>
      </w:r>
    </w:p>
    <w:p w14:paraId="5ED4A30A" w14:textId="456E68BC" w:rsidR="00E1433A" w:rsidRPr="005B5602" w:rsidRDefault="00D32F33" w:rsidP="00E1433A">
      <w:pPr>
        <w:rPr>
          <w:rFonts w:cs="Arial"/>
          <w:sz w:val="20"/>
          <w:szCs w:val="20"/>
          <w:lang w:val="en-US"/>
        </w:rPr>
      </w:pPr>
      <w:r>
        <w:rPr>
          <w:rFonts w:cs="Arial"/>
          <w:noProof/>
          <w:sz w:val="20"/>
          <w:szCs w:val="20"/>
          <w:lang w:val="en-US"/>
        </w:rPr>
        <mc:AlternateContent>
          <mc:Choice Requires="wps">
            <w:drawing>
              <wp:anchor distT="0" distB="0" distL="114300" distR="114300" simplePos="0" relativeHeight="251672064" behindDoc="1" locked="0" layoutInCell="1" allowOverlap="1" wp14:anchorId="4DCE6035" wp14:editId="19C679EC">
                <wp:simplePos x="0" y="0"/>
                <wp:positionH relativeFrom="column">
                  <wp:posOffset>-85725</wp:posOffset>
                </wp:positionH>
                <wp:positionV relativeFrom="paragraph">
                  <wp:posOffset>82550</wp:posOffset>
                </wp:positionV>
                <wp:extent cx="2914650" cy="2085975"/>
                <wp:effectExtent l="0" t="0" r="19050" b="28575"/>
                <wp:wrapTight wrapText="bothSides">
                  <wp:wrapPolygon edited="0">
                    <wp:start x="0" y="0"/>
                    <wp:lineTo x="0" y="21699"/>
                    <wp:lineTo x="21600" y="21699"/>
                    <wp:lineTo x="21600" y="0"/>
                    <wp:lineTo x="0" y="0"/>
                  </wp:wrapPolygon>
                </wp:wrapTight>
                <wp:docPr id="452" name="Text Box 3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0" cy="2085975"/>
                        </a:xfrm>
                        <a:prstGeom prst="rect">
                          <a:avLst/>
                        </a:prstGeom>
                        <a:solidFill>
                          <a:srgbClr val="FFFFFF"/>
                        </a:solidFill>
                        <a:ln w="9525">
                          <a:solidFill>
                            <a:srgbClr val="000000"/>
                          </a:solidFill>
                          <a:miter lim="800000"/>
                          <a:headEnd/>
                          <a:tailEnd/>
                        </a:ln>
                      </wps:spPr>
                      <wps:txbx>
                        <w:txbxContent>
                          <w:p w14:paraId="17DEAFAC" w14:textId="60EB161A" w:rsidR="00BA2E09" w:rsidRPr="00AA5BF6" w:rsidRDefault="00BA2E09" w:rsidP="00D32F33">
                            <w:pPr>
                              <w:spacing w:after="0"/>
                              <w:rPr>
                                <w:rFonts w:cs="Arial"/>
                                <w:sz w:val="20"/>
                                <w:szCs w:val="20"/>
                              </w:rPr>
                            </w:pPr>
                            <w:r>
                              <w:rPr>
                                <w:rFonts w:cs="Arial"/>
                                <w:sz w:val="20"/>
                                <w:szCs w:val="20"/>
                              </w:rPr>
                              <w:t>Programme Period:</w:t>
                            </w:r>
                            <w:r>
                              <w:rPr>
                                <w:rFonts w:cs="Arial"/>
                                <w:sz w:val="20"/>
                                <w:szCs w:val="20"/>
                              </w:rPr>
                              <w:tab/>
                            </w:r>
                            <w:r>
                              <w:rPr>
                                <w:rFonts w:cs="Arial"/>
                                <w:sz w:val="20"/>
                                <w:szCs w:val="20"/>
                              </w:rPr>
                              <w:tab/>
                            </w:r>
                            <w:r w:rsidRPr="00AA5BF6">
                              <w:rPr>
                                <w:rFonts w:cs="Arial"/>
                                <w:sz w:val="20"/>
                                <w:szCs w:val="20"/>
                              </w:rPr>
                              <w:t>2010-2015</w:t>
                            </w:r>
                          </w:p>
                          <w:p w14:paraId="5506053E" w14:textId="77777777" w:rsidR="00BA2E09" w:rsidRPr="00AA5BF6" w:rsidRDefault="00BA2E09" w:rsidP="00D32F33">
                            <w:pPr>
                              <w:spacing w:after="0"/>
                              <w:jc w:val="left"/>
                              <w:rPr>
                                <w:rFonts w:cs="Arial"/>
                                <w:sz w:val="20"/>
                                <w:szCs w:val="20"/>
                                <w:lang w:val="en-US"/>
                              </w:rPr>
                            </w:pPr>
                          </w:p>
                          <w:p w14:paraId="6303F85C" w14:textId="77777777" w:rsidR="00BA2E09" w:rsidRPr="00AA5BF6" w:rsidRDefault="00BA2E09" w:rsidP="00D32F33">
                            <w:pPr>
                              <w:spacing w:after="0"/>
                              <w:rPr>
                                <w:rFonts w:cs="Arial"/>
                                <w:sz w:val="20"/>
                                <w:szCs w:val="20"/>
                                <w:lang w:val="en-US"/>
                              </w:rPr>
                            </w:pPr>
                            <w:r w:rsidRPr="00AA5BF6">
                              <w:rPr>
                                <w:rFonts w:cs="Arial"/>
                                <w:sz w:val="20"/>
                                <w:szCs w:val="20"/>
                                <w:lang w:val="en-US"/>
                              </w:rPr>
                              <w:t>Atlas Award ID:</w:t>
                            </w:r>
                            <w:r w:rsidRPr="00AA5BF6">
                              <w:rPr>
                                <w:rFonts w:cs="Arial"/>
                                <w:sz w:val="20"/>
                                <w:szCs w:val="20"/>
                                <w:lang w:val="en-US"/>
                              </w:rPr>
                              <w:tab/>
                            </w:r>
                            <w:r w:rsidRPr="00AA5BF6">
                              <w:rPr>
                                <w:rFonts w:cs="Arial"/>
                                <w:sz w:val="20"/>
                                <w:szCs w:val="20"/>
                                <w:lang w:val="en-US"/>
                              </w:rPr>
                              <w:tab/>
                            </w:r>
                            <w:r w:rsidRPr="00AA5BF6">
                              <w:rPr>
                                <w:rFonts w:cs="Arial"/>
                                <w:sz w:val="20"/>
                                <w:szCs w:val="20"/>
                                <w:lang w:val="en-US"/>
                              </w:rPr>
                              <w:tab/>
                            </w:r>
                            <w:r w:rsidRPr="00AA5BF6">
                              <w:rPr>
                                <w:rFonts w:cs="Arial"/>
                                <w:color w:val="222222"/>
                                <w:sz w:val="20"/>
                                <w:szCs w:val="20"/>
                                <w:shd w:val="clear" w:color="auto" w:fill="FFFFFF"/>
                                <w:lang w:val="en-US"/>
                              </w:rPr>
                              <w:t>00082364</w:t>
                            </w:r>
                          </w:p>
                          <w:p w14:paraId="2A5BBD49" w14:textId="77777777" w:rsidR="00BA2E09" w:rsidRPr="00AA5BF6" w:rsidRDefault="00BA2E09" w:rsidP="00D32F33">
                            <w:pPr>
                              <w:spacing w:after="0"/>
                              <w:rPr>
                                <w:rFonts w:cs="Arial"/>
                                <w:sz w:val="20"/>
                                <w:szCs w:val="20"/>
                                <w:lang w:val="en-US"/>
                              </w:rPr>
                            </w:pPr>
                            <w:r w:rsidRPr="00AA5BF6">
                              <w:rPr>
                                <w:rFonts w:cs="Arial"/>
                                <w:sz w:val="20"/>
                                <w:szCs w:val="20"/>
                                <w:lang w:val="en-US"/>
                              </w:rPr>
                              <w:t>Project ID:</w:t>
                            </w:r>
                            <w:r w:rsidRPr="00AA5BF6">
                              <w:rPr>
                                <w:rFonts w:cs="Arial"/>
                                <w:sz w:val="20"/>
                                <w:szCs w:val="20"/>
                                <w:lang w:val="en-US"/>
                              </w:rPr>
                              <w:tab/>
                            </w:r>
                            <w:r w:rsidRPr="00AA5BF6">
                              <w:rPr>
                                <w:rFonts w:cs="Arial"/>
                                <w:sz w:val="20"/>
                                <w:szCs w:val="20"/>
                                <w:lang w:val="en-US"/>
                              </w:rPr>
                              <w:tab/>
                            </w:r>
                            <w:r w:rsidRPr="00AA5BF6">
                              <w:rPr>
                                <w:rFonts w:cs="Arial"/>
                                <w:sz w:val="20"/>
                                <w:szCs w:val="20"/>
                                <w:lang w:val="en-US"/>
                              </w:rPr>
                              <w:tab/>
                            </w:r>
                            <w:r w:rsidRPr="00AA5BF6">
                              <w:rPr>
                                <w:rFonts w:cs="Arial"/>
                                <w:color w:val="222222"/>
                                <w:sz w:val="20"/>
                                <w:szCs w:val="20"/>
                                <w:shd w:val="clear" w:color="auto" w:fill="FFFFFF"/>
                                <w:lang w:val="en-US"/>
                              </w:rPr>
                              <w:t>00091328</w:t>
                            </w:r>
                          </w:p>
                          <w:p w14:paraId="1C796786" w14:textId="77777777" w:rsidR="00BA2E09" w:rsidRPr="00AA5BF6" w:rsidRDefault="00BA2E09" w:rsidP="00D32F33">
                            <w:pPr>
                              <w:pStyle w:val="FootnoteText"/>
                              <w:spacing w:after="0"/>
                              <w:rPr>
                                <w:rFonts w:cs="Arial"/>
                                <w:sz w:val="20"/>
                              </w:rPr>
                            </w:pPr>
                            <w:r w:rsidRPr="00AA5BF6">
                              <w:rPr>
                                <w:rFonts w:cs="Arial"/>
                                <w:sz w:val="20"/>
                              </w:rPr>
                              <w:t>PIMS #</w:t>
                            </w:r>
                            <w:r w:rsidRPr="00AA5BF6">
                              <w:rPr>
                                <w:rFonts w:cs="Arial"/>
                                <w:sz w:val="20"/>
                              </w:rPr>
                              <w:tab/>
                            </w:r>
                            <w:r w:rsidRPr="00AA5BF6">
                              <w:rPr>
                                <w:rFonts w:cs="Arial"/>
                                <w:sz w:val="20"/>
                              </w:rPr>
                              <w:tab/>
                            </w:r>
                            <w:r w:rsidRPr="00AA5BF6">
                              <w:rPr>
                                <w:rFonts w:cs="Arial"/>
                                <w:sz w:val="20"/>
                              </w:rPr>
                              <w:tab/>
                            </w:r>
                            <w:r w:rsidRPr="00AA5BF6">
                              <w:rPr>
                                <w:rFonts w:cs="Arial"/>
                                <w:sz w:val="20"/>
                              </w:rPr>
                              <w:tab/>
                              <w:t>4670</w:t>
                            </w:r>
                          </w:p>
                          <w:p w14:paraId="78853686" w14:textId="77777777" w:rsidR="00BA2E09" w:rsidRPr="00AA5BF6" w:rsidRDefault="00BA2E09" w:rsidP="00D32F33">
                            <w:pPr>
                              <w:pStyle w:val="FootnoteText"/>
                              <w:spacing w:after="0"/>
                              <w:rPr>
                                <w:rFonts w:cs="Arial"/>
                                <w:sz w:val="20"/>
                              </w:rPr>
                            </w:pPr>
                          </w:p>
                          <w:p w14:paraId="2989B163" w14:textId="0C305080" w:rsidR="00BA2E09" w:rsidRPr="00AA5BF6" w:rsidRDefault="00BA2E09" w:rsidP="00D32F33">
                            <w:pPr>
                              <w:pStyle w:val="FootnoteText"/>
                              <w:spacing w:after="0"/>
                              <w:rPr>
                                <w:rFonts w:cs="Arial"/>
                                <w:sz w:val="20"/>
                              </w:rPr>
                            </w:pPr>
                            <w:r w:rsidRPr="00AA5BF6">
                              <w:rPr>
                                <w:rFonts w:cs="Arial"/>
                                <w:sz w:val="20"/>
                              </w:rPr>
                              <w:t>Start date:</w:t>
                            </w:r>
                            <w:r w:rsidRPr="00AA5BF6">
                              <w:rPr>
                                <w:rFonts w:cs="Arial"/>
                                <w:sz w:val="20"/>
                              </w:rPr>
                              <w:tab/>
                            </w:r>
                            <w:r>
                              <w:rPr>
                                <w:rFonts w:cs="Arial"/>
                                <w:sz w:val="20"/>
                              </w:rPr>
                              <w:t xml:space="preserve">       </w:t>
                            </w:r>
                            <w:r w:rsidRPr="00AA5BF6">
                              <w:rPr>
                                <w:rFonts w:cs="Arial"/>
                                <w:sz w:val="20"/>
                              </w:rPr>
                              <w:t xml:space="preserve">     </w:t>
                            </w:r>
                            <w:r w:rsidRPr="00AA5BF6">
                              <w:rPr>
                                <w:rFonts w:cs="Arial"/>
                                <w:sz w:val="20"/>
                              </w:rPr>
                              <w:tab/>
                            </w:r>
                            <w:r>
                              <w:rPr>
                                <w:rFonts w:cs="Arial"/>
                                <w:sz w:val="20"/>
                              </w:rPr>
                              <w:t xml:space="preserve">           </w:t>
                            </w:r>
                            <w:r w:rsidRPr="00AA5BF6">
                              <w:rPr>
                                <w:rFonts w:cs="Arial"/>
                                <w:sz w:val="20"/>
                              </w:rPr>
                              <w:t>October 2014</w:t>
                            </w:r>
                          </w:p>
                          <w:p w14:paraId="2266DC70" w14:textId="779582BD" w:rsidR="00BA2E09" w:rsidRPr="00AA5BF6" w:rsidRDefault="00BA2E09" w:rsidP="00D32F33">
                            <w:pPr>
                              <w:pStyle w:val="FootnoteText"/>
                              <w:spacing w:after="0"/>
                              <w:rPr>
                                <w:rFonts w:cs="Arial"/>
                                <w:sz w:val="20"/>
                              </w:rPr>
                            </w:pPr>
                            <w:r w:rsidRPr="00AA5BF6">
                              <w:rPr>
                                <w:rFonts w:cs="Arial"/>
                                <w:sz w:val="20"/>
                              </w:rPr>
                              <w:t>End Date</w:t>
                            </w:r>
                            <w:r w:rsidRPr="00AA5BF6">
                              <w:rPr>
                                <w:rFonts w:cs="Arial"/>
                                <w:sz w:val="20"/>
                              </w:rPr>
                              <w:tab/>
                              <w:t xml:space="preserve">                </w:t>
                            </w:r>
                            <w:r>
                              <w:rPr>
                                <w:rFonts w:cs="Arial"/>
                                <w:sz w:val="20"/>
                              </w:rPr>
                              <w:t xml:space="preserve">        </w:t>
                            </w:r>
                            <w:r w:rsidRPr="00AA5BF6">
                              <w:rPr>
                                <w:rFonts w:cs="Arial"/>
                                <w:sz w:val="20"/>
                              </w:rPr>
                              <w:t>September 2019</w:t>
                            </w:r>
                          </w:p>
                          <w:p w14:paraId="5F237460" w14:textId="77777777" w:rsidR="00BA2E09" w:rsidRPr="00AA5BF6" w:rsidRDefault="00BA2E09" w:rsidP="00D32F33">
                            <w:pPr>
                              <w:pStyle w:val="FootnoteText"/>
                              <w:spacing w:after="0"/>
                              <w:rPr>
                                <w:rFonts w:cs="Arial"/>
                                <w:sz w:val="20"/>
                              </w:rPr>
                            </w:pPr>
                          </w:p>
                          <w:p w14:paraId="6E346FD9" w14:textId="77777777" w:rsidR="00BA2E09" w:rsidRPr="00AA5BF6" w:rsidRDefault="00BA2E09" w:rsidP="00D32F33">
                            <w:pPr>
                              <w:pStyle w:val="FootnoteText"/>
                              <w:spacing w:after="0"/>
                              <w:rPr>
                                <w:rFonts w:cs="Arial"/>
                                <w:sz w:val="20"/>
                              </w:rPr>
                            </w:pPr>
                            <w:r w:rsidRPr="00AA5BF6">
                              <w:rPr>
                                <w:rFonts w:cs="Arial"/>
                                <w:sz w:val="20"/>
                              </w:rPr>
                              <w:t>Management Arrangements</w:t>
                            </w:r>
                            <w:r w:rsidRPr="00AA5BF6">
                              <w:rPr>
                                <w:rFonts w:cs="Arial"/>
                                <w:sz w:val="20"/>
                              </w:rPr>
                              <w:tab/>
                            </w:r>
                            <w:r w:rsidRPr="00AA5BF6">
                              <w:rPr>
                                <w:rFonts w:cs="Arial"/>
                                <w:sz w:val="20"/>
                              </w:rPr>
                              <w:tab/>
                              <w:t>NIM</w:t>
                            </w:r>
                          </w:p>
                          <w:p w14:paraId="6CB3C407" w14:textId="77777777" w:rsidR="00BA2E09" w:rsidRPr="00AA5BF6" w:rsidRDefault="00BA2E09" w:rsidP="00D32F33">
                            <w:pPr>
                              <w:pStyle w:val="FootnoteText"/>
                              <w:spacing w:after="0"/>
                              <w:rPr>
                                <w:rFonts w:cs="Arial"/>
                                <w:sz w:val="20"/>
                              </w:rPr>
                            </w:pPr>
                            <w:r w:rsidRPr="00AA5BF6">
                              <w:rPr>
                                <w:rFonts w:cs="Arial"/>
                                <w:sz w:val="20"/>
                              </w:rPr>
                              <w:t>PAC Meeting Date</w:t>
                            </w:r>
                            <w:r w:rsidRPr="00AA5BF6">
                              <w:rPr>
                                <w:rFonts w:cs="Arial"/>
                                <w:sz w:val="20"/>
                              </w:rPr>
                              <w:tab/>
                            </w:r>
                            <w:r w:rsidRPr="00AA5BF6">
                              <w:rPr>
                                <w:rFonts w:cs="Arial"/>
                                <w:sz w:val="20"/>
                              </w:rPr>
                              <w:tab/>
                            </w:r>
                            <w:r w:rsidRPr="00AA5BF6">
                              <w:rPr>
                                <w:rFonts w:cs="Arial"/>
                                <w:sz w:val="20"/>
                              </w:rPr>
                              <w:tab/>
                              <w:t>tbd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CE6035" id="Text Box 360" o:spid="_x0000_s1027" type="#_x0000_t202" style="position:absolute;left:0;text-align:left;margin-left:-6.75pt;margin-top:6.5pt;width:229.5pt;height:164.2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">
                <v:textbox>
                  <w:txbxContent>
                    <w:p w14:paraId="17DEAFAC" w14:textId="60EB161A" w:rsidR="00BA2E09" w:rsidRPr="00AA5BF6" w:rsidRDefault="00BA2E09" w:rsidP="00D32F33">
                      <w:pPr>
                        <w:spacing w:after="0"/>
                        <w:rPr>
                          <w:rFonts w:cs="Arial"/>
                          <w:sz w:val="20"/>
                          <w:szCs w:val="20"/>
                        </w:rPr>
                      </w:pPr>
                      <w:r>
                        <w:rPr>
                          <w:rFonts w:cs="Arial"/>
                          <w:sz w:val="20"/>
                          <w:szCs w:val="20"/>
                        </w:rPr>
                        <w:t>Programme Period:</w:t>
                      </w:r>
                      <w:r>
                        <w:rPr>
                          <w:rFonts w:cs="Arial"/>
                          <w:sz w:val="20"/>
                          <w:szCs w:val="20"/>
                        </w:rPr>
                        <w:tab/>
                      </w:r>
                      <w:r>
                        <w:rPr>
                          <w:rFonts w:cs="Arial"/>
                          <w:sz w:val="20"/>
                          <w:szCs w:val="20"/>
                        </w:rPr>
                        <w:tab/>
                      </w:r>
                      <w:r w:rsidRPr="00AA5BF6">
                        <w:rPr>
                          <w:rFonts w:cs="Arial"/>
                          <w:sz w:val="20"/>
                          <w:szCs w:val="20"/>
                        </w:rPr>
                        <w:t>2010-2015</w:t>
                      </w:r>
                    </w:p>
                    <w:p w14:paraId="5506053E" w14:textId="77777777" w:rsidR="00BA2E09" w:rsidRPr="00AA5BF6" w:rsidRDefault="00BA2E09" w:rsidP="00D32F33">
                      <w:pPr>
                        <w:spacing w:after="0"/>
                        <w:jc w:val="left"/>
                        <w:rPr>
                          <w:rFonts w:cs="Arial"/>
                          <w:sz w:val="20"/>
                          <w:szCs w:val="20"/>
                          <w:lang w:val="en-US"/>
                        </w:rPr>
                      </w:pPr>
                    </w:p>
                    <w:p w14:paraId="6303F85C" w14:textId="77777777" w:rsidR="00BA2E09" w:rsidRPr="00AA5BF6" w:rsidRDefault="00BA2E09" w:rsidP="00D32F33">
                      <w:pPr>
                        <w:spacing w:after="0"/>
                        <w:rPr>
                          <w:rFonts w:cs="Arial"/>
                          <w:sz w:val="20"/>
                          <w:szCs w:val="20"/>
                          <w:lang w:val="en-US"/>
                        </w:rPr>
                      </w:pPr>
                      <w:r w:rsidRPr="00AA5BF6">
                        <w:rPr>
                          <w:rFonts w:cs="Arial"/>
                          <w:sz w:val="20"/>
                          <w:szCs w:val="20"/>
                          <w:lang w:val="en-US"/>
                        </w:rPr>
                        <w:t>Atlas Award ID:</w:t>
                      </w:r>
                      <w:r w:rsidRPr="00AA5BF6">
                        <w:rPr>
                          <w:rFonts w:cs="Arial"/>
                          <w:sz w:val="20"/>
                          <w:szCs w:val="20"/>
                          <w:lang w:val="en-US"/>
                        </w:rPr>
                        <w:tab/>
                      </w:r>
                      <w:r w:rsidRPr="00AA5BF6">
                        <w:rPr>
                          <w:rFonts w:cs="Arial"/>
                          <w:sz w:val="20"/>
                          <w:szCs w:val="20"/>
                          <w:lang w:val="en-US"/>
                        </w:rPr>
                        <w:tab/>
                      </w:r>
                      <w:r w:rsidRPr="00AA5BF6">
                        <w:rPr>
                          <w:rFonts w:cs="Arial"/>
                          <w:sz w:val="20"/>
                          <w:szCs w:val="20"/>
                          <w:lang w:val="en-US"/>
                        </w:rPr>
                        <w:tab/>
                      </w:r>
                      <w:r w:rsidRPr="00AA5BF6">
                        <w:rPr>
                          <w:rFonts w:cs="Arial"/>
                          <w:color w:val="222222"/>
                          <w:sz w:val="20"/>
                          <w:szCs w:val="20"/>
                          <w:shd w:val="clear" w:color="auto" w:fill="FFFFFF"/>
                          <w:lang w:val="en-US"/>
                        </w:rPr>
                        <w:t>00082364</w:t>
                      </w:r>
                    </w:p>
                    <w:p w14:paraId="2A5BBD49" w14:textId="77777777" w:rsidR="00BA2E09" w:rsidRPr="00AA5BF6" w:rsidRDefault="00BA2E09" w:rsidP="00D32F33">
                      <w:pPr>
                        <w:spacing w:after="0"/>
                        <w:rPr>
                          <w:rFonts w:cs="Arial"/>
                          <w:sz w:val="20"/>
                          <w:szCs w:val="20"/>
                          <w:lang w:val="en-US"/>
                        </w:rPr>
                      </w:pPr>
                      <w:r w:rsidRPr="00AA5BF6">
                        <w:rPr>
                          <w:rFonts w:cs="Arial"/>
                          <w:sz w:val="20"/>
                          <w:szCs w:val="20"/>
                          <w:lang w:val="en-US"/>
                        </w:rPr>
                        <w:t>Project ID:</w:t>
                      </w:r>
                      <w:r w:rsidRPr="00AA5BF6">
                        <w:rPr>
                          <w:rFonts w:cs="Arial"/>
                          <w:sz w:val="20"/>
                          <w:szCs w:val="20"/>
                          <w:lang w:val="en-US"/>
                        </w:rPr>
                        <w:tab/>
                      </w:r>
                      <w:r w:rsidRPr="00AA5BF6">
                        <w:rPr>
                          <w:rFonts w:cs="Arial"/>
                          <w:sz w:val="20"/>
                          <w:szCs w:val="20"/>
                          <w:lang w:val="en-US"/>
                        </w:rPr>
                        <w:tab/>
                      </w:r>
                      <w:r w:rsidRPr="00AA5BF6">
                        <w:rPr>
                          <w:rFonts w:cs="Arial"/>
                          <w:sz w:val="20"/>
                          <w:szCs w:val="20"/>
                          <w:lang w:val="en-US"/>
                        </w:rPr>
                        <w:tab/>
                      </w:r>
                      <w:r w:rsidRPr="00AA5BF6">
                        <w:rPr>
                          <w:rFonts w:cs="Arial"/>
                          <w:color w:val="222222"/>
                          <w:sz w:val="20"/>
                          <w:szCs w:val="20"/>
                          <w:shd w:val="clear" w:color="auto" w:fill="FFFFFF"/>
                          <w:lang w:val="en-US"/>
                        </w:rPr>
                        <w:t>00091328</w:t>
                      </w:r>
                    </w:p>
                    <w:p w14:paraId="1C796786" w14:textId="77777777" w:rsidR="00BA2E09" w:rsidRPr="00AA5BF6" w:rsidRDefault="00BA2E09" w:rsidP="00D32F33">
                      <w:pPr>
                        <w:pStyle w:val="FootnoteText"/>
                        <w:spacing w:after="0"/>
                        <w:rPr>
                          <w:rFonts w:cs="Arial"/>
                          <w:sz w:val="20"/>
                        </w:rPr>
                      </w:pPr>
                      <w:r w:rsidRPr="00AA5BF6">
                        <w:rPr>
                          <w:rFonts w:cs="Arial"/>
                          <w:sz w:val="20"/>
                        </w:rPr>
                        <w:t>PIMS #</w:t>
                      </w:r>
                      <w:r w:rsidRPr="00AA5BF6">
                        <w:rPr>
                          <w:rFonts w:cs="Arial"/>
                          <w:sz w:val="20"/>
                        </w:rPr>
                        <w:tab/>
                      </w:r>
                      <w:r w:rsidRPr="00AA5BF6">
                        <w:rPr>
                          <w:rFonts w:cs="Arial"/>
                          <w:sz w:val="20"/>
                        </w:rPr>
                        <w:tab/>
                      </w:r>
                      <w:r w:rsidRPr="00AA5BF6">
                        <w:rPr>
                          <w:rFonts w:cs="Arial"/>
                          <w:sz w:val="20"/>
                        </w:rPr>
                        <w:tab/>
                      </w:r>
                      <w:r w:rsidRPr="00AA5BF6">
                        <w:rPr>
                          <w:rFonts w:cs="Arial"/>
                          <w:sz w:val="20"/>
                        </w:rPr>
                        <w:tab/>
                        <w:t>4670</w:t>
                      </w:r>
                    </w:p>
                    <w:p w14:paraId="78853686" w14:textId="77777777" w:rsidR="00BA2E09" w:rsidRPr="00AA5BF6" w:rsidRDefault="00BA2E09" w:rsidP="00D32F33">
                      <w:pPr>
                        <w:pStyle w:val="FootnoteText"/>
                        <w:spacing w:after="0"/>
                        <w:rPr>
                          <w:rFonts w:cs="Arial"/>
                          <w:sz w:val="20"/>
                        </w:rPr>
                      </w:pPr>
                    </w:p>
                    <w:p w14:paraId="2989B163" w14:textId="0C305080" w:rsidR="00BA2E09" w:rsidRPr="00AA5BF6" w:rsidRDefault="00BA2E09" w:rsidP="00D32F33">
                      <w:pPr>
                        <w:pStyle w:val="FootnoteText"/>
                        <w:spacing w:after="0"/>
                        <w:rPr>
                          <w:rFonts w:cs="Arial"/>
                          <w:sz w:val="20"/>
                        </w:rPr>
                      </w:pPr>
                      <w:r w:rsidRPr="00AA5BF6">
                        <w:rPr>
                          <w:rFonts w:cs="Arial"/>
                          <w:sz w:val="20"/>
                        </w:rPr>
                        <w:t>Start date:</w:t>
                      </w:r>
                      <w:r w:rsidRPr="00AA5BF6">
                        <w:rPr>
                          <w:rFonts w:cs="Arial"/>
                          <w:sz w:val="20"/>
                        </w:rPr>
                        <w:tab/>
                      </w:r>
                      <w:r>
                        <w:rPr>
                          <w:rFonts w:cs="Arial"/>
                          <w:sz w:val="20"/>
                        </w:rPr>
                        <w:t xml:space="preserve">       </w:t>
                      </w:r>
                      <w:r w:rsidRPr="00AA5BF6">
                        <w:rPr>
                          <w:rFonts w:cs="Arial"/>
                          <w:sz w:val="20"/>
                        </w:rPr>
                        <w:t xml:space="preserve">     </w:t>
                      </w:r>
                      <w:r w:rsidRPr="00AA5BF6">
                        <w:rPr>
                          <w:rFonts w:cs="Arial"/>
                          <w:sz w:val="20"/>
                        </w:rPr>
                        <w:tab/>
                      </w:r>
                      <w:r>
                        <w:rPr>
                          <w:rFonts w:cs="Arial"/>
                          <w:sz w:val="20"/>
                        </w:rPr>
                        <w:t xml:space="preserve">           </w:t>
                      </w:r>
                      <w:r w:rsidRPr="00AA5BF6">
                        <w:rPr>
                          <w:rFonts w:cs="Arial"/>
                          <w:sz w:val="20"/>
                        </w:rPr>
                        <w:t>October 2014</w:t>
                      </w:r>
                    </w:p>
                    <w:p w14:paraId="2266DC70" w14:textId="779582BD" w:rsidR="00BA2E09" w:rsidRPr="00AA5BF6" w:rsidRDefault="00BA2E09" w:rsidP="00D32F33">
                      <w:pPr>
                        <w:pStyle w:val="FootnoteText"/>
                        <w:spacing w:after="0"/>
                        <w:rPr>
                          <w:rFonts w:cs="Arial"/>
                          <w:sz w:val="20"/>
                        </w:rPr>
                      </w:pPr>
                      <w:r w:rsidRPr="00AA5BF6">
                        <w:rPr>
                          <w:rFonts w:cs="Arial"/>
                          <w:sz w:val="20"/>
                        </w:rPr>
                        <w:t>End Date</w:t>
                      </w:r>
                      <w:r w:rsidRPr="00AA5BF6">
                        <w:rPr>
                          <w:rFonts w:cs="Arial"/>
                          <w:sz w:val="20"/>
                        </w:rPr>
                        <w:tab/>
                        <w:t xml:space="preserve">                </w:t>
                      </w:r>
                      <w:r>
                        <w:rPr>
                          <w:rFonts w:cs="Arial"/>
                          <w:sz w:val="20"/>
                        </w:rPr>
                        <w:t xml:space="preserve">        </w:t>
                      </w:r>
                      <w:r w:rsidRPr="00AA5BF6">
                        <w:rPr>
                          <w:rFonts w:cs="Arial"/>
                          <w:sz w:val="20"/>
                        </w:rPr>
                        <w:t>September 2019</w:t>
                      </w:r>
                    </w:p>
                    <w:p w14:paraId="5F237460" w14:textId="77777777" w:rsidR="00BA2E09" w:rsidRPr="00AA5BF6" w:rsidRDefault="00BA2E09" w:rsidP="00D32F33">
                      <w:pPr>
                        <w:pStyle w:val="FootnoteText"/>
                        <w:spacing w:after="0"/>
                        <w:rPr>
                          <w:rFonts w:cs="Arial"/>
                          <w:sz w:val="20"/>
                        </w:rPr>
                      </w:pPr>
                    </w:p>
                    <w:p w14:paraId="6E346FD9" w14:textId="77777777" w:rsidR="00BA2E09" w:rsidRPr="00AA5BF6" w:rsidRDefault="00BA2E09" w:rsidP="00D32F33">
                      <w:pPr>
                        <w:pStyle w:val="FootnoteText"/>
                        <w:spacing w:after="0"/>
                        <w:rPr>
                          <w:rFonts w:cs="Arial"/>
                          <w:sz w:val="20"/>
                        </w:rPr>
                      </w:pPr>
                      <w:r w:rsidRPr="00AA5BF6">
                        <w:rPr>
                          <w:rFonts w:cs="Arial"/>
                          <w:sz w:val="20"/>
                        </w:rPr>
                        <w:t>Management Arrangements</w:t>
                      </w:r>
                      <w:r w:rsidRPr="00AA5BF6">
                        <w:rPr>
                          <w:rFonts w:cs="Arial"/>
                          <w:sz w:val="20"/>
                        </w:rPr>
                        <w:tab/>
                      </w:r>
                      <w:r w:rsidRPr="00AA5BF6">
                        <w:rPr>
                          <w:rFonts w:cs="Arial"/>
                          <w:sz w:val="20"/>
                        </w:rPr>
                        <w:tab/>
                        <w:t>NIM</w:t>
                      </w:r>
                    </w:p>
                    <w:p w14:paraId="6CB3C407" w14:textId="77777777" w:rsidR="00BA2E09" w:rsidRPr="00AA5BF6" w:rsidRDefault="00BA2E09" w:rsidP="00D32F33">
                      <w:pPr>
                        <w:pStyle w:val="FootnoteText"/>
                        <w:spacing w:after="0"/>
                        <w:rPr>
                          <w:rFonts w:cs="Arial"/>
                          <w:sz w:val="20"/>
                        </w:rPr>
                      </w:pPr>
                      <w:r w:rsidRPr="00AA5BF6">
                        <w:rPr>
                          <w:rFonts w:cs="Arial"/>
                          <w:sz w:val="20"/>
                        </w:rPr>
                        <w:t>PAC Meeting Date</w:t>
                      </w:r>
                      <w:r w:rsidRPr="00AA5BF6">
                        <w:rPr>
                          <w:rFonts w:cs="Arial"/>
                          <w:sz w:val="20"/>
                        </w:rPr>
                        <w:tab/>
                      </w:r>
                      <w:r w:rsidRPr="00AA5BF6">
                        <w:rPr>
                          <w:rFonts w:cs="Arial"/>
                          <w:sz w:val="20"/>
                        </w:rPr>
                        <w:tab/>
                      </w:r>
                      <w:r w:rsidRPr="00AA5BF6">
                        <w:rPr>
                          <w:rFonts w:cs="Arial"/>
                          <w:sz w:val="20"/>
                        </w:rPr>
                        <w:tab/>
                        <w:t>tbd</w:t>
                      </w:r>
                    </w:p>
                  </w:txbxContent>
                </v:textbox>
                <w10:wrap type="tight"/>
              </v:shape>
            </w:pict>
          </mc:Fallback>
        </mc:AlternateContent>
      </w:r>
      <w:r w:rsidR="00AA5BF6">
        <w:rPr>
          <w:rFonts w:cs="Arial"/>
          <w:noProof/>
          <w:sz w:val="20"/>
          <w:szCs w:val="20"/>
          <w:lang w:val="en-US"/>
        </w:rPr>
        <mc:AlternateContent>
          <mc:Choice Requires="wps">
            <w:drawing>
              <wp:anchor distT="0" distB="0" distL="114300" distR="114300" simplePos="0" relativeHeight="251674112" behindDoc="0" locked="0" layoutInCell="1" allowOverlap="1" wp14:anchorId="526D5012" wp14:editId="37B4D734">
                <wp:simplePos x="0" y="0"/>
                <wp:positionH relativeFrom="column">
                  <wp:posOffset>80010</wp:posOffset>
                </wp:positionH>
                <wp:positionV relativeFrom="paragraph">
                  <wp:posOffset>82550</wp:posOffset>
                </wp:positionV>
                <wp:extent cx="2962910" cy="2085975"/>
                <wp:effectExtent l="0" t="0" r="27940" b="28575"/>
                <wp:wrapNone/>
                <wp:docPr id="453" name="Text Box 3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910" cy="2085975"/>
                        </a:xfrm>
                        <a:prstGeom prst="rect">
                          <a:avLst/>
                        </a:prstGeom>
                        <a:solidFill>
                          <a:srgbClr val="FFFFFF"/>
                        </a:solidFill>
                        <a:ln w="9525">
                          <a:solidFill>
                            <a:srgbClr val="000000"/>
                          </a:solidFill>
                          <a:miter lim="800000"/>
                          <a:headEnd/>
                          <a:tailEnd/>
                        </a:ln>
                      </wps:spPr>
                      <wps:txbx>
                        <w:txbxContent>
                          <w:p w14:paraId="73FC5313" w14:textId="2207554F" w:rsidR="00BA2E09" w:rsidRPr="00D32F33" w:rsidRDefault="00BA2E09" w:rsidP="00D32F33">
                            <w:pPr>
                              <w:spacing w:after="0"/>
                              <w:rPr>
                                <w:rFonts w:cs="Arial"/>
                                <w:sz w:val="20"/>
                              </w:rPr>
                            </w:pPr>
                            <w:r w:rsidRPr="00D32F33">
                              <w:rPr>
                                <w:rFonts w:cs="Arial"/>
                                <w:sz w:val="20"/>
                              </w:rPr>
                              <w:t xml:space="preserve">Total resources required:  </w:t>
                            </w:r>
                            <w:r w:rsidR="00C714AF" w:rsidRPr="00C714AF">
                              <w:rPr>
                                <w:rFonts w:cs="Arial"/>
                                <w:sz w:val="20"/>
                              </w:rPr>
                              <w:t>71,319,094</w:t>
                            </w:r>
                            <w:r w:rsidR="00C714AF">
                              <w:rPr>
                                <w:rFonts w:cs="Arial"/>
                                <w:sz w:val="20"/>
                              </w:rPr>
                              <w:t xml:space="preserve"> </w:t>
                            </w:r>
                            <w:r w:rsidRPr="00D32F33">
                              <w:rPr>
                                <w:rFonts w:cs="Arial"/>
                                <w:sz w:val="20"/>
                              </w:rPr>
                              <w:t>USD</w:t>
                            </w:r>
                          </w:p>
                          <w:p w14:paraId="6B0DB3B4" w14:textId="77777777" w:rsidR="00BA2E09" w:rsidRPr="00D32F33" w:rsidRDefault="00BA2E09" w:rsidP="00D32F33">
                            <w:pPr>
                              <w:spacing w:after="0"/>
                              <w:rPr>
                                <w:rFonts w:cs="Arial"/>
                                <w:sz w:val="20"/>
                                <w:szCs w:val="20"/>
                              </w:rPr>
                            </w:pPr>
                          </w:p>
                          <w:p w14:paraId="0708B866" w14:textId="3DE868B9" w:rsidR="00BA2E09" w:rsidRPr="00D32F33" w:rsidRDefault="00BA2E09" w:rsidP="00D32F33">
                            <w:pPr>
                              <w:spacing w:after="0"/>
                              <w:rPr>
                                <w:rFonts w:cs="Arial"/>
                                <w:sz w:val="20"/>
                                <w:szCs w:val="20"/>
                              </w:rPr>
                            </w:pPr>
                            <w:r w:rsidRPr="00D32F33">
                              <w:rPr>
                                <w:rFonts w:cs="Arial"/>
                                <w:sz w:val="20"/>
                                <w:szCs w:val="20"/>
                              </w:rPr>
                              <w:t xml:space="preserve">Total allocated resources: </w:t>
                            </w:r>
                            <w:r w:rsidR="00C714AF" w:rsidRPr="00C714AF">
                              <w:rPr>
                                <w:rFonts w:cs="Arial"/>
                                <w:sz w:val="20"/>
                              </w:rPr>
                              <w:t>71,319,094</w:t>
                            </w:r>
                            <w:r w:rsidR="00C714AF">
                              <w:rPr>
                                <w:rFonts w:cs="Arial"/>
                                <w:sz w:val="20"/>
                              </w:rPr>
                              <w:t xml:space="preserve"> </w:t>
                            </w:r>
                            <w:r w:rsidRPr="00D32F33">
                              <w:rPr>
                                <w:rFonts w:cs="Arial"/>
                                <w:sz w:val="20"/>
                                <w:szCs w:val="20"/>
                              </w:rPr>
                              <w:t>USD</w:t>
                            </w:r>
                          </w:p>
                          <w:p w14:paraId="06C699F5" w14:textId="77777777" w:rsidR="00BA2E09" w:rsidRPr="00D32F33" w:rsidRDefault="00BA2E09" w:rsidP="00D32F33">
                            <w:pPr>
                              <w:pStyle w:val="ListParagraph"/>
                              <w:ind w:left="0"/>
                              <w:rPr>
                                <w:rFonts w:ascii="Arial" w:hAnsi="Arial" w:cs="Arial"/>
                                <w:sz w:val="20"/>
                                <w:szCs w:val="20"/>
                              </w:rPr>
                            </w:pPr>
                          </w:p>
                          <w:p w14:paraId="5DB73A4C" w14:textId="77777777" w:rsidR="00BA2E09" w:rsidRPr="00D32F33" w:rsidRDefault="00BA2E09" w:rsidP="007D6892">
                            <w:pPr>
                              <w:pStyle w:val="ListParagraph"/>
                              <w:numPr>
                                <w:ilvl w:val="0"/>
                                <w:numId w:val="53"/>
                              </w:numPr>
                              <w:rPr>
                                <w:rFonts w:ascii="Arial" w:hAnsi="Arial" w:cs="Arial"/>
                                <w:sz w:val="20"/>
                                <w:szCs w:val="20"/>
                                <w:u w:val="single"/>
                              </w:rPr>
                            </w:pPr>
                            <w:r w:rsidRPr="00D32F33">
                              <w:rPr>
                                <w:rFonts w:ascii="Arial" w:hAnsi="Arial" w:cs="Arial"/>
                                <w:sz w:val="20"/>
                                <w:szCs w:val="20"/>
                                <w:u w:val="single"/>
                              </w:rPr>
                              <w:t>Cash resources:</w:t>
                            </w:r>
                          </w:p>
                          <w:p w14:paraId="1E653DAD" w14:textId="5AE2D75B" w:rsidR="00BA2E09" w:rsidRPr="00D32F33" w:rsidRDefault="00BA2E09" w:rsidP="007D6892">
                            <w:pPr>
                              <w:pStyle w:val="ListParagraph"/>
                              <w:numPr>
                                <w:ilvl w:val="1"/>
                                <w:numId w:val="53"/>
                              </w:numPr>
                              <w:rPr>
                                <w:rFonts w:ascii="Arial" w:hAnsi="Arial" w:cs="Arial"/>
                                <w:sz w:val="20"/>
                                <w:szCs w:val="20"/>
                              </w:rPr>
                            </w:pPr>
                            <w:r w:rsidRPr="00D32F33">
                              <w:rPr>
                                <w:rFonts w:ascii="Arial" w:hAnsi="Arial" w:cs="Arial"/>
                                <w:sz w:val="20"/>
                                <w:szCs w:val="20"/>
                              </w:rPr>
                              <w:t>GEF                 5,930,000 USD</w:t>
                            </w:r>
                          </w:p>
                          <w:p w14:paraId="0705E0B1" w14:textId="77777777" w:rsidR="00BA2E09" w:rsidRPr="00D32F33" w:rsidRDefault="00BA2E09" w:rsidP="007D6892">
                            <w:pPr>
                              <w:pStyle w:val="ListParagraph"/>
                              <w:numPr>
                                <w:ilvl w:val="1"/>
                                <w:numId w:val="53"/>
                              </w:numPr>
                              <w:rPr>
                                <w:rFonts w:ascii="Arial" w:hAnsi="Arial" w:cs="Arial"/>
                                <w:sz w:val="20"/>
                                <w:szCs w:val="20"/>
                              </w:rPr>
                            </w:pPr>
                            <w:r w:rsidRPr="00D32F33">
                              <w:rPr>
                                <w:rFonts w:ascii="Arial" w:hAnsi="Arial" w:cs="Arial"/>
                                <w:sz w:val="20"/>
                                <w:szCs w:val="20"/>
                              </w:rPr>
                              <w:t>UNDP                   60,000 USD</w:t>
                            </w:r>
                          </w:p>
                          <w:p w14:paraId="650746ED" w14:textId="0789A911" w:rsidR="00BA2E09" w:rsidRPr="00D32F33" w:rsidRDefault="00BA2E09" w:rsidP="007D6892">
                            <w:pPr>
                              <w:pStyle w:val="ListParagraph"/>
                              <w:numPr>
                                <w:ilvl w:val="1"/>
                                <w:numId w:val="53"/>
                              </w:numPr>
                              <w:rPr>
                                <w:rFonts w:ascii="Arial" w:hAnsi="Arial" w:cs="Arial"/>
                                <w:sz w:val="20"/>
                                <w:szCs w:val="20"/>
                              </w:rPr>
                            </w:pPr>
                            <w:r w:rsidRPr="00D32F33">
                              <w:rPr>
                                <w:rFonts w:ascii="Arial" w:hAnsi="Arial" w:cs="Arial"/>
                                <w:sz w:val="20"/>
                                <w:szCs w:val="20"/>
                              </w:rPr>
                              <w:t>Government   30,893,435 USD</w:t>
                            </w:r>
                          </w:p>
                          <w:p w14:paraId="0525C641" w14:textId="77777777" w:rsidR="00BA2E09" w:rsidRDefault="00BA2E09" w:rsidP="007D6892">
                            <w:pPr>
                              <w:pStyle w:val="ListParagraph"/>
                              <w:numPr>
                                <w:ilvl w:val="0"/>
                                <w:numId w:val="52"/>
                              </w:numPr>
                              <w:ind w:left="0"/>
                              <w:rPr>
                                <w:rFonts w:ascii="Arial" w:hAnsi="Arial" w:cs="Arial"/>
                                <w:sz w:val="20"/>
                                <w:szCs w:val="20"/>
                              </w:rPr>
                            </w:pPr>
                          </w:p>
                          <w:p w14:paraId="21979639" w14:textId="77777777" w:rsidR="00BA2E09" w:rsidRDefault="00BA2E09" w:rsidP="007D6892">
                            <w:pPr>
                              <w:pStyle w:val="ListParagraph"/>
                              <w:numPr>
                                <w:ilvl w:val="0"/>
                                <w:numId w:val="52"/>
                              </w:numPr>
                              <w:ind w:left="0"/>
                              <w:rPr>
                                <w:rFonts w:ascii="Arial" w:hAnsi="Arial" w:cs="Arial"/>
                                <w:sz w:val="20"/>
                                <w:szCs w:val="20"/>
                              </w:rPr>
                            </w:pPr>
                            <w:r>
                              <w:rPr>
                                <w:rFonts w:ascii="Arial" w:hAnsi="Arial" w:cs="Arial"/>
                                <w:sz w:val="20"/>
                                <w:szCs w:val="20"/>
                              </w:rPr>
                              <w:t xml:space="preserve">       - </w:t>
                            </w:r>
                            <w:r>
                              <w:rPr>
                                <w:rFonts w:ascii="Arial" w:hAnsi="Arial" w:cs="Arial"/>
                                <w:sz w:val="20"/>
                                <w:szCs w:val="20"/>
                              </w:rPr>
                              <w:tab/>
                            </w:r>
                            <w:r w:rsidRPr="00D32F33">
                              <w:rPr>
                                <w:rFonts w:ascii="Arial" w:hAnsi="Arial" w:cs="Arial"/>
                                <w:sz w:val="20"/>
                                <w:szCs w:val="20"/>
                                <w:u w:val="single"/>
                              </w:rPr>
                              <w:t>In-kind contributions</w:t>
                            </w:r>
                            <w:r w:rsidRPr="00D32F33">
                              <w:rPr>
                                <w:rFonts w:ascii="Arial" w:hAnsi="Arial" w:cs="Arial"/>
                                <w:sz w:val="20"/>
                                <w:szCs w:val="20"/>
                              </w:rPr>
                              <w:t>:</w:t>
                            </w:r>
                          </w:p>
                          <w:p w14:paraId="51E6AD84" w14:textId="77777777" w:rsidR="00BA2E09" w:rsidRPr="00D32F33" w:rsidRDefault="00BA2E09" w:rsidP="007D6892">
                            <w:pPr>
                              <w:pStyle w:val="ListParagraph"/>
                              <w:numPr>
                                <w:ilvl w:val="0"/>
                                <w:numId w:val="52"/>
                              </w:numPr>
                              <w:ind w:left="0"/>
                              <w:rPr>
                                <w:rFonts w:ascii="Arial" w:hAnsi="Arial" w:cs="Arial"/>
                                <w:sz w:val="20"/>
                                <w:szCs w:val="20"/>
                              </w:rPr>
                            </w:pPr>
                          </w:p>
                          <w:p w14:paraId="669696BC" w14:textId="65D5CC16" w:rsidR="00BA2E09" w:rsidRDefault="00BA2E09" w:rsidP="007D6892">
                            <w:pPr>
                              <w:pStyle w:val="ListParagraph"/>
                              <w:numPr>
                                <w:ilvl w:val="1"/>
                                <w:numId w:val="52"/>
                              </w:numPr>
                              <w:ind w:hanging="720"/>
                              <w:rPr>
                                <w:rFonts w:ascii="Arial" w:hAnsi="Arial" w:cs="Arial"/>
                                <w:sz w:val="20"/>
                                <w:szCs w:val="20"/>
                              </w:rPr>
                            </w:pPr>
                            <w:r w:rsidRPr="00D32F33">
                              <w:rPr>
                                <w:rFonts w:ascii="Arial" w:hAnsi="Arial" w:cs="Arial"/>
                                <w:sz w:val="20"/>
                                <w:szCs w:val="20"/>
                              </w:rPr>
                              <w:t>Other</w:t>
                            </w:r>
                            <w:r>
                              <w:rPr>
                                <w:rFonts w:ascii="Arial" w:hAnsi="Arial" w:cs="Arial"/>
                                <w:sz w:val="20"/>
                                <w:szCs w:val="20"/>
                              </w:rPr>
                              <w:t xml:space="preserve">        </w:t>
                            </w:r>
                            <w:r w:rsidRPr="00D32F33">
                              <w:rPr>
                                <w:rFonts w:ascii="Arial" w:hAnsi="Arial" w:cs="Arial"/>
                                <w:sz w:val="20"/>
                                <w:szCs w:val="20"/>
                              </w:rPr>
                              <w:t>3</w:t>
                            </w:r>
                            <w:r w:rsidR="00C714AF">
                              <w:rPr>
                                <w:rFonts w:ascii="Arial" w:hAnsi="Arial" w:cs="Arial"/>
                                <w:sz w:val="20"/>
                                <w:szCs w:val="20"/>
                              </w:rPr>
                              <w:t>3</w:t>
                            </w:r>
                            <w:r w:rsidRPr="00D32F33">
                              <w:rPr>
                                <w:rFonts w:ascii="Arial" w:hAnsi="Arial" w:cs="Arial"/>
                                <w:sz w:val="20"/>
                                <w:szCs w:val="20"/>
                              </w:rPr>
                              <w:t>,</w:t>
                            </w:r>
                            <w:r w:rsidR="00C714AF">
                              <w:rPr>
                                <w:rFonts w:ascii="Arial" w:hAnsi="Arial" w:cs="Arial"/>
                                <w:sz w:val="20"/>
                                <w:szCs w:val="20"/>
                              </w:rPr>
                              <w:t>4</w:t>
                            </w:r>
                            <w:r w:rsidRPr="00D32F33">
                              <w:rPr>
                                <w:rFonts w:ascii="Arial" w:hAnsi="Arial" w:cs="Arial"/>
                                <w:sz w:val="20"/>
                                <w:szCs w:val="20"/>
                              </w:rPr>
                              <w:t>35,659</w:t>
                            </w:r>
                            <w:r>
                              <w:rPr>
                                <w:rFonts w:ascii="Arial" w:hAnsi="Arial" w:cs="Arial"/>
                                <w:sz w:val="20"/>
                                <w:szCs w:val="20"/>
                              </w:rPr>
                              <w:t xml:space="preserve"> USD</w:t>
                            </w:r>
                          </w:p>
                          <w:p w14:paraId="28284967" w14:textId="63F02930" w:rsidR="00BA2E09" w:rsidRPr="00D32F33" w:rsidRDefault="00BA2E09" w:rsidP="007D6892">
                            <w:pPr>
                              <w:pStyle w:val="ListParagraph"/>
                              <w:numPr>
                                <w:ilvl w:val="1"/>
                                <w:numId w:val="52"/>
                              </w:numPr>
                              <w:ind w:hanging="720"/>
                              <w:rPr>
                                <w:rFonts w:ascii="Arial" w:hAnsi="Arial" w:cs="Arial"/>
                                <w:sz w:val="20"/>
                                <w:szCs w:val="20"/>
                              </w:rPr>
                            </w:pPr>
                            <w:r>
                              <w:rPr>
                                <w:rFonts w:ascii="Arial" w:hAnsi="Arial" w:cs="Arial"/>
                                <w:sz w:val="20"/>
                                <w:szCs w:val="20"/>
                              </w:rPr>
                              <w:t>UNDP         1,000,000 USD</w:t>
                            </w:r>
                          </w:p>
                          <w:p w14:paraId="13E2E950" w14:textId="0C0D088D" w:rsidR="00BA2E09" w:rsidRPr="00D32F33" w:rsidRDefault="00BA2E09" w:rsidP="002C09FC">
                            <w:pPr>
                              <w:spacing w:after="0"/>
                              <w:jc w:val="left"/>
                              <w:rPr>
                                <w:rFonts w:cs="Arial"/>
                                <w:sz w:val="20"/>
                                <w:szCs w:val="20"/>
                              </w:rPr>
                            </w:pPr>
                            <w:r w:rsidRPr="00D32F33">
                              <w:rPr>
                                <w:rFonts w:cs="Arial"/>
                                <w:sz w:val="20"/>
                                <w:szCs w:val="20"/>
                              </w:rPr>
                              <w:tab/>
                            </w:r>
                          </w:p>
                          <w:p w14:paraId="031D5864" w14:textId="77777777" w:rsidR="00BA2E09" w:rsidRPr="00D32F33" w:rsidRDefault="00BA2E09" w:rsidP="00DA7596">
                            <w:pPr>
                              <w:rPr>
                                <w:rFonts w:cs="Arial"/>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6D5012" id="Text Box 359" o:spid="_x0000_s1028" type="#_x0000_t202" style="position:absolute;left:0;text-align:left;margin-left:6.3pt;margin-top:6.5pt;width:233.3pt;height:164.2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">
                <v:textbox>
                  <w:txbxContent>
                    <w:p w14:paraId="73FC5313" w14:textId="2207554F" w:rsidR="00BA2E09" w:rsidRPr="00D32F33" w:rsidRDefault="00BA2E09" w:rsidP="00D32F33">
                      <w:pPr>
                        <w:spacing w:after="0"/>
                        <w:rPr>
                          <w:rFonts w:cs="Arial"/>
                          <w:sz w:val="20"/>
                        </w:rPr>
                      </w:pPr>
                      <w:r w:rsidRPr="00D32F33">
                        <w:rPr>
                          <w:rFonts w:cs="Arial"/>
                          <w:sz w:val="20"/>
                        </w:rPr>
                        <w:t xml:space="preserve">Total resources required:  </w:t>
                      </w:r>
                      <w:r w:rsidR="00C714AF" w:rsidRPr="00C714AF">
                        <w:rPr>
                          <w:rFonts w:cs="Arial"/>
                          <w:sz w:val="20"/>
                        </w:rPr>
                        <w:t>71,319,094</w:t>
                      </w:r>
                      <w:r w:rsidR="00C714AF">
                        <w:rPr>
                          <w:rFonts w:cs="Arial"/>
                          <w:sz w:val="20"/>
                        </w:rPr>
                        <w:t xml:space="preserve"> </w:t>
                      </w:r>
                      <w:r w:rsidRPr="00D32F33">
                        <w:rPr>
                          <w:rFonts w:cs="Arial"/>
                          <w:sz w:val="20"/>
                        </w:rPr>
                        <w:t>USD</w:t>
                      </w:r>
                    </w:p>
                    <w:p w14:paraId="6B0DB3B4" w14:textId="77777777" w:rsidR="00BA2E09" w:rsidRPr="00D32F33" w:rsidRDefault="00BA2E09" w:rsidP="00D32F33">
                      <w:pPr>
                        <w:spacing w:after="0"/>
                        <w:rPr>
                          <w:rFonts w:cs="Arial"/>
                          <w:sz w:val="20"/>
                          <w:szCs w:val="20"/>
                        </w:rPr>
                      </w:pPr>
                    </w:p>
                    <w:p w14:paraId="0708B866" w14:textId="3DE868B9" w:rsidR="00BA2E09" w:rsidRPr="00D32F33" w:rsidRDefault="00BA2E09" w:rsidP="00D32F33">
                      <w:pPr>
                        <w:spacing w:after="0"/>
                        <w:rPr>
                          <w:rFonts w:cs="Arial"/>
                          <w:sz w:val="20"/>
                          <w:szCs w:val="20"/>
                        </w:rPr>
                      </w:pPr>
                      <w:r w:rsidRPr="00D32F33">
                        <w:rPr>
                          <w:rFonts w:cs="Arial"/>
                          <w:sz w:val="20"/>
                          <w:szCs w:val="20"/>
                        </w:rPr>
                        <w:t xml:space="preserve">Total allocated resources: </w:t>
                      </w:r>
                      <w:r w:rsidR="00C714AF" w:rsidRPr="00C714AF">
                        <w:rPr>
                          <w:rFonts w:cs="Arial"/>
                          <w:sz w:val="20"/>
                        </w:rPr>
                        <w:t>71,319,094</w:t>
                      </w:r>
                      <w:r w:rsidR="00C714AF">
                        <w:rPr>
                          <w:rFonts w:cs="Arial"/>
                          <w:sz w:val="20"/>
                        </w:rPr>
                        <w:t xml:space="preserve"> </w:t>
                      </w:r>
                      <w:r w:rsidRPr="00D32F33">
                        <w:rPr>
                          <w:rFonts w:cs="Arial"/>
                          <w:sz w:val="20"/>
                          <w:szCs w:val="20"/>
                        </w:rPr>
                        <w:t>USD</w:t>
                      </w:r>
                    </w:p>
                    <w:p w14:paraId="06C699F5" w14:textId="77777777" w:rsidR="00BA2E09" w:rsidRPr="00D32F33" w:rsidRDefault="00BA2E09" w:rsidP="00D32F33">
                      <w:pPr>
                        <w:pStyle w:val="ListParagraph"/>
                        <w:ind w:left="0"/>
                        <w:rPr>
                          <w:rFonts w:ascii="Arial" w:hAnsi="Arial" w:cs="Arial"/>
                          <w:sz w:val="20"/>
                          <w:szCs w:val="20"/>
                        </w:rPr>
                      </w:pPr>
                    </w:p>
                    <w:p w14:paraId="5DB73A4C" w14:textId="77777777" w:rsidR="00BA2E09" w:rsidRPr="00D32F33" w:rsidRDefault="00BA2E09" w:rsidP="007D6892">
                      <w:pPr>
                        <w:pStyle w:val="ListParagraph"/>
                        <w:numPr>
                          <w:ilvl w:val="0"/>
                          <w:numId w:val="53"/>
                        </w:numPr>
                        <w:rPr>
                          <w:rFonts w:ascii="Arial" w:hAnsi="Arial" w:cs="Arial"/>
                          <w:sz w:val="20"/>
                          <w:szCs w:val="20"/>
                          <w:u w:val="single"/>
                        </w:rPr>
                      </w:pPr>
                      <w:r w:rsidRPr="00D32F33">
                        <w:rPr>
                          <w:rFonts w:ascii="Arial" w:hAnsi="Arial" w:cs="Arial"/>
                          <w:sz w:val="20"/>
                          <w:szCs w:val="20"/>
                          <w:u w:val="single"/>
                        </w:rPr>
                        <w:t>Cash resources:</w:t>
                      </w:r>
                    </w:p>
                    <w:p w14:paraId="1E653DAD" w14:textId="5AE2D75B" w:rsidR="00BA2E09" w:rsidRPr="00D32F33" w:rsidRDefault="00BA2E09" w:rsidP="007D6892">
                      <w:pPr>
                        <w:pStyle w:val="ListParagraph"/>
                        <w:numPr>
                          <w:ilvl w:val="1"/>
                          <w:numId w:val="53"/>
                        </w:numPr>
                        <w:rPr>
                          <w:rFonts w:ascii="Arial" w:hAnsi="Arial" w:cs="Arial"/>
                          <w:sz w:val="20"/>
                          <w:szCs w:val="20"/>
                        </w:rPr>
                      </w:pPr>
                      <w:r w:rsidRPr="00D32F33">
                        <w:rPr>
                          <w:rFonts w:ascii="Arial" w:hAnsi="Arial" w:cs="Arial"/>
                          <w:sz w:val="20"/>
                          <w:szCs w:val="20"/>
                        </w:rPr>
                        <w:t>GEF                 5,930,000 USD</w:t>
                      </w:r>
                    </w:p>
                    <w:p w14:paraId="0705E0B1" w14:textId="77777777" w:rsidR="00BA2E09" w:rsidRPr="00D32F33" w:rsidRDefault="00BA2E09" w:rsidP="007D6892">
                      <w:pPr>
                        <w:pStyle w:val="ListParagraph"/>
                        <w:numPr>
                          <w:ilvl w:val="1"/>
                          <w:numId w:val="53"/>
                        </w:numPr>
                        <w:rPr>
                          <w:rFonts w:ascii="Arial" w:hAnsi="Arial" w:cs="Arial"/>
                          <w:sz w:val="20"/>
                          <w:szCs w:val="20"/>
                        </w:rPr>
                      </w:pPr>
                      <w:r w:rsidRPr="00D32F33">
                        <w:rPr>
                          <w:rFonts w:ascii="Arial" w:hAnsi="Arial" w:cs="Arial"/>
                          <w:sz w:val="20"/>
                          <w:szCs w:val="20"/>
                        </w:rPr>
                        <w:t>UNDP                   60,000 USD</w:t>
                      </w:r>
                    </w:p>
                    <w:p w14:paraId="650746ED" w14:textId="0789A911" w:rsidR="00BA2E09" w:rsidRPr="00D32F33" w:rsidRDefault="00BA2E09" w:rsidP="007D6892">
                      <w:pPr>
                        <w:pStyle w:val="ListParagraph"/>
                        <w:numPr>
                          <w:ilvl w:val="1"/>
                          <w:numId w:val="53"/>
                        </w:numPr>
                        <w:rPr>
                          <w:rFonts w:ascii="Arial" w:hAnsi="Arial" w:cs="Arial"/>
                          <w:sz w:val="20"/>
                          <w:szCs w:val="20"/>
                        </w:rPr>
                      </w:pPr>
                      <w:r w:rsidRPr="00D32F33">
                        <w:rPr>
                          <w:rFonts w:ascii="Arial" w:hAnsi="Arial" w:cs="Arial"/>
                          <w:sz w:val="20"/>
                          <w:szCs w:val="20"/>
                        </w:rPr>
                        <w:t>Government   30,893,435 USD</w:t>
                      </w:r>
                    </w:p>
                    <w:p w14:paraId="0525C641" w14:textId="77777777" w:rsidR="00BA2E09" w:rsidRDefault="00BA2E09" w:rsidP="007D6892">
                      <w:pPr>
                        <w:pStyle w:val="ListParagraph"/>
                        <w:numPr>
                          <w:ilvl w:val="0"/>
                          <w:numId w:val="52"/>
                        </w:numPr>
                        <w:ind w:left="0"/>
                        <w:rPr>
                          <w:rFonts w:ascii="Arial" w:hAnsi="Arial" w:cs="Arial"/>
                          <w:sz w:val="20"/>
                          <w:szCs w:val="20"/>
                        </w:rPr>
                      </w:pPr>
                    </w:p>
                    <w:p w14:paraId="21979639" w14:textId="77777777" w:rsidR="00BA2E09" w:rsidRDefault="00BA2E09" w:rsidP="007D6892">
                      <w:pPr>
                        <w:pStyle w:val="ListParagraph"/>
                        <w:numPr>
                          <w:ilvl w:val="0"/>
                          <w:numId w:val="52"/>
                        </w:numPr>
                        <w:ind w:left="0"/>
                        <w:rPr>
                          <w:rFonts w:ascii="Arial" w:hAnsi="Arial" w:cs="Arial"/>
                          <w:sz w:val="20"/>
                          <w:szCs w:val="20"/>
                        </w:rPr>
                      </w:pPr>
                      <w:r>
                        <w:rPr>
                          <w:rFonts w:ascii="Arial" w:hAnsi="Arial" w:cs="Arial"/>
                          <w:sz w:val="20"/>
                          <w:szCs w:val="20"/>
                        </w:rPr>
                        <w:t xml:space="preserve">       - </w:t>
                      </w:r>
                      <w:r>
                        <w:rPr>
                          <w:rFonts w:ascii="Arial" w:hAnsi="Arial" w:cs="Arial"/>
                          <w:sz w:val="20"/>
                          <w:szCs w:val="20"/>
                        </w:rPr>
                        <w:tab/>
                      </w:r>
                      <w:r w:rsidRPr="00D32F33">
                        <w:rPr>
                          <w:rFonts w:ascii="Arial" w:hAnsi="Arial" w:cs="Arial"/>
                          <w:sz w:val="20"/>
                          <w:szCs w:val="20"/>
                          <w:u w:val="single"/>
                        </w:rPr>
                        <w:t>In-kind contributions</w:t>
                      </w:r>
                      <w:r w:rsidRPr="00D32F33">
                        <w:rPr>
                          <w:rFonts w:ascii="Arial" w:hAnsi="Arial" w:cs="Arial"/>
                          <w:sz w:val="20"/>
                          <w:szCs w:val="20"/>
                        </w:rPr>
                        <w:t>:</w:t>
                      </w:r>
                    </w:p>
                    <w:p w14:paraId="51E6AD84" w14:textId="77777777" w:rsidR="00BA2E09" w:rsidRPr="00D32F33" w:rsidRDefault="00BA2E09" w:rsidP="007D6892">
                      <w:pPr>
                        <w:pStyle w:val="ListParagraph"/>
                        <w:numPr>
                          <w:ilvl w:val="0"/>
                          <w:numId w:val="52"/>
                        </w:numPr>
                        <w:ind w:left="0"/>
                        <w:rPr>
                          <w:rFonts w:ascii="Arial" w:hAnsi="Arial" w:cs="Arial"/>
                          <w:sz w:val="20"/>
                          <w:szCs w:val="20"/>
                        </w:rPr>
                      </w:pPr>
                    </w:p>
                    <w:p w14:paraId="669696BC" w14:textId="65D5CC16" w:rsidR="00BA2E09" w:rsidRDefault="00BA2E09" w:rsidP="007D6892">
                      <w:pPr>
                        <w:pStyle w:val="ListParagraph"/>
                        <w:numPr>
                          <w:ilvl w:val="1"/>
                          <w:numId w:val="52"/>
                        </w:numPr>
                        <w:ind w:hanging="720"/>
                        <w:rPr>
                          <w:rFonts w:ascii="Arial" w:hAnsi="Arial" w:cs="Arial"/>
                          <w:sz w:val="20"/>
                          <w:szCs w:val="20"/>
                        </w:rPr>
                      </w:pPr>
                      <w:r w:rsidRPr="00D32F33">
                        <w:rPr>
                          <w:rFonts w:ascii="Arial" w:hAnsi="Arial" w:cs="Arial"/>
                          <w:sz w:val="20"/>
                          <w:szCs w:val="20"/>
                        </w:rPr>
                        <w:t>Other</w:t>
                      </w:r>
                      <w:r>
                        <w:rPr>
                          <w:rFonts w:ascii="Arial" w:hAnsi="Arial" w:cs="Arial"/>
                          <w:sz w:val="20"/>
                          <w:szCs w:val="20"/>
                        </w:rPr>
                        <w:t xml:space="preserve">        </w:t>
                      </w:r>
                      <w:r w:rsidRPr="00D32F33">
                        <w:rPr>
                          <w:rFonts w:ascii="Arial" w:hAnsi="Arial" w:cs="Arial"/>
                          <w:sz w:val="20"/>
                          <w:szCs w:val="20"/>
                        </w:rPr>
                        <w:t>3</w:t>
                      </w:r>
                      <w:r w:rsidR="00C714AF">
                        <w:rPr>
                          <w:rFonts w:ascii="Arial" w:hAnsi="Arial" w:cs="Arial"/>
                          <w:sz w:val="20"/>
                          <w:szCs w:val="20"/>
                        </w:rPr>
                        <w:t>3</w:t>
                      </w:r>
                      <w:r w:rsidRPr="00D32F33">
                        <w:rPr>
                          <w:rFonts w:ascii="Arial" w:hAnsi="Arial" w:cs="Arial"/>
                          <w:sz w:val="20"/>
                          <w:szCs w:val="20"/>
                        </w:rPr>
                        <w:t>,</w:t>
                      </w:r>
                      <w:r w:rsidR="00C714AF">
                        <w:rPr>
                          <w:rFonts w:ascii="Arial" w:hAnsi="Arial" w:cs="Arial"/>
                          <w:sz w:val="20"/>
                          <w:szCs w:val="20"/>
                        </w:rPr>
                        <w:t>4</w:t>
                      </w:r>
                      <w:r w:rsidRPr="00D32F33">
                        <w:rPr>
                          <w:rFonts w:ascii="Arial" w:hAnsi="Arial" w:cs="Arial"/>
                          <w:sz w:val="20"/>
                          <w:szCs w:val="20"/>
                        </w:rPr>
                        <w:t>35,659</w:t>
                      </w:r>
                      <w:r>
                        <w:rPr>
                          <w:rFonts w:ascii="Arial" w:hAnsi="Arial" w:cs="Arial"/>
                          <w:sz w:val="20"/>
                          <w:szCs w:val="20"/>
                        </w:rPr>
                        <w:t xml:space="preserve"> USD</w:t>
                      </w:r>
                    </w:p>
                    <w:p w14:paraId="28284967" w14:textId="63F02930" w:rsidR="00BA2E09" w:rsidRPr="00D32F33" w:rsidRDefault="00BA2E09" w:rsidP="007D6892">
                      <w:pPr>
                        <w:pStyle w:val="ListParagraph"/>
                        <w:numPr>
                          <w:ilvl w:val="1"/>
                          <w:numId w:val="52"/>
                        </w:numPr>
                        <w:ind w:hanging="720"/>
                        <w:rPr>
                          <w:rFonts w:ascii="Arial" w:hAnsi="Arial" w:cs="Arial"/>
                          <w:sz w:val="20"/>
                          <w:szCs w:val="20"/>
                        </w:rPr>
                      </w:pPr>
                      <w:r>
                        <w:rPr>
                          <w:rFonts w:ascii="Arial" w:hAnsi="Arial" w:cs="Arial"/>
                          <w:sz w:val="20"/>
                          <w:szCs w:val="20"/>
                        </w:rPr>
                        <w:t>UNDP         1,000,000 USD</w:t>
                      </w:r>
                    </w:p>
                    <w:p w14:paraId="13E2E950" w14:textId="0C0D088D" w:rsidR="00BA2E09" w:rsidRPr="00D32F33" w:rsidRDefault="00BA2E09" w:rsidP="002C09FC">
                      <w:pPr>
                        <w:spacing w:after="0"/>
                        <w:jc w:val="left"/>
                        <w:rPr>
                          <w:rFonts w:cs="Arial"/>
                          <w:sz w:val="20"/>
                          <w:szCs w:val="20"/>
                        </w:rPr>
                      </w:pPr>
                      <w:r w:rsidRPr="00D32F33">
                        <w:rPr>
                          <w:rFonts w:cs="Arial"/>
                          <w:sz w:val="20"/>
                          <w:szCs w:val="20"/>
                        </w:rPr>
                        <w:tab/>
                      </w:r>
                    </w:p>
                    <w:p w14:paraId="031D5864" w14:textId="77777777" w:rsidR="00BA2E09" w:rsidRPr="00D32F33" w:rsidRDefault="00BA2E09" w:rsidP="00DA7596">
                      <w:pPr>
                        <w:rPr>
                          <w:rFonts w:cs="Arial"/>
                          <w:sz w:val="20"/>
                          <w:szCs w:val="20"/>
                        </w:rPr>
                      </w:pPr>
                    </w:p>
                  </w:txbxContent>
                </v:textbox>
              </v:shape>
            </w:pict>
          </mc:Fallback>
        </mc:AlternateContent>
      </w:r>
    </w:p>
    <w:p w14:paraId="1E7FABAC" w14:textId="77777777" w:rsidR="00E1433A" w:rsidRPr="005B5602" w:rsidRDefault="00E1433A" w:rsidP="00E1433A">
      <w:pPr>
        <w:rPr>
          <w:rFonts w:cs="Arial"/>
          <w:sz w:val="20"/>
          <w:szCs w:val="20"/>
          <w:lang w:val="en-US"/>
        </w:rPr>
      </w:pPr>
    </w:p>
    <w:p w14:paraId="22E9B4B0" w14:textId="77777777" w:rsidR="00E1433A" w:rsidRPr="005B5602" w:rsidRDefault="00E1433A" w:rsidP="00E1433A">
      <w:pPr>
        <w:rPr>
          <w:rFonts w:cs="Arial"/>
          <w:sz w:val="20"/>
          <w:szCs w:val="20"/>
          <w:lang w:val="en-US"/>
        </w:rPr>
      </w:pPr>
    </w:p>
    <w:p w14:paraId="7AC5772F" w14:textId="77777777" w:rsidR="00E1433A" w:rsidRPr="005B5602" w:rsidRDefault="00E1433A" w:rsidP="00E1433A">
      <w:pPr>
        <w:rPr>
          <w:rFonts w:cs="Arial"/>
          <w:sz w:val="20"/>
          <w:szCs w:val="20"/>
          <w:lang w:val="en-US"/>
        </w:rPr>
      </w:pPr>
    </w:p>
    <w:p w14:paraId="047A4F92" w14:textId="77777777" w:rsidR="00E61BB0" w:rsidRDefault="00E61BB0" w:rsidP="00E1433A">
      <w:pPr>
        <w:rPr>
          <w:rFonts w:cs="Arial"/>
          <w:b/>
          <w:sz w:val="20"/>
          <w:szCs w:val="20"/>
          <w:lang w:val="en-US"/>
        </w:rPr>
      </w:pPr>
    </w:p>
    <w:p w14:paraId="46D450BE" w14:textId="77777777" w:rsidR="00AA5BF6" w:rsidRDefault="00AA5BF6" w:rsidP="00E1433A">
      <w:pPr>
        <w:rPr>
          <w:rFonts w:cs="Arial"/>
          <w:b/>
          <w:sz w:val="20"/>
          <w:szCs w:val="20"/>
          <w:lang w:val="en-US"/>
        </w:rPr>
      </w:pPr>
    </w:p>
    <w:p w14:paraId="5A2A5A2B" w14:textId="77777777" w:rsidR="00AA5BF6" w:rsidRPr="005B5602" w:rsidRDefault="00AA5BF6" w:rsidP="00E1433A">
      <w:pPr>
        <w:rPr>
          <w:rFonts w:cs="Arial"/>
          <w:b/>
          <w:sz w:val="20"/>
          <w:szCs w:val="20"/>
          <w:lang w:val="en-US"/>
        </w:rPr>
      </w:pPr>
    </w:p>
    <w:p w14:paraId="4DC61061" w14:textId="77777777" w:rsidR="00AA5BF6" w:rsidRDefault="00AA5BF6" w:rsidP="00E61BB0">
      <w:pPr>
        <w:pBdr>
          <w:bottom w:val="single" w:sz="4" w:space="1" w:color="auto"/>
        </w:pBdr>
        <w:rPr>
          <w:rFonts w:cs="Arial"/>
          <w:sz w:val="18"/>
          <w:szCs w:val="18"/>
          <w:lang w:val="en-US"/>
        </w:rPr>
      </w:pPr>
    </w:p>
    <w:p w14:paraId="426F3361" w14:textId="77777777" w:rsidR="00AA5BF6" w:rsidRDefault="00AA5BF6" w:rsidP="00E61BB0">
      <w:pPr>
        <w:pBdr>
          <w:bottom w:val="single" w:sz="4" w:space="1" w:color="auto"/>
        </w:pBdr>
        <w:rPr>
          <w:rFonts w:cs="Arial"/>
          <w:sz w:val="18"/>
          <w:szCs w:val="18"/>
          <w:lang w:val="en-US"/>
        </w:rPr>
      </w:pPr>
    </w:p>
    <w:p w14:paraId="3F12D76C" w14:textId="77777777" w:rsidR="00AA5BF6" w:rsidRDefault="00AA5BF6" w:rsidP="00E61BB0">
      <w:pPr>
        <w:pBdr>
          <w:bottom w:val="single" w:sz="4" w:space="1" w:color="auto"/>
        </w:pBdr>
        <w:rPr>
          <w:rFonts w:cs="Arial"/>
          <w:sz w:val="18"/>
          <w:szCs w:val="18"/>
          <w:lang w:val="en-US"/>
        </w:rPr>
      </w:pPr>
    </w:p>
    <w:p w14:paraId="50DF1324" w14:textId="77777777" w:rsidR="00AA5BF6" w:rsidRDefault="00AA5BF6" w:rsidP="00E61BB0">
      <w:pPr>
        <w:pBdr>
          <w:bottom w:val="single" w:sz="4" w:space="1" w:color="auto"/>
        </w:pBdr>
        <w:rPr>
          <w:rFonts w:cs="Arial"/>
          <w:sz w:val="18"/>
          <w:szCs w:val="18"/>
          <w:lang w:val="en-US"/>
        </w:rPr>
      </w:pPr>
    </w:p>
    <w:p w14:paraId="18EE1BCE" w14:textId="77777777" w:rsidR="00AA5BF6" w:rsidRDefault="00AA5BF6" w:rsidP="00E61BB0">
      <w:pPr>
        <w:pBdr>
          <w:bottom w:val="single" w:sz="4" w:space="1" w:color="auto"/>
        </w:pBdr>
        <w:rPr>
          <w:rFonts w:cs="Arial"/>
          <w:sz w:val="18"/>
          <w:szCs w:val="18"/>
          <w:lang w:val="en-US"/>
        </w:rPr>
      </w:pPr>
    </w:p>
    <w:p w14:paraId="01AD6B82" w14:textId="77777777" w:rsidR="00AA5BF6" w:rsidRDefault="00AA5BF6" w:rsidP="00E61BB0">
      <w:pPr>
        <w:pBdr>
          <w:bottom w:val="single" w:sz="4" w:space="1" w:color="auto"/>
        </w:pBdr>
        <w:rPr>
          <w:rFonts w:cs="Arial"/>
          <w:sz w:val="18"/>
          <w:szCs w:val="18"/>
          <w:lang w:val="en-US"/>
        </w:rPr>
      </w:pPr>
    </w:p>
    <w:p w14:paraId="7501FA25" w14:textId="77777777" w:rsidR="00AA5BF6" w:rsidRDefault="00AA5BF6" w:rsidP="00E61BB0">
      <w:pPr>
        <w:pBdr>
          <w:bottom w:val="single" w:sz="4" w:space="1" w:color="auto"/>
        </w:pBdr>
        <w:rPr>
          <w:rFonts w:cs="Arial"/>
          <w:sz w:val="18"/>
          <w:szCs w:val="18"/>
          <w:lang w:val="en-US"/>
        </w:rPr>
      </w:pPr>
    </w:p>
    <w:p w14:paraId="67E645D1" w14:textId="77777777" w:rsidR="00AA5BF6" w:rsidRDefault="00AA5BF6" w:rsidP="00E61BB0">
      <w:pPr>
        <w:pBdr>
          <w:bottom w:val="single" w:sz="4" w:space="1" w:color="auto"/>
        </w:pBdr>
        <w:rPr>
          <w:rFonts w:cs="Arial"/>
          <w:sz w:val="18"/>
          <w:szCs w:val="18"/>
          <w:lang w:val="en-US"/>
        </w:rPr>
      </w:pPr>
    </w:p>
    <w:p w14:paraId="634B5380" w14:textId="77777777" w:rsidR="005B5602" w:rsidRPr="005B5602" w:rsidRDefault="00E61BB0" w:rsidP="00E61BB0">
      <w:pPr>
        <w:pBdr>
          <w:bottom w:val="single" w:sz="4" w:space="1" w:color="auto"/>
        </w:pBdr>
        <w:rPr>
          <w:rFonts w:cs="Arial"/>
          <w:sz w:val="18"/>
          <w:szCs w:val="18"/>
          <w:lang w:val="en-US"/>
        </w:rPr>
      </w:pPr>
      <w:r w:rsidRPr="005B5602">
        <w:rPr>
          <w:rFonts w:cs="Arial"/>
          <w:sz w:val="18"/>
          <w:szCs w:val="18"/>
          <w:lang w:val="en-US"/>
        </w:rPr>
        <w:t xml:space="preserve">Agreed by (Government): </w:t>
      </w:r>
    </w:p>
    <w:p w14:paraId="5BCF4FEE" w14:textId="77777777" w:rsidR="00E61BB0" w:rsidRPr="005B5602" w:rsidRDefault="00E61BB0" w:rsidP="00E61BB0">
      <w:pPr>
        <w:pBdr>
          <w:bottom w:val="single" w:sz="4" w:space="1" w:color="auto"/>
        </w:pBdr>
        <w:rPr>
          <w:rFonts w:cs="Arial"/>
          <w:i/>
          <w:sz w:val="18"/>
          <w:szCs w:val="18"/>
          <w:lang w:val="en-US"/>
        </w:rPr>
      </w:pPr>
    </w:p>
    <w:p w14:paraId="3B3A5605" w14:textId="77777777" w:rsidR="00E61BB0" w:rsidRPr="005B5602" w:rsidRDefault="00E61BB0" w:rsidP="00E61BB0">
      <w:pPr>
        <w:jc w:val="center"/>
        <w:rPr>
          <w:rFonts w:cs="Arial"/>
          <w:sz w:val="18"/>
          <w:szCs w:val="18"/>
          <w:lang w:val="en-US"/>
        </w:rPr>
      </w:pPr>
      <w:r w:rsidRPr="005B5602">
        <w:rPr>
          <w:rFonts w:cs="Arial"/>
          <w:sz w:val="18"/>
          <w:szCs w:val="18"/>
          <w:lang w:val="en-US"/>
        </w:rPr>
        <w:t>Date/Month/Year</w:t>
      </w:r>
    </w:p>
    <w:p w14:paraId="4802E19F" w14:textId="77777777" w:rsidR="00E61BB0" w:rsidRPr="005B5602" w:rsidRDefault="00E61BB0" w:rsidP="00E61BB0">
      <w:pPr>
        <w:jc w:val="center"/>
        <w:rPr>
          <w:rFonts w:cs="Arial"/>
          <w:sz w:val="18"/>
          <w:szCs w:val="18"/>
          <w:lang w:val="en-US"/>
        </w:rPr>
      </w:pPr>
    </w:p>
    <w:p w14:paraId="557B154E" w14:textId="77777777" w:rsidR="00AA5BF6" w:rsidRDefault="00AA5BF6" w:rsidP="00E61BB0">
      <w:pPr>
        <w:pBdr>
          <w:bottom w:val="single" w:sz="4" w:space="1" w:color="auto"/>
        </w:pBdr>
        <w:rPr>
          <w:rFonts w:cs="Arial"/>
          <w:sz w:val="18"/>
          <w:szCs w:val="18"/>
          <w:lang w:val="en-US"/>
        </w:rPr>
      </w:pPr>
    </w:p>
    <w:p w14:paraId="6E401F15" w14:textId="77777777" w:rsidR="00D32F33" w:rsidRDefault="00D32F33" w:rsidP="00E61BB0">
      <w:pPr>
        <w:pBdr>
          <w:bottom w:val="single" w:sz="4" w:space="1" w:color="auto"/>
        </w:pBdr>
        <w:rPr>
          <w:rFonts w:cs="Arial"/>
          <w:sz w:val="18"/>
          <w:szCs w:val="18"/>
          <w:lang w:val="en-US"/>
        </w:rPr>
      </w:pPr>
    </w:p>
    <w:p w14:paraId="2CF56C5B" w14:textId="77777777" w:rsidR="00D32F33" w:rsidRDefault="00D32F33" w:rsidP="00E61BB0">
      <w:pPr>
        <w:pBdr>
          <w:bottom w:val="single" w:sz="4" w:space="1" w:color="auto"/>
        </w:pBdr>
        <w:rPr>
          <w:rFonts w:cs="Arial"/>
          <w:sz w:val="18"/>
          <w:szCs w:val="18"/>
          <w:lang w:val="en-US"/>
        </w:rPr>
      </w:pPr>
    </w:p>
    <w:p w14:paraId="7233EB3C" w14:textId="77777777" w:rsidR="005B5602" w:rsidRPr="005B5602" w:rsidRDefault="00E61BB0" w:rsidP="00E61BB0">
      <w:pPr>
        <w:pBdr>
          <w:bottom w:val="single" w:sz="4" w:space="1" w:color="auto"/>
        </w:pBdr>
        <w:rPr>
          <w:rFonts w:cs="Arial"/>
          <w:sz w:val="18"/>
          <w:szCs w:val="18"/>
          <w:lang w:val="en-US"/>
        </w:rPr>
      </w:pPr>
      <w:r w:rsidRPr="005B5602">
        <w:rPr>
          <w:rFonts w:cs="Arial"/>
          <w:sz w:val="18"/>
          <w:szCs w:val="18"/>
          <w:lang w:val="en-US"/>
        </w:rPr>
        <w:t xml:space="preserve">Agreed by (UNDP):  </w:t>
      </w:r>
    </w:p>
    <w:p w14:paraId="4CD45CD9" w14:textId="77777777" w:rsidR="00E61BB0" w:rsidRPr="005B5602" w:rsidRDefault="00E61BB0" w:rsidP="00E61BB0">
      <w:pPr>
        <w:pBdr>
          <w:bottom w:val="single" w:sz="4" w:space="1" w:color="auto"/>
        </w:pBdr>
        <w:rPr>
          <w:rFonts w:cs="Arial"/>
          <w:sz w:val="18"/>
          <w:szCs w:val="18"/>
          <w:lang w:val="en-US"/>
        </w:rPr>
      </w:pPr>
    </w:p>
    <w:p w14:paraId="09FADB02" w14:textId="77777777" w:rsidR="00E61BB0" w:rsidRPr="005B5602" w:rsidRDefault="00E61BB0" w:rsidP="00E61BB0">
      <w:pPr>
        <w:jc w:val="center"/>
        <w:rPr>
          <w:rFonts w:cs="Arial"/>
          <w:sz w:val="18"/>
          <w:szCs w:val="18"/>
          <w:lang w:val="en-US"/>
        </w:rPr>
      </w:pPr>
      <w:r w:rsidRPr="005B5602">
        <w:rPr>
          <w:rFonts w:cs="Arial"/>
          <w:sz w:val="18"/>
          <w:szCs w:val="18"/>
          <w:lang w:val="en-US"/>
        </w:rPr>
        <w:t>Date/Month/Year</w:t>
      </w:r>
    </w:p>
    <w:p w14:paraId="77B09DF6" w14:textId="77777777" w:rsidR="0084188F" w:rsidRPr="005B5602" w:rsidRDefault="0084188F" w:rsidP="00E61BB0">
      <w:pPr>
        <w:jc w:val="left"/>
        <w:rPr>
          <w:rFonts w:cs="Arial"/>
          <w:b/>
          <w:sz w:val="20"/>
          <w:szCs w:val="20"/>
          <w:lang w:val="en-US"/>
        </w:rPr>
      </w:pPr>
    </w:p>
    <w:p w14:paraId="4DA8D616" w14:textId="77777777" w:rsidR="009A6A4F" w:rsidRPr="005B5602" w:rsidRDefault="0084188F" w:rsidP="0084188F">
      <w:pPr>
        <w:pageBreakBefore/>
        <w:jc w:val="left"/>
        <w:rPr>
          <w:rFonts w:cs="Arial"/>
          <w:b/>
          <w:sz w:val="28"/>
          <w:szCs w:val="20"/>
          <w:lang w:val="en-US"/>
        </w:rPr>
      </w:pPr>
      <w:r w:rsidRPr="005B5602">
        <w:rPr>
          <w:rFonts w:cs="Arial"/>
          <w:b/>
          <w:sz w:val="28"/>
          <w:szCs w:val="20"/>
          <w:lang w:val="en-US"/>
        </w:rPr>
        <w:lastRenderedPageBreak/>
        <w:t>Table of contents</w:t>
      </w:r>
    </w:p>
    <w:p w14:paraId="6129DD3C" w14:textId="77777777" w:rsidR="00BE1FA1" w:rsidRPr="005B5602" w:rsidRDefault="00BE1FA1">
      <w:pPr>
        <w:spacing w:after="0"/>
        <w:jc w:val="left"/>
        <w:rPr>
          <w:rFonts w:cs="Arial"/>
          <w:b/>
          <w:sz w:val="20"/>
          <w:szCs w:val="20"/>
          <w:lang w:val="en-US"/>
        </w:rPr>
      </w:pPr>
    </w:p>
    <w:bookmarkStart w:id="3" w:name="_Toc247943491" w:displacedByCustomXml="next"/>
    <w:sdt>
      <w:sdtPr>
        <w:rPr>
          <w:rFonts w:eastAsia="Times New Roman" w:cs="Times New Roman"/>
          <w:b/>
          <w:smallCaps/>
          <w:noProof w:val="0"/>
          <w:lang w:val="en-GB"/>
        </w:rPr>
        <w:id w:val="267205808"/>
        <w:docPartObj>
          <w:docPartGallery w:val="Table of Contents"/>
          <w:docPartUnique/>
        </w:docPartObj>
      </w:sdtPr>
      <w:sdtEndPr>
        <w:rPr>
          <w:b w:val="0"/>
          <w:bCs/>
          <w:smallCaps w:val="0"/>
        </w:rPr>
      </w:sdtEndPr>
      <w:sdtContent>
        <w:bookmarkEnd w:id="3" w:displacedByCustomXml="prev"/>
        <w:p w14:paraId="3AE42092" w14:textId="77777777" w:rsidR="00652DD1" w:rsidRDefault="00EE1A48" w:rsidP="00652DD1">
          <w:pPr>
            <w:pStyle w:val="TOC1"/>
            <w:spacing w:after="0"/>
            <w:rPr>
              <w:rFonts w:asciiTheme="minorHAnsi" w:eastAsiaTheme="minorEastAsia" w:hAnsiTheme="minorHAnsi" w:cstheme="minorBidi"/>
              <w:szCs w:val="22"/>
              <w:lang w:val="en-GB" w:eastAsia="en-GB"/>
            </w:rPr>
          </w:pPr>
          <w:r w:rsidRPr="005B5602">
            <w:fldChar w:fldCharType="begin"/>
          </w:r>
          <w:r w:rsidR="00BE1FA1" w:rsidRPr="005B5602">
            <w:instrText xml:space="preserve"> TOC \o "1-3" \h \z \u </w:instrText>
          </w:r>
          <w:r w:rsidRPr="005B5602">
            <w:fldChar w:fldCharType="separate"/>
          </w:r>
          <w:hyperlink w:anchor="_Toc393448979" w:history="1">
            <w:r w:rsidR="00652DD1" w:rsidRPr="00D15D39">
              <w:rPr>
                <w:rStyle w:val="Hyperlink"/>
              </w:rPr>
              <w:t>Acronyms</w:t>
            </w:r>
            <w:r w:rsidR="00652DD1">
              <w:rPr>
                <w:webHidden/>
              </w:rPr>
              <w:tab/>
            </w:r>
            <w:r w:rsidR="00652DD1">
              <w:rPr>
                <w:webHidden/>
              </w:rPr>
              <w:fldChar w:fldCharType="begin"/>
            </w:r>
            <w:r w:rsidR="00652DD1">
              <w:rPr>
                <w:webHidden/>
              </w:rPr>
              <w:instrText xml:space="preserve"> PAGEREF _Toc393448979 \h </w:instrText>
            </w:r>
            <w:r w:rsidR="00652DD1">
              <w:rPr>
                <w:webHidden/>
              </w:rPr>
            </w:r>
            <w:r w:rsidR="00652DD1">
              <w:rPr>
                <w:webHidden/>
              </w:rPr>
              <w:fldChar w:fldCharType="separate"/>
            </w:r>
            <w:r w:rsidR="00652DD1">
              <w:rPr>
                <w:webHidden/>
              </w:rPr>
              <w:t>6</w:t>
            </w:r>
            <w:r w:rsidR="00652DD1">
              <w:rPr>
                <w:webHidden/>
              </w:rPr>
              <w:fldChar w:fldCharType="end"/>
            </w:r>
          </w:hyperlink>
        </w:p>
        <w:p w14:paraId="5CC24EAA"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8980" w:history="1">
            <w:r w:rsidR="00652DD1" w:rsidRPr="00D15D39">
              <w:rPr>
                <w:rStyle w:val="Hyperlink"/>
              </w:rPr>
              <w:t>1</w:t>
            </w:r>
            <w:r w:rsidR="00652DD1">
              <w:rPr>
                <w:rFonts w:asciiTheme="minorHAnsi" w:eastAsiaTheme="minorEastAsia" w:hAnsiTheme="minorHAnsi" w:cstheme="minorBidi"/>
                <w:szCs w:val="22"/>
                <w:lang w:val="en-GB" w:eastAsia="en-GB"/>
              </w:rPr>
              <w:tab/>
            </w:r>
            <w:r w:rsidR="00652DD1" w:rsidRPr="00D15D39">
              <w:rPr>
                <w:rStyle w:val="Hyperlink"/>
              </w:rPr>
              <w:t>Situation analysis</w:t>
            </w:r>
            <w:r w:rsidR="00652DD1">
              <w:rPr>
                <w:webHidden/>
              </w:rPr>
              <w:tab/>
            </w:r>
            <w:r w:rsidR="00652DD1">
              <w:rPr>
                <w:webHidden/>
              </w:rPr>
              <w:fldChar w:fldCharType="begin"/>
            </w:r>
            <w:r w:rsidR="00652DD1">
              <w:rPr>
                <w:webHidden/>
              </w:rPr>
              <w:instrText xml:space="preserve"> PAGEREF _Toc393448980 \h </w:instrText>
            </w:r>
            <w:r w:rsidR="00652DD1">
              <w:rPr>
                <w:webHidden/>
              </w:rPr>
            </w:r>
            <w:r w:rsidR="00652DD1">
              <w:rPr>
                <w:webHidden/>
              </w:rPr>
              <w:fldChar w:fldCharType="separate"/>
            </w:r>
            <w:r w:rsidR="00652DD1">
              <w:rPr>
                <w:webHidden/>
              </w:rPr>
              <w:t>8</w:t>
            </w:r>
            <w:r w:rsidR="00652DD1">
              <w:rPr>
                <w:webHidden/>
              </w:rPr>
              <w:fldChar w:fldCharType="end"/>
            </w:r>
          </w:hyperlink>
        </w:p>
        <w:p w14:paraId="2550B07E"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8981" w:history="1">
            <w:r w:rsidR="00652DD1" w:rsidRPr="00D15D39">
              <w:rPr>
                <w:rStyle w:val="Hyperlink"/>
              </w:rPr>
              <w:t>1.1</w:t>
            </w:r>
            <w:r w:rsidR="00652DD1">
              <w:rPr>
                <w:rFonts w:asciiTheme="minorHAnsi" w:eastAsiaTheme="minorEastAsia" w:hAnsiTheme="minorHAnsi" w:cstheme="minorBidi"/>
                <w:noProof/>
                <w:szCs w:val="22"/>
                <w:lang w:eastAsia="en-GB"/>
              </w:rPr>
              <w:tab/>
            </w:r>
            <w:r w:rsidR="00652DD1" w:rsidRPr="00D15D39">
              <w:rPr>
                <w:rStyle w:val="Hyperlink"/>
              </w:rPr>
              <w:t>Context of the Project</w:t>
            </w:r>
            <w:r w:rsidR="00652DD1">
              <w:rPr>
                <w:noProof/>
                <w:webHidden/>
              </w:rPr>
              <w:tab/>
            </w:r>
            <w:r w:rsidR="00652DD1">
              <w:rPr>
                <w:noProof/>
                <w:webHidden/>
              </w:rPr>
              <w:fldChar w:fldCharType="begin"/>
            </w:r>
            <w:r w:rsidR="00652DD1">
              <w:rPr>
                <w:noProof/>
                <w:webHidden/>
              </w:rPr>
              <w:instrText xml:space="preserve"> PAGEREF _Toc393448981 \h </w:instrText>
            </w:r>
            <w:r w:rsidR="00652DD1">
              <w:rPr>
                <w:noProof/>
                <w:webHidden/>
              </w:rPr>
            </w:r>
            <w:r w:rsidR="00652DD1">
              <w:rPr>
                <w:noProof/>
                <w:webHidden/>
              </w:rPr>
              <w:fldChar w:fldCharType="separate"/>
            </w:r>
            <w:r w:rsidR="00652DD1">
              <w:rPr>
                <w:noProof/>
                <w:webHidden/>
              </w:rPr>
              <w:t>8</w:t>
            </w:r>
            <w:r w:rsidR="00652DD1">
              <w:rPr>
                <w:noProof/>
                <w:webHidden/>
              </w:rPr>
              <w:fldChar w:fldCharType="end"/>
            </w:r>
          </w:hyperlink>
        </w:p>
        <w:p w14:paraId="238F985C"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8982" w:history="1">
            <w:r w:rsidR="00652DD1" w:rsidRPr="00D15D39">
              <w:rPr>
                <w:rStyle w:val="Hyperlink"/>
              </w:rPr>
              <w:t>1.2</w:t>
            </w:r>
            <w:r w:rsidR="00652DD1">
              <w:rPr>
                <w:rFonts w:asciiTheme="minorHAnsi" w:eastAsiaTheme="minorEastAsia" w:hAnsiTheme="minorHAnsi" w:cstheme="minorBidi"/>
                <w:noProof/>
                <w:szCs w:val="22"/>
                <w:lang w:eastAsia="en-GB"/>
              </w:rPr>
              <w:tab/>
            </w:r>
            <w:r w:rsidR="00652DD1" w:rsidRPr="00D15D39">
              <w:rPr>
                <w:rStyle w:val="Hyperlink"/>
              </w:rPr>
              <w:t>Rationale for the Project</w:t>
            </w:r>
            <w:r w:rsidR="00652DD1">
              <w:rPr>
                <w:noProof/>
                <w:webHidden/>
              </w:rPr>
              <w:tab/>
            </w:r>
            <w:r w:rsidR="00652DD1">
              <w:rPr>
                <w:noProof/>
                <w:webHidden/>
              </w:rPr>
              <w:fldChar w:fldCharType="begin"/>
            </w:r>
            <w:r w:rsidR="00652DD1">
              <w:rPr>
                <w:noProof/>
                <w:webHidden/>
              </w:rPr>
              <w:instrText xml:space="preserve"> PAGEREF _Toc393448982 \h </w:instrText>
            </w:r>
            <w:r w:rsidR="00652DD1">
              <w:rPr>
                <w:noProof/>
                <w:webHidden/>
              </w:rPr>
            </w:r>
            <w:r w:rsidR="00652DD1">
              <w:rPr>
                <w:noProof/>
                <w:webHidden/>
              </w:rPr>
              <w:fldChar w:fldCharType="separate"/>
            </w:r>
            <w:r w:rsidR="00652DD1">
              <w:rPr>
                <w:noProof/>
                <w:webHidden/>
              </w:rPr>
              <w:t>10</w:t>
            </w:r>
            <w:r w:rsidR="00652DD1">
              <w:rPr>
                <w:noProof/>
                <w:webHidden/>
              </w:rPr>
              <w:fldChar w:fldCharType="end"/>
            </w:r>
          </w:hyperlink>
        </w:p>
        <w:p w14:paraId="56D4B8F1"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8983" w:history="1">
            <w:r w:rsidR="00652DD1" w:rsidRPr="00D15D39">
              <w:rPr>
                <w:rStyle w:val="Hyperlink"/>
              </w:rPr>
              <w:t>1.3</w:t>
            </w:r>
            <w:r w:rsidR="00652DD1">
              <w:rPr>
                <w:rFonts w:asciiTheme="minorHAnsi" w:eastAsiaTheme="minorEastAsia" w:hAnsiTheme="minorHAnsi" w:cstheme="minorBidi"/>
                <w:noProof/>
                <w:szCs w:val="22"/>
                <w:lang w:eastAsia="en-GB"/>
              </w:rPr>
              <w:tab/>
            </w:r>
            <w:r w:rsidR="00652DD1" w:rsidRPr="00D15D39">
              <w:rPr>
                <w:rStyle w:val="Hyperlink"/>
              </w:rPr>
              <w:t>Baseline scenario</w:t>
            </w:r>
            <w:r w:rsidR="00652DD1">
              <w:rPr>
                <w:noProof/>
                <w:webHidden/>
              </w:rPr>
              <w:tab/>
            </w:r>
            <w:r w:rsidR="00652DD1">
              <w:rPr>
                <w:noProof/>
                <w:webHidden/>
              </w:rPr>
              <w:fldChar w:fldCharType="begin"/>
            </w:r>
            <w:r w:rsidR="00652DD1">
              <w:rPr>
                <w:noProof/>
                <w:webHidden/>
              </w:rPr>
              <w:instrText xml:space="preserve"> PAGEREF _Toc393448983 \h </w:instrText>
            </w:r>
            <w:r w:rsidR="00652DD1">
              <w:rPr>
                <w:noProof/>
                <w:webHidden/>
              </w:rPr>
            </w:r>
            <w:r w:rsidR="00652DD1">
              <w:rPr>
                <w:noProof/>
                <w:webHidden/>
              </w:rPr>
              <w:fldChar w:fldCharType="separate"/>
            </w:r>
            <w:r w:rsidR="00652DD1">
              <w:rPr>
                <w:noProof/>
                <w:webHidden/>
              </w:rPr>
              <w:t>11</w:t>
            </w:r>
            <w:r w:rsidR="00652DD1">
              <w:rPr>
                <w:noProof/>
                <w:webHidden/>
              </w:rPr>
              <w:fldChar w:fldCharType="end"/>
            </w:r>
          </w:hyperlink>
        </w:p>
        <w:p w14:paraId="39C7E63E"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8984" w:history="1">
            <w:r w:rsidR="00652DD1" w:rsidRPr="00D15D39">
              <w:rPr>
                <w:rStyle w:val="Hyperlink"/>
              </w:rPr>
              <w:t>1.4</w:t>
            </w:r>
            <w:r w:rsidR="00652DD1">
              <w:rPr>
                <w:rFonts w:asciiTheme="minorHAnsi" w:eastAsiaTheme="minorEastAsia" w:hAnsiTheme="minorHAnsi" w:cstheme="minorBidi"/>
                <w:noProof/>
                <w:szCs w:val="22"/>
                <w:lang w:eastAsia="en-GB"/>
              </w:rPr>
              <w:tab/>
            </w:r>
            <w:r w:rsidR="00652DD1" w:rsidRPr="00D15D39">
              <w:rPr>
                <w:rStyle w:val="Hyperlink"/>
              </w:rPr>
              <w:t>Barriers to NAMAs in the urban sector</w:t>
            </w:r>
            <w:r w:rsidR="00652DD1">
              <w:rPr>
                <w:noProof/>
                <w:webHidden/>
              </w:rPr>
              <w:tab/>
            </w:r>
            <w:r w:rsidR="00652DD1">
              <w:rPr>
                <w:noProof/>
                <w:webHidden/>
              </w:rPr>
              <w:fldChar w:fldCharType="begin"/>
            </w:r>
            <w:r w:rsidR="00652DD1">
              <w:rPr>
                <w:noProof/>
                <w:webHidden/>
              </w:rPr>
              <w:instrText xml:space="preserve"> PAGEREF _Toc393448984 \h </w:instrText>
            </w:r>
            <w:r w:rsidR="00652DD1">
              <w:rPr>
                <w:noProof/>
                <w:webHidden/>
              </w:rPr>
            </w:r>
            <w:r w:rsidR="00652DD1">
              <w:rPr>
                <w:noProof/>
                <w:webHidden/>
              </w:rPr>
              <w:fldChar w:fldCharType="separate"/>
            </w:r>
            <w:r w:rsidR="00652DD1">
              <w:rPr>
                <w:noProof/>
                <w:webHidden/>
              </w:rPr>
              <w:t>22</w:t>
            </w:r>
            <w:r w:rsidR="00652DD1">
              <w:rPr>
                <w:noProof/>
                <w:webHidden/>
              </w:rPr>
              <w:fldChar w:fldCharType="end"/>
            </w:r>
          </w:hyperlink>
        </w:p>
        <w:p w14:paraId="44D8B98E"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85" w:history="1">
            <w:r w:rsidR="00652DD1" w:rsidRPr="00D15D39">
              <w:rPr>
                <w:rStyle w:val="Hyperlink"/>
              </w:rPr>
              <w:t>1.4.1</w:t>
            </w:r>
            <w:r w:rsidR="00652DD1">
              <w:rPr>
                <w:rFonts w:asciiTheme="minorHAnsi" w:eastAsiaTheme="minorEastAsia" w:hAnsiTheme="minorHAnsi"/>
                <w:noProof/>
                <w:lang w:eastAsia="en-GB"/>
              </w:rPr>
              <w:tab/>
            </w:r>
            <w:r w:rsidR="00652DD1" w:rsidRPr="00D15D39">
              <w:rPr>
                <w:rStyle w:val="Hyperlink"/>
              </w:rPr>
              <w:t>Systemic barriers</w:t>
            </w:r>
            <w:r w:rsidR="00652DD1">
              <w:rPr>
                <w:noProof/>
                <w:webHidden/>
              </w:rPr>
              <w:tab/>
            </w:r>
            <w:r w:rsidR="00652DD1">
              <w:rPr>
                <w:noProof/>
                <w:webHidden/>
              </w:rPr>
              <w:fldChar w:fldCharType="begin"/>
            </w:r>
            <w:r w:rsidR="00652DD1">
              <w:rPr>
                <w:noProof/>
                <w:webHidden/>
              </w:rPr>
              <w:instrText xml:space="preserve"> PAGEREF _Toc393448985 \h </w:instrText>
            </w:r>
            <w:r w:rsidR="00652DD1">
              <w:rPr>
                <w:noProof/>
                <w:webHidden/>
              </w:rPr>
            </w:r>
            <w:r w:rsidR="00652DD1">
              <w:rPr>
                <w:noProof/>
                <w:webHidden/>
              </w:rPr>
              <w:fldChar w:fldCharType="separate"/>
            </w:r>
            <w:r w:rsidR="00652DD1">
              <w:rPr>
                <w:noProof/>
                <w:webHidden/>
              </w:rPr>
              <w:t>22</w:t>
            </w:r>
            <w:r w:rsidR="00652DD1">
              <w:rPr>
                <w:noProof/>
                <w:webHidden/>
              </w:rPr>
              <w:fldChar w:fldCharType="end"/>
            </w:r>
          </w:hyperlink>
        </w:p>
        <w:p w14:paraId="49535F0B"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86" w:history="1">
            <w:r w:rsidR="00652DD1" w:rsidRPr="00D15D39">
              <w:rPr>
                <w:rStyle w:val="Hyperlink"/>
              </w:rPr>
              <w:t>1.4.2</w:t>
            </w:r>
            <w:r w:rsidR="00652DD1">
              <w:rPr>
                <w:rFonts w:asciiTheme="minorHAnsi" w:eastAsiaTheme="minorEastAsia" w:hAnsiTheme="minorHAnsi"/>
                <w:noProof/>
                <w:lang w:eastAsia="en-GB"/>
              </w:rPr>
              <w:tab/>
            </w:r>
            <w:r w:rsidR="00652DD1" w:rsidRPr="00D15D39">
              <w:rPr>
                <w:rStyle w:val="Hyperlink"/>
              </w:rPr>
              <w:t>Legislative barriers</w:t>
            </w:r>
            <w:r w:rsidR="00652DD1">
              <w:rPr>
                <w:noProof/>
                <w:webHidden/>
              </w:rPr>
              <w:tab/>
            </w:r>
            <w:r w:rsidR="00652DD1">
              <w:rPr>
                <w:noProof/>
                <w:webHidden/>
              </w:rPr>
              <w:fldChar w:fldCharType="begin"/>
            </w:r>
            <w:r w:rsidR="00652DD1">
              <w:rPr>
                <w:noProof/>
                <w:webHidden/>
              </w:rPr>
              <w:instrText xml:space="preserve"> PAGEREF _Toc393448986 \h </w:instrText>
            </w:r>
            <w:r w:rsidR="00652DD1">
              <w:rPr>
                <w:noProof/>
                <w:webHidden/>
              </w:rPr>
            </w:r>
            <w:r w:rsidR="00652DD1">
              <w:rPr>
                <w:noProof/>
                <w:webHidden/>
              </w:rPr>
              <w:fldChar w:fldCharType="separate"/>
            </w:r>
            <w:r w:rsidR="00652DD1">
              <w:rPr>
                <w:noProof/>
                <w:webHidden/>
              </w:rPr>
              <w:t>23</w:t>
            </w:r>
            <w:r w:rsidR="00652DD1">
              <w:rPr>
                <w:noProof/>
                <w:webHidden/>
              </w:rPr>
              <w:fldChar w:fldCharType="end"/>
            </w:r>
          </w:hyperlink>
        </w:p>
        <w:p w14:paraId="1E71F666"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87" w:history="1">
            <w:r w:rsidR="00652DD1" w:rsidRPr="00D15D39">
              <w:rPr>
                <w:rStyle w:val="Hyperlink"/>
              </w:rPr>
              <w:t>1.4.3</w:t>
            </w:r>
            <w:r w:rsidR="00652DD1">
              <w:rPr>
                <w:rFonts w:asciiTheme="minorHAnsi" w:eastAsiaTheme="minorEastAsia" w:hAnsiTheme="minorHAnsi"/>
                <w:noProof/>
                <w:lang w:eastAsia="en-GB"/>
              </w:rPr>
              <w:tab/>
            </w:r>
            <w:r w:rsidR="00652DD1" w:rsidRPr="00D15D39">
              <w:rPr>
                <w:rStyle w:val="Hyperlink"/>
              </w:rPr>
              <w:t>Financial barriers</w:t>
            </w:r>
            <w:r w:rsidR="00652DD1">
              <w:rPr>
                <w:noProof/>
                <w:webHidden/>
              </w:rPr>
              <w:tab/>
            </w:r>
            <w:r w:rsidR="00652DD1">
              <w:rPr>
                <w:noProof/>
                <w:webHidden/>
              </w:rPr>
              <w:fldChar w:fldCharType="begin"/>
            </w:r>
            <w:r w:rsidR="00652DD1">
              <w:rPr>
                <w:noProof/>
                <w:webHidden/>
              </w:rPr>
              <w:instrText xml:space="preserve"> PAGEREF _Toc393448987 \h </w:instrText>
            </w:r>
            <w:r w:rsidR="00652DD1">
              <w:rPr>
                <w:noProof/>
                <w:webHidden/>
              </w:rPr>
            </w:r>
            <w:r w:rsidR="00652DD1">
              <w:rPr>
                <w:noProof/>
                <w:webHidden/>
              </w:rPr>
              <w:fldChar w:fldCharType="separate"/>
            </w:r>
            <w:r w:rsidR="00652DD1">
              <w:rPr>
                <w:noProof/>
                <w:webHidden/>
              </w:rPr>
              <w:t>24</w:t>
            </w:r>
            <w:r w:rsidR="00652DD1">
              <w:rPr>
                <w:noProof/>
                <w:webHidden/>
              </w:rPr>
              <w:fldChar w:fldCharType="end"/>
            </w:r>
          </w:hyperlink>
        </w:p>
        <w:p w14:paraId="150672E3"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88" w:history="1">
            <w:r w:rsidR="00652DD1" w:rsidRPr="00D15D39">
              <w:rPr>
                <w:rStyle w:val="Hyperlink"/>
              </w:rPr>
              <w:t>1.4.4</w:t>
            </w:r>
            <w:r w:rsidR="00652DD1">
              <w:rPr>
                <w:rFonts w:asciiTheme="minorHAnsi" w:eastAsiaTheme="minorEastAsia" w:hAnsiTheme="minorHAnsi"/>
                <w:noProof/>
                <w:lang w:eastAsia="en-GB"/>
              </w:rPr>
              <w:tab/>
            </w:r>
            <w:r w:rsidR="00652DD1" w:rsidRPr="00D15D39">
              <w:rPr>
                <w:rStyle w:val="Hyperlink"/>
              </w:rPr>
              <w:t>Capacity and awareness barriers</w:t>
            </w:r>
            <w:r w:rsidR="00652DD1">
              <w:rPr>
                <w:noProof/>
                <w:webHidden/>
              </w:rPr>
              <w:tab/>
            </w:r>
            <w:r w:rsidR="00652DD1">
              <w:rPr>
                <w:noProof/>
                <w:webHidden/>
              </w:rPr>
              <w:fldChar w:fldCharType="begin"/>
            </w:r>
            <w:r w:rsidR="00652DD1">
              <w:rPr>
                <w:noProof/>
                <w:webHidden/>
              </w:rPr>
              <w:instrText xml:space="preserve"> PAGEREF _Toc393448988 \h </w:instrText>
            </w:r>
            <w:r w:rsidR="00652DD1">
              <w:rPr>
                <w:noProof/>
                <w:webHidden/>
              </w:rPr>
            </w:r>
            <w:r w:rsidR="00652DD1">
              <w:rPr>
                <w:noProof/>
                <w:webHidden/>
              </w:rPr>
              <w:fldChar w:fldCharType="separate"/>
            </w:r>
            <w:r w:rsidR="00652DD1">
              <w:rPr>
                <w:noProof/>
                <w:webHidden/>
              </w:rPr>
              <w:t>26</w:t>
            </w:r>
            <w:r w:rsidR="00652DD1">
              <w:rPr>
                <w:noProof/>
                <w:webHidden/>
              </w:rPr>
              <w:fldChar w:fldCharType="end"/>
            </w:r>
          </w:hyperlink>
        </w:p>
        <w:p w14:paraId="33721B0C"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8989" w:history="1">
            <w:r w:rsidR="00652DD1" w:rsidRPr="00D15D39">
              <w:rPr>
                <w:rStyle w:val="Hyperlink"/>
              </w:rPr>
              <w:t>2</w:t>
            </w:r>
            <w:r w:rsidR="00652DD1">
              <w:rPr>
                <w:rFonts w:asciiTheme="minorHAnsi" w:eastAsiaTheme="minorEastAsia" w:hAnsiTheme="minorHAnsi" w:cstheme="minorBidi"/>
                <w:szCs w:val="22"/>
                <w:lang w:val="en-GB" w:eastAsia="en-GB"/>
              </w:rPr>
              <w:tab/>
            </w:r>
            <w:r w:rsidR="00652DD1" w:rsidRPr="00D15D39">
              <w:rPr>
                <w:rStyle w:val="Hyperlink"/>
              </w:rPr>
              <w:t>Project design</w:t>
            </w:r>
            <w:r w:rsidR="00652DD1">
              <w:rPr>
                <w:webHidden/>
              </w:rPr>
              <w:tab/>
            </w:r>
            <w:r w:rsidR="00652DD1">
              <w:rPr>
                <w:webHidden/>
              </w:rPr>
              <w:fldChar w:fldCharType="begin"/>
            </w:r>
            <w:r w:rsidR="00652DD1">
              <w:rPr>
                <w:webHidden/>
              </w:rPr>
              <w:instrText xml:space="preserve"> PAGEREF _Toc393448989 \h </w:instrText>
            </w:r>
            <w:r w:rsidR="00652DD1">
              <w:rPr>
                <w:webHidden/>
              </w:rPr>
            </w:r>
            <w:r w:rsidR="00652DD1">
              <w:rPr>
                <w:webHidden/>
              </w:rPr>
              <w:fldChar w:fldCharType="separate"/>
            </w:r>
            <w:r w:rsidR="00652DD1">
              <w:rPr>
                <w:webHidden/>
              </w:rPr>
              <w:t>27</w:t>
            </w:r>
            <w:r w:rsidR="00652DD1">
              <w:rPr>
                <w:webHidden/>
              </w:rPr>
              <w:fldChar w:fldCharType="end"/>
            </w:r>
          </w:hyperlink>
        </w:p>
        <w:p w14:paraId="3B84781F"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8990" w:history="1">
            <w:r w:rsidR="00652DD1" w:rsidRPr="00D15D39">
              <w:rPr>
                <w:rStyle w:val="Hyperlink"/>
              </w:rPr>
              <w:t>2.1</w:t>
            </w:r>
            <w:r w:rsidR="00652DD1">
              <w:rPr>
                <w:rFonts w:asciiTheme="minorHAnsi" w:eastAsiaTheme="minorEastAsia" w:hAnsiTheme="minorHAnsi" w:cstheme="minorBidi"/>
                <w:noProof/>
                <w:szCs w:val="22"/>
                <w:lang w:eastAsia="en-GB"/>
              </w:rPr>
              <w:tab/>
            </w:r>
            <w:r w:rsidR="00652DD1" w:rsidRPr="00D15D39">
              <w:rPr>
                <w:rStyle w:val="Hyperlink"/>
              </w:rPr>
              <w:t>Objective and strategic approach</w:t>
            </w:r>
            <w:r w:rsidR="00652DD1">
              <w:rPr>
                <w:noProof/>
                <w:webHidden/>
              </w:rPr>
              <w:tab/>
            </w:r>
            <w:r w:rsidR="00652DD1">
              <w:rPr>
                <w:noProof/>
                <w:webHidden/>
              </w:rPr>
              <w:fldChar w:fldCharType="begin"/>
            </w:r>
            <w:r w:rsidR="00652DD1">
              <w:rPr>
                <w:noProof/>
                <w:webHidden/>
              </w:rPr>
              <w:instrText xml:space="preserve"> PAGEREF _Toc393448990 \h </w:instrText>
            </w:r>
            <w:r w:rsidR="00652DD1">
              <w:rPr>
                <w:noProof/>
                <w:webHidden/>
              </w:rPr>
            </w:r>
            <w:r w:rsidR="00652DD1">
              <w:rPr>
                <w:noProof/>
                <w:webHidden/>
              </w:rPr>
              <w:fldChar w:fldCharType="separate"/>
            </w:r>
            <w:r w:rsidR="00652DD1">
              <w:rPr>
                <w:noProof/>
                <w:webHidden/>
              </w:rPr>
              <w:t>27</w:t>
            </w:r>
            <w:r w:rsidR="00652DD1">
              <w:rPr>
                <w:noProof/>
                <w:webHidden/>
              </w:rPr>
              <w:fldChar w:fldCharType="end"/>
            </w:r>
          </w:hyperlink>
        </w:p>
        <w:p w14:paraId="64011227"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8991" w:history="1">
            <w:r w:rsidR="00652DD1" w:rsidRPr="00D15D39">
              <w:rPr>
                <w:rStyle w:val="Hyperlink"/>
              </w:rPr>
              <w:t>2.2</w:t>
            </w:r>
            <w:r w:rsidR="00652DD1">
              <w:rPr>
                <w:rFonts w:asciiTheme="minorHAnsi" w:eastAsiaTheme="minorEastAsia" w:hAnsiTheme="minorHAnsi" w:cstheme="minorBidi"/>
                <w:noProof/>
                <w:szCs w:val="22"/>
                <w:lang w:eastAsia="en-GB"/>
              </w:rPr>
              <w:tab/>
            </w:r>
            <w:r w:rsidR="00652DD1" w:rsidRPr="00D15D39">
              <w:rPr>
                <w:rStyle w:val="Hyperlink"/>
              </w:rPr>
              <w:t>Project structure</w:t>
            </w:r>
            <w:r w:rsidR="00652DD1">
              <w:rPr>
                <w:noProof/>
                <w:webHidden/>
              </w:rPr>
              <w:tab/>
            </w:r>
            <w:r w:rsidR="00652DD1">
              <w:rPr>
                <w:noProof/>
                <w:webHidden/>
              </w:rPr>
              <w:fldChar w:fldCharType="begin"/>
            </w:r>
            <w:r w:rsidR="00652DD1">
              <w:rPr>
                <w:noProof/>
                <w:webHidden/>
              </w:rPr>
              <w:instrText xml:space="preserve"> PAGEREF _Toc393448991 \h </w:instrText>
            </w:r>
            <w:r w:rsidR="00652DD1">
              <w:rPr>
                <w:noProof/>
                <w:webHidden/>
              </w:rPr>
            </w:r>
            <w:r w:rsidR="00652DD1">
              <w:rPr>
                <w:noProof/>
                <w:webHidden/>
              </w:rPr>
              <w:fldChar w:fldCharType="separate"/>
            </w:r>
            <w:r w:rsidR="00652DD1">
              <w:rPr>
                <w:noProof/>
                <w:webHidden/>
              </w:rPr>
              <w:t>27</w:t>
            </w:r>
            <w:r w:rsidR="00652DD1">
              <w:rPr>
                <w:noProof/>
                <w:webHidden/>
              </w:rPr>
              <w:fldChar w:fldCharType="end"/>
            </w:r>
          </w:hyperlink>
        </w:p>
        <w:p w14:paraId="18225AA8"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92" w:history="1">
            <w:r w:rsidR="00652DD1" w:rsidRPr="00D15D39">
              <w:rPr>
                <w:rStyle w:val="Hyperlink"/>
              </w:rPr>
              <w:t>2.2.1</w:t>
            </w:r>
            <w:r w:rsidR="00652DD1">
              <w:rPr>
                <w:rFonts w:asciiTheme="minorHAnsi" w:eastAsiaTheme="minorEastAsia" w:hAnsiTheme="minorHAnsi"/>
                <w:noProof/>
                <w:lang w:eastAsia="en-GB"/>
              </w:rPr>
              <w:tab/>
            </w:r>
            <w:r w:rsidR="00652DD1" w:rsidRPr="00D15D39">
              <w:rPr>
                <w:rStyle w:val="Hyperlink"/>
              </w:rPr>
              <w:t>Component 1: Integrated municipal planning, targets and prioritization for urban mitigation actions</w:t>
            </w:r>
            <w:r w:rsidR="00652DD1">
              <w:rPr>
                <w:noProof/>
                <w:webHidden/>
              </w:rPr>
              <w:tab/>
            </w:r>
            <w:r w:rsidR="00652DD1">
              <w:rPr>
                <w:noProof/>
                <w:webHidden/>
              </w:rPr>
              <w:fldChar w:fldCharType="begin"/>
            </w:r>
            <w:r w:rsidR="00652DD1">
              <w:rPr>
                <w:noProof/>
                <w:webHidden/>
              </w:rPr>
              <w:instrText xml:space="preserve"> PAGEREF _Toc393448992 \h </w:instrText>
            </w:r>
            <w:r w:rsidR="00652DD1">
              <w:rPr>
                <w:noProof/>
                <w:webHidden/>
              </w:rPr>
            </w:r>
            <w:r w:rsidR="00652DD1">
              <w:rPr>
                <w:noProof/>
                <w:webHidden/>
              </w:rPr>
              <w:fldChar w:fldCharType="separate"/>
            </w:r>
            <w:r w:rsidR="00652DD1">
              <w:rPr>
                <w:noProof/>
                <w:webHidden/>
              </w:rPr>
              <w:t>31</w:t>
            </w:r>
            <w:r w:rsidR="00652DD1">
              <w:rPr>
                <w:noProof/>
                <w:webHidden/>
              </w:rPr>
              <w:fldChar w:fldCharType="end"/>
            </w:r>
          </w:hyperlink>
        </w:p>
        <w:p w14:paraId="78FC9580"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93" w:history="1">
            <w:r w:rsidR="00652DD1" w:rsidRPr="00D15D39">
              <w:rPr>
                <w:rStyle w:val="Hyperlink"/>
              </w:rPr>
              <w:t>2.2.2</w:t>
            </w:r>
            <w:r w:rsidR="00652DD1">
              <w:rPr>
                <w:rFonts w:asciiTheme="minorHAnsi" w:eastAsiaTheme="minorEastAsia" w:hAnsiTheme="minorHAnsi"/>
                <w:noProof/>
                <w:lang w:eastAsia="en-GB"/>
              </w:rPr>
              <w:tab/>
            </w:r>
            <w:r w:rsidR="00652DD1" w:rsidRPr="00D15D39">
              <w:rPr>
                <w:rStyle w:val="Hyperlink"/>
              </w:rPr>
              <w:t>Component 2: Institutional framework for urban NAMAs</w:t>
            </w:r>
            <w:r w:rsidR="00652DD1">
              <w:rPr>
                <w:noProof/>
                <w:webHidden/>
              </w:rPr>
              <w:tab/>
            </w:r>
            <w:r w:rsidR="00652DD1">
              <w:rPr>
                <w:noProof/>
                <w:webHidden/>
              </w:rPr>
              <w:fldChar w:fldCharType="begin"/>
            </w:r>
            <w:r w:rsidR="00652DD1">
              <w:rPr>
                <w:noProof/>
                <w:webHidden/>
              </w:rPr>
              <w:instrText xml:space="preserve"> PAGEREF _Toc393448993 \h </w:instrText>
            </w:r>
            <w:r w:rsidR="00652DD1">
              <w:rPr>
                <w:noProof/>
                <w:webHidden/>
              </w:rPr>
            </w:r>
            <w:r w:rsidR="00652DD1">
              <w:rPr>
                <w:noProof/>
                <w:webHidden/>
              </w:rPr>
              <w:fldChar w:fldCharType="separate"/>
            </w:r>
            <w:r w:rsidR="00652DD1">
              <w:rPr>
                <w:noProof/>
                <w:webHidden/>
              </w:rPr>
              <w:t>36</w:t>
            </w:r>
            <w:r w:rsidR="00652DD1">
              <w:rPr>
                <w:noProof/>
                <w:webHidden/>
              </w:rPr>
              <w:fldChar w:fldCharType="end"/>
            </w:r>
          </w:hyperlink>
        </w:p>
        <w:p w14:paraId="0D0051BB"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94" w:history="1">
            <w:r w:rsidR="00652DD1" w:rsidRPr="00D15D39">
              <w:rPr>
                <w:rStyle w:val="Hyperlink"/>
              </w:rPr>
              <w:t>2.2.3</w:t>
            </w:r>
            <w:r w:rsidR="00652DD1">
              <w:rPr>
                <w:rFonts w:asciiTheme="minorHAnsi" w:eastAsiaTheme="minorEastAsia" w:hAnsiTheme="minorHAnsi"/>
                <w:noProof/>
                <w:lang w:eastAsia="en-GB"/>
              </w:rPr>
              <w:tab/>
            </w:r>
            <w:r w:rsidR="00652DD1" w:rsidRPr="00D15D39">
              <w:rPr>
                <w:rStyle w:val="Hyperlink"/>
              </w:rPr>
              <w:t>Component 3: Financing for urban NAMAs</w:t>
            </w:r>
            <w:r w:rsidR="00652DD1">
              <w:rPr>
                <w:noProof/>
                <w:webHidden/>
              </w:rPr>
              <w:tab/>
            </w:r>
            <w:r w:rsidR="00652DD1">
              <w:rPr>
                <w:noProof/>
                <w:webHidden/>
              </w:rPr>
              <w:fldChar w:fldCharType="begin"/>
            </w:r>
            <w:r w:rsidR="00652DD1">
              <w:rPr>
                <w:noProof/>
                <w:webHidden/>
              </w:rPr>
              <w:instrText xml:space="preserve"> PAGEREF _Toc393448994 \h </w:instrText>
            </w:r>
            <w:r w:rsidR="00652DD1">
              <w:rPr>
                <w:noProof/>
                <w:webHidden/>
              </w:rPr>
            </w:r>
            <w:r w:rsidR="00652DD1">
              <w:rPr>
                <w:noProof/>
                <w:webHidden/>
              </w:rPr>
              <w:fldChar w:fldCharType="separate"/>
            </w:r>
            <w:r w:rsidR="00652DD1">
              <w:rPr>
                <w:noProof/>
                <w:webHidden/>
              </w:rPr>
              <w:t>39</w:t>
            </w:r>
            <w:r w:rsidR="00652DD1">
              <w:rPr>
                <w:noProof/>
                <w:webHidden/>
              </w:rPr>
              <w:fldChar w:fldCharType="end"/>
            </w:r>
          </w:hyperlink>
        </w:p>
        <w:p w14:paraId="604C1A92"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95" w:history="1">
            <w:r w:rsidR="00652DD1" w:rsidRPr="00D15D39">
              <w:rPr>
                <w:rStyle w:val="Hyperlink"/>
              </w:rPr>
              <w:t>2.2.4</w:t>
            </w:r>
            <w:r w:rsidR="00652DD1">
              <w:rPr>
                <w:rFonts w:asciiTheme="minorHAnsi" w:eastAsiaTheme="minorEastAsia" w:hAnsiTheme="minorHAnsi"/>
                <w:noProof/>
                <w:lang w:eastAsia="en-GB"/>
              </w:rPr>
              <w:tab/>
            </w:r>
            <w:r w:rsidR="00652DD1" w:rsidRPr="00D15D39">
              <w:rPr>
                <w:rStyle w:val="Hyperlink"/>
              </w:rPr>
              <w:t>Component 4: Implementation of pilot urban NAMA</w:t>
            </w:r>
            <w:r w:rsidR="00652DD1">
              <w:rPr>
                <w:noProof/>
                <w:webHidden/>
              </w:rPr>
              <w:tab/>
            </w:r>
            <w:r w:rsidR="00652DD1">
              <w:rPr>
                <w:noProof/>
                <w:webHidden/>
              </w:rPr>
              <w:fldChar w:fldCharType="begin"/>
            </w:r>
            <w:r w:rsidR="00652DD1">
              <w:rPr>
                <w:noProof/>
                <w:webHidden/>
              </w:rPr>
              <w:instrText xml:space="preserve"> PAGEREF _Toc393448995 \h </w:instrText>
            </w:r>
            <w:r w:rsidR="00652DD1">
              <w:rPr>
                <w:noProof/>
                <w:webHidden/>
              </w:rPr>
            </w:r>
            <w:r w:rsidR="00652DD1">
              <w:rPr>
                <w:noProof/>
                <w:webHidden/>
              </w:rPr>
              <w:fldChar w:fldCharType="separate"/>
            </w:r>
            <w:r w:rsidR="00652DD1">
              <w:rPr>
                <w:noProof/>
                <w:webHidden/>
              </w:rPr>
              <w:t>42</w:t>
            </w:r>
            <w:r w:rsidR="00652DD1">
              <w:rPr>
                <w:noProof/>
                <w:webHidden/>
              </w:rPr>
              <w:fldChar w:fldCharType="end"/>
            </w:r>
          </w:hyperlink>
        </w:p>
        <w:p w14:paraId="62A43040"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96" w:history="1">
            <w:r w:rsidR="00652DD1" w:rsidRPr="00D15D39">
              <w:rPr>
                <w:rStyle w:val="Hyperlink"/>
              </w:rPr>
              <w:t>2.2.5</w:t>
            </w:r>
            <w:r w:rsidR="00652DD1">
              <w:rPr>
                <w:rFonts w:asciiTheme="minorHAnsi" w:eastAsiaTheme="minorEastAsia" w:hAnsiTheme="minorHAnsi"/>
                <w:noProof/>
                <w:lang w:eastAsia="en-GB"/>
              </w:rPr>
              <w:tab/>
            </w:r>
            <w:r w:rsidR="00652DD1" w:rsidRPr="00D15D39">
              <w:rPr>
                <w:rStyle w:val="Hyperlink"/>
              </w:rPr>
              <w:t>Component 5: Monitoring, verification and knowledge management</w:t>
            </w:r>
            <w:r w:rsidR="00652DD1">
              <w:rPr>
                <w:noProof/>
                <w:webHidden/>
              </w:rPr>
              <w:tab/>
            </w:r>
            <w:r w:rsidR="00652DD1">
              <w:rPr>
                <w:noProof/>
                <w:webHidden/>
              </w:rPr>
              <w:fldChar w:fldCharType="begin"/>
            </w:r>
            <w:r w:rsidR="00652DD1">
              <w:rPr>
                <w:noProof/>
                <w:webHidden/>
              </w:rPr>
              <w:instrText xml:space="preserve"> PAGEREF _Toc393448996 \h </w:instrText>
            </w:r>
            <w:r w:rsidR="00652DD1">
              <w:rPr>
                <w:noProof/>
                <w:webHidden/>
              </w:rPr>
            </w:r>
            <w:r w:rsidR="00652DD1">
              <w:rPr>
                <w:noProof/>
                <w:webHidden/>
              </w:rPr>
              <w:fldChar w:fldCharType="separate"/>
            </w:r>
            <w:r w:rsidR="00652DD1">
              <w:rPr>
                <w:noProof/>
                <w:webHidden/>
              </w:rPr>
              <w:t>44</w:t>
            </w:r>
            <w:r w:rsidR="00652DD1">
              <w:rPr>
                <w:noProof/>
                <w:webHidden/>
              </w:rPr>
              <w:fldChar w:fldCharType="end"/>
            </w:r>
          </w:hyperlink>
        </w:p>
        <w:p w14:paraId="4FDBDF97"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97" w:history="1">
            <w:r w:rsidR="00652DD1" w:rsidRPr="00D15D39">
              <w:rPr>
                <w:rStyle w:val="Hyperlink"/>
              </w:rPr>
              <w:t>Outcome 5a GHG emission reductions of implemented urban NAMAs are systematically monitored, verified and reported</w:t>
            </w:r>
            <w:r w:rsidR="00652DD1">
              <w:rPr>
                <w:noProof/>
                <w:webHidden/>
              </w:rPr>
              <w:tab/>
            </w:r>
            <w:r w:rsidR="00652DD1">
              <w:rPr>
                <w:noProof/>
                <w:webHidden/>
              </w:rPr>
              <w:fldChar w:fldCharType="begin"/>
            </w:r>
            <w:r w:rsidR="00652DD1">
              <w:rPr>
                <w:noProof/>
                <w:webHidden/>
              </w:rPr>
              <w:instrText xml:space="preserve"> PAGEREF _Toc393448997 \h </w:instrText>
            </w:r>
            <w:r w:rsidR="00652DD1">
              <w:rPr>
                <w:noProof/>
                <w:webHidden/>
              </w:rPr>
            </w:r>
            <w:r w:rsidR="00652DD1">
              <w:rPr>
                <w:noProof/>
                <w:webHidden/>
              </w:rPr>
              <w:fldChar w:fldCharType="separate"/>
            </w:r>
            <w:r w:rsidR="00652DD1">
              <w:rPr>
                <w:noProof/>
                <w:webHidden/>
              </w:rPr>
              <w:t>45</w:t>
            </w:r>
            <w:r w:rsidR="00652DD1">
              <w:rPr>
                <w:noProof/>
                <w:webHidden/>
              </w:rPr>
              <w:fldChar w:fldCharType="end"/>
            </w:r>
          </w:hyperlink>
        </w:p>
        <w:p w14:paraId="411D839D" w14:textId="77777777" w:rsidR="00652DD1" w:rsidRDefault="003B328F" w:rsidP="00652DD1">
          <w:pPr>
            <w:pStyle w:val="TOC3"/>
            <w:spacing w:after="0" w:line="240" w:lineRule="auto"/>
            <w:rPr>
              <w:rFonts w:asciiTheme="minorHAnsi" w:eastAsiaTheme="minorEastAsia" w:hAnsiTheme="minorHAnsi"/>
              <w:noProof/>
              <w:lang w:eastAsia="en-GB"/>
            </w:rPr>
          </w:pPr>
          <w:hyperlink w:anchor="_Toc393448998" w:history="1">
            <w:r w:rsidR="00652DD1" w:rsidRPr="00D15D39">
              <w:rPr>
                <w:rStyle w:val="Hyperlink"/>
              </w:rPr>
              <w:t>Outcome 5b Kazakh cities and towns are aware of and have access to information and guidance on urban NAMAs</w:t>
            </w:r>
            <w:r w:rsidR="00652DD1">
              <w:rPr>
                <w:noProof/>
                <w:webHidden/>
              </w:rPr>
              <w:tab/>
            </w:r>
            <w:r w:rsidR="00652DD1">
              <w:rPr>
                <w:noProof/>
                <w:webHidden/>
              </w:rPr>
              <w:fldChar w:fldCharType="begin"/>
            </w:r>
            <w:r w:rsidR="00652DD1">
              <w:rPr>
                <w:noProof/>
                <w:webHidden/>
              </w:rPr>
              <w:instrText xml:space="preserve"> PAGEREF _Toc393448998 \h </w:instrText>
            </w:r>
            <w:r w:rsidR="00652DD1">
              <w:rPr>
                <w:noProof/>
                <w:webHidden/>
              </w:rPr>
            </w:r>
            <w:r w:rsidR="00652DD1">
              <w:rPr>
                <w:noProof/>
                <w:webHidden/>
              </w:rPr>
              <w:fldChar w:fldCharType="separate"/>
            </w:r>
            <w:r w:rsidR="00652DD1">
              <w:rPr>
                <w:noProof/>
                <w:webHidden/>
              </w:rPr>
              <w:t>47</w:t>
            </w:r>
            <w:r w:rsidR="00652DD1">
              <w:rPr>
                <w:noProof/>
                <w:webHidden/>
              </w:rPr>
              <w:fldChar w:fldCharType="end"/>
            </w:r>
          </w:hyperlink>
        </w:p>
        <w:p w14:paraId="244EFD1F"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8999" w:history="1">
            <w:r w:rsidR="00652DD1" w:rsidRPr="00D15D39">
              <w:rPr>
                <w:rStyle w:val="Hyperlink"/>
              </w:rPr>
              <w:t>2.3</w:t>
            </w:r>
            <w:r w:rsidR="00652DD1">
              <w:rPr>
                <w:rFonts w:asciiTheme="minorHAnsi" w:eastAsiaTheme="minorEastAsia" w:hAnsiTheme="minorHAnsi" w:cstheme="minorBidi"/>
                <w:noProof/>
                <w:szCs w:val="22"/>
                <w:lang w:eastAsia="en-GB"/>
              </w:rPr>
              <w:tab/>
            </w:r>
            <w:r w:rsidR="00652DD1" w:rsidRPr="00D15D39">
              <w:rPr>
                <w:rStyle w:val="Hyperlink"/>
              </w:rPr>
              <w:t>Innovativeness, sustainability and potential for scaling up</w:t>
            </w:r>
            <w:r w:rsidR="00652DD1">
              <w:rPr>
                <w:noProof/>
                <w:webHidden/>
              </w:rPr>
              <w:tab/>
            </w:r>
            <w:r w:rsidR="00652DD1">
              <w:rPr>
                <w:noProof/>
                <w:webHidden/>
              </w:rPr>
              <w:fldChar w:fldCharType="begin"/>
            </w:r>
            <w:r w:rsidR="00652DD1">
              <w:rPr>
                <w:noProof/>
                <w:webHidden/>
              </w:rPr>
              <w:instrText xml:space="preserve"> PAGEREF _Toc393448999 \h </w:instrText>
            </w:r>
            <w:r w:rsidR="00652DD1">
              <w:rPr>
                <w:noProof/>
                <w:webHidden/>
              </w:rPr>
            </w:r>
            <w:r w:rsidR="00652DD1">
              <w:rPr>
                <w:noProof/>
                <w:webHidden/>
              </w:rPr>
              <w:fldChar w:fldCharType="separate"/>
            </w:r>
            <w:r w:rsidR="00652DD1">
              <w:rPr>
                <w:noProof/>
                <w:webHidden/>
              </w:rPr>
              <w:t>50</w:t>
            </w:r>
            <w:r w:rsidR="00652DD1">
              <w:rPr>
                <w:noProof/>
                <w:webHidden/>
              </w:rPr>
              <w:fldChar w:fldCharType="end"/>
            </w:r>
          </w:hyperlink>
        </w:p>
        <w:p w14:paraId="055154FF"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9000" w:history="1">
            <w:r w:rsidR="00652DD1" w:rsidRPr="00D15D39">
              <w:rPr>
                <w:rStyle w:val="Hyperlink"/>
              </w:rPr>
              <w:t>2.4</w:t>
            </w:r>
            <w:r w:rsidR="00652DD1">
              <w:rPr>
                <w:rFonts w:asciiTheme="minorHAnsi" w:eastAsiaTheme="minorEastAsia" w:hAnsiTheme="minorHAnsi" w:cstheme="minorBidi"/>
                <w:noProof/>
                <w:szCs w:val="22"/>
                <w:lang w:eastAsia="en-GB"/>
              </w:rPr>
              <w:tab/>
            </w:r>
            <w:r w:rsidR="00652DD1" w:rsidRPr="00D15D39">
              <w:rPr>
                <w:rStyle w:val="Hyperlink"/>
              </w:rPr>
              <w:t>Global environment benefits</w:t>
            </w:r>
            <w:r w:rsidR="00652DD1">
              <w:rPr>
                <w:noProof/>
                <w:webHidden/>
              </w:rPr>
              <w:tab/>
            </w:r>
            <w:r w:rsidR="00652DD1">
              <w:rPr>
                <w:noProof/>
                <w:webHidden/>
              </w:rPr>
              <w:fldChar w:fldCharType="begin"/>
            </w:r>
            <w:r w:rsidR="00652DD1">
              <w:rPr>
                <w:noProof/>
                <w:webHidden/>
              </w:rPr>
              <w:instrText xml:space="preserve"> PAGEREF _Toc393449000 \h </w:instrText>
            </w:r>
            <w:r w:rsidR="00652DD1">
              <w:rPr>
                <w:noProof/>
                <w:webHidden/>
              </w:rPr>
            </w:r>
            <w:r w:rsidR="00652DD1">
              <w:rPr>
                <w:noProof/>
                <w:webHidden/>
              </w:rPr>
              <w:fldChar w:fldCharType="separate"/>
            </w:r>
            <w:r w:rsidR="00652DD1">
              <w:rPr>
                <w:noProof/>
                <w:webHidden/>
              </w:rPr>
              <w:t>50</w:t>
            </w:r>
            <w:r w:rsidR="00652DD1">
              <w:rPr>
                <w:noProof/>
                <w:webHidden/>
              </w:rPr>
              <w:fldChar w:fldCharType="end"/>
            </w:r>
          </w:hyperlink>
        </w:p>
        <w:p w14:paraId="1C368019"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01" w:history="1">
            <w:r w:rsidR="00652DD1" w:rsidRPr="00D15D39">
              <w:rPr>
                <w:rStyle w:val="Hyperlink"/>
                <w:bCs/>
              </w:rPr>
              <w:t>3</w:t>
            </w:r>
            <w:r w:rsidR="00652DD1">
              <w:rPr>
                <w:rFonts w:asciiTheme="minorHAnsi" w:eastAsiaTheme="minorEastAsia" w:hAnsiTheme="minorHAnsi" w:cstheme="minorBidi"/>
                <w:szCs w:val="22"/>
                <w:lang w:val="en-GB" w:eastAsia="en-GB"/>
              </w:rPr>
              <w:tab/>
            </w:r>
            <w:r w:rsidR="00652DD1" w:rsidRPr="00D15D39">
              <w:rPr>
                <w:rStyle w:val="Hyperlink"/>
              </w:rPr>
              <w:t>Project Results Framework</w:t>
            </w:r>
            <w:r w:rsidR="00652DD1">
              <w:rPr>
                <w:webHidden/>
              </w:rPr>
              <w:tab/>
            </w:r>
            <w:r w:rsidR="00652DD1">
              <w:rPr>
                <w:webHidden/>
              </w:rPr>
              <w:fldChar w:fldCharType="begin"/>
            </w:r>
            <w:r w:rsidR="00652DD1">
              <w:rPr>
                <w:webHidden/>
              </w:rPr>
              <w:instrText xml:space="preserve"> PAGEREF _Toc393449001 \h </w:instrText>
            </w:r>
            <w:r w:rsidR="00652DD1">
              <w:rPr>
                <w:webHidden/>
              </w:rPr>
            </w:r>
            <w:r w:rsidR="00652DD1">
              <w:rPr>
                <w:webHidden/>
              </w:rPr>
              <w:fldChar w:fldCharType="separate"/>
            </w:r>
            <w:r w:rsidR="00652DD1">
              <w:rPr>
                <w:webHidden/>
              </w:rPr>
              <w:t>52</w:t>
            </w:r>
            <w:r w:rsidR="00652DD1">
              <w:rPr>
                <w:webHidden/>
              </w:rPr>
              <w:fldChar w:fldCharType="end"/>
            </w:r>
          </w:hyperlink>
        </w:p>
        <w:p w14:paraId="71DD012B"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02" w:history="1">
            <w:r w:rsidR="00652DD1" w:rsidRPr="00D15D39">
              <w:rPr>
                <w:rStyle w:val="Hyperlink"/>
              </w:rPr>
              <w:t>4</w:t>
            </w:r>
            <w:r w:rsidR="00652DD1">
              <w:rPr>
                <w:rFonts w:asciiTheme="minorHAnsi" w:eastAsiaTheme="minorEastAsia" w:hAnsiTheme="minorHAnsi" w:cstheme="minorBidi"/>
                <w:szCs w:val="22"/>
                <w:lang w:val="en-GB" w:eastAsia="en-GB"/>
              </w:rPr>
              <w:tab/>
            </w:r>
            <w:r w:rsidR="00652DD1" w:rsidRPr="00D15D39">
              <w:rPr>
                <w:rStyle w:val="Hyperlink"/>
              </w:rPr>
              <w:t>Total budget and workplan</w:t>
            </w:r>
            <w:r w:rsidR="00652DD1">
              <w:rPr>
                <w:webHidden/>
              </w:rPr>
              <w:tab/>
            </w:r>
            <w:r w:rsidR="00652DD1">
              <w:rPr>
                <w:webHidden/>
              </w:rPr>
              <w:fldChar w:fldCharType="begin"/>
            </w:r>
            <w:r w:rsidR="00652DD1">
              <w:rPr>
                <w:webHidden/>
              </w:rPr>
              <w:instrText xml:space="preserve"> PAGEREF _Toc393449002 \h </w:instrText>
            </w:r>
            <w:r w:rsidR="00652DD1">
              <w:rPr>
                <w:webHidden/>
              </w:rPr>
            </w:r>
            <w:r w:rsidR="00652DD1">
              <w:rPr>
                <w:webHidden/>
              </w:rPr>
              <w:fldChar w:fldCharType="separate"/>
            </w:r>
            <w:r w:rsidR="00652DD1">
              <w:rPr>
                <w:webHidden/>
              </w:rPr>
              <w:t>56</w:t>
            </w:r>
            <w:r w:rsidR="00652DD1">
              <w:rPr>
                <w:webHidden/>
              </w:rPr>
              <w:fldChar w:fldCharType="end"/>
            </w:r>
          </w:hyperlink>
        </w:p>
        <w:p w14:paraId="4682B067"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03" w:history="1">
            <w:r w:rsidR="00652DD1" w:rsidRPr="00D15D39">
              <w:rPr>
                <w:rStyle w:val="Hyperlink"/>
              </w:rPr>
              <w:t>5</w:t>
            </w:r>
            <w:r w:rsidR="00652DD1">
              <w:rPr>
                <w:rFonts w:asciiTheme="minorHAnsi" w:eastAsiaTheme="minorEastAsia" w:hAnsiTheme="minorHAnsi" w:cstheme="minorBidi"/>
                <w:szCs w:val="22"/>
                <w:lang w:val="en-GB" w:eastAsia="en-GB"/>
              </w:rPr>
              <w:tab/>
            </w:r>
            <w:r w:rsidR="00652DD1" w:rsidRPr="00D15D39">
              <w:rPr>
                <w:rStyle w:val="Hyperlink"/>
              </w:rPr>
              <w:t>Management Arrangements</w:t>
            </w:r>
            <w:r w:rsidR="00652DD1">
              <w:rPr>
                <w:webHidden/>
              </w:rPr>
              <w:tab/>
            </w:r>
            <w:r w:rsidR="00652DD1">
              <w:rPr>
                <w:webHidden/>
              </w:rPr>
              <w:fldChar w:fldCharType="begin"/>
            </w:r>
            <w:r w:rsidR="00652DD1">
              <w:rPr>
                <w:webHidden/>
              </w:rPr>
              <w:instrText xml:space="preserve"> PAGEREF _Toc393449003 \h </w:instrText>
            </w:r>
            <w:r w:rsidR="00652DD1">
              <w:rPr>
                <w:webHidden/>
              </w:rPr>
            </w:r>
            <w:r w:rsidR="00652DD1">
              <w:rPr>
                <w:webHidden/>
              </w:rPr>
              <w:fldChar w:fldCharType="separate"/>
            </w:r>
            <w:r w:rsidR="00652DD1">
              <w:rPr>
                <w:webHidden/>
              </w:rPr>
              <w:t>59</w:t>
            </w:r>
            <w:r w:rsidR="00652DD1">
              <w:rPr>
                <w:webHidden/>
              </w:rPr>
              <w:fldChar w:fldCharType="end"/>
            </w:r>
          </w:hyperlink>
        </w:p>
        <w:p w14:paraId="1EB63AE8"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9004" w:history="1">
            <w:r w:rsidR="00652DD1" w:rsidRPr="00D15D39">
              <w:rPr>
                <w:rStyle w:val="Hyperlink"/>
              </w:rPr>
              <w:t>5.1</w:t>
            </w:r>
            <w:r w:rsidR="00652DD1">
              <w:rPr>
                <w:rFonts w:asciiTheme="minorHAnsi" w:eastAsiaTheme="minorEastAsia" w:hAnsiTheme="minorHAnsi" w:cstheme="minorBidi"/>
                <w:noProof/>
                <w:szCs w:val="22"/>
                <w:lang w:eastAsia="en-GB"/>
              </w:rPr>
              <w:tab/>
            </w:r>
            <w:r w:rsidR="00652DD1" w:rsidRPr="00D15D39">
              <w:rPr>
                <w:rStyle w:val="Hyperlink"/>
              </w:rPr>
              <w:t>Project structure</w:t>
            </w:r>
            <w:r w:rsidR="00652DD1">
              <w:rPr>
                <w:noProof/>
                <w:webHidden/>
              </w:rPr>
              <w:tab/>
            </w:r>
            <w:r w:rsidR="00652DD1">
              <w:rPr>
                <w:noProof/>
                <w:webHidden/>
              </w:rPr>
              <w:fldChar w:fldCharType="begin"/>
            </w:r>
            <w:r w:rsidR="00652DD1">
              <w:rPr>
                <w:noProof/>
                <w:webHidden/>
              </w:rPr>
              <w:instrText xml:space="preserve"> PAGEREF _Toc393449004 \h </w:instrText>
            </w:r>
            <w:r w:rsidR="00652DD1">
              <w:rPr>
                <w:noProof/>
                <w:webHidden/>
              </w:rPr>
            </w:r>
            <w:r w:rsidR="00652DD1">
              <w:rPr>
                <w:noProof/>
                <w:webHidden/>
              </w:rPr>
              <w:fldChar w:fldCharType="separate"/>
            </w:r>
            <w:r w:rsidR="00652DD1">
              <w:rPr>
                <w:noProof/>
                <w:webHidden/>
              </w:rPr>
              <w:t>59</w:t>
            </w:r>
            <w:r w:rsidR="00652DD1">
              <w:rPr>
                <w:noProof/>
                <w:webHidden/>
              </w:rPr>
              <w:fldChar w:fldCharType="end"/>
            </w:r>
          </w:hyperlink>
        </w:p>
        <w:p w14:paraId="4FFEA7CD"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9005" w:history="1">
            <w:r w:rsidR="00652DD1" w:rsidRPr="00D15D39">
              <w:rPr>
                <w:rStyle w:val="Hyperlink"/>
              </w:rPr>
              <w:t>5.2</w:t>
            </w:r>
            <w:r w:rsidR="00652DD1">
              <w:rPr>
                <w:rFonts w:asciiTheme="minorHAnsi" w:eastAsiaTheme="minorEastAsia" w:hAnsiTheme="minorHAnsi" w:cstheme="minorBidi"/>
                <w:noProof/>
                <w:szCs w:val="22"/>
                <w:lang w:eastAsia="en-GB"/>
              </w:rPr>
              <w:tab/>
            </w:r>
            <w:r w:rsidR="00652DD1" w:rsidRPr="00D15D39">
              <w:rPr>
                <w:rStyle w:val="Hyperlink"/>
              </w:rPr>
              <w:t>Key stakeholders and coordination</w:t>
            </w:r>
            <w:r w:rsidR="00652DD1">
              <w:rPr>
                <w:noProof/>
                <w:webHidden/>
              </w:rPr>
              <w:tab/>
            </w:r>
            <w:r w:rsidR="00652DD1">
              <w:rPr>
                <w:noProof/>
                <w:webHidden/>
              </w:rPr>
              <w:fldChar w:fldCharType="begin"/>
            </w:r>
            <w:r w:rsidR="00652DD1">
              <w:rPr>
                <w:noProof/>
                <w:webHidden/>
              </w:rPr>
              <w:instrText xml:space="preserve"> PAGEREF _Toc393449005 \h </w:instrText>
            </w:r>
            <w:r w:rsidR="00652DD1">
              <w:rPr>
                <w:noProof/>
                <w:webHidden/>
              </w:rPr>
            </w:r>
            <w:r w:rsidR="00652DD1">
              <w:rPr>
                <w:noProof/>
                <w:webHidden/>
              </w:rPr>
              <w:fldChar w:fldCharType="separate"/>
            </w:r>
            <w:r w:rsidR="00652DD1">
              <w:rPr>
                <w:noProof/>
                <w:webHidden/>
              </w:rPr>
              <w:t>61</w:t>
            </w:r>
            <w:r w:rsidR="00652DD1">
              <w:rPr>
                <w:noProof/>
                <w:webHidden/>
              </w:rPr>
              <w:fldChar w:fldCharType="end"/>
            </w:r>
          </w:hyperlink>
        </w:p>
        <w:p w14:paraId="77785549"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06" w:history="1">
            <w:r w:rsidR="00652DD1" w:rsidRPr="00D15D39">
              <w:rPr>
                <w:rStyle w:val="Hyperlink"/>
              </w:rPr>
              <w:t>6</w:t>
            </w:r>
            <w:r w:rsidR="00652DD1">
              <w:rPr>
                <w:rFonts w:asciiTheme="minorHAnsi" w:eastAsiaTheme="minorEastAsia" w:hAnsiTheme="minorHAnsi" w:cstheme="minorBidi"/>
                <w:szCs w:val="22"/>
                <w:lang w:val="en-GB" w:eastAsia="en-GB"/>
              </w:rPr>
              <w:tab/>
            </w:r>
            <w:r w:rsidR="00652DD1" w:rsidRPr="00D15D39">
              <w:rPr>
                <w:rStyle w:val="Hyperlink"/>
              </w:rPr>
              <w:t>Monitoring Framework and Evaluation</w:t>
            </w:r>
            <w:r w:rsidR="00652DD1">
              <w:rPr>
                <w:webHidden/>
              </w:rPr>
              <w:tab/>
            </w:r>
            <w:r w:rsidR="00652DD1">
              <w:rPr>
                <w:webHidden/>
              </w:rPr>
              <w:fldChar w:fldCharType="begin"/>
            </w:r>
            <w:r w:rsidR="00652DD1">
              <w:rPr>
                <w:webHidden/>
              </w:rPr>
              <w:instrText xml:space="preserve"> PAGEREF _Toc393449006 \h </w:instrText>
            </w:r>
            <w:r w:rsidR="00652DD1">
              <w:rPr>
                <w:webHidden/>
              </w:rPr>
            </w:r>
            <w:r w:rsidR="00652DD1">
              <w:rPr>
                <w:webHidden/>
              </w:rPr>
              <w:fldChar w:fldCharType="separate"/>
            </w:r>
            <w:r w:rsidR="00652DD1">
              <w:rPr>
                <w:webHidden/>
              </w:rPr>
              <w:t>66</w:t>
            </w:r>
            <w:r w:rsidR="00652DD1">
              <w:rPr>
                <w:webHidden/>
              </w:rPr>
              <w:fldChar w:fldCharType="end"/>
            </w:r>
          </w:hyperlink>
        </w:p>
        <w:p w14:paraId="5E6CCE59"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07" w:history="1">
            <w:r w:rsidR="00652DD1" w:rsidRPr="00D15D39">
              <w:rPr>
                <w:rStyle w:val="Hyperlink"/>
              </w:rPr>
              <w:t>7</w:t>
            </w:r>
            <w:r w:rsidR="00652DD1">
              <w:rPr>
                <w:rFonts w:asciiTheme="minorHAnsi" w:eastAsiaTheme="minorEastAsia" w:hAnsiTheme="minorHAnsi" w:cstheme="minorBidi"/>
                <w:szCs w:val="22"/>
                <w:lang w:val="en-GB" w:eastAsia="en-GB"/>
              </w:rPr>
              <w:tab/>
            </w:r>
            <w:r w:rsidR="00652DD1" w:rsidRPr="00D15D39">
              <w:rPr>
                <w:rStyle w:val="Hyperlink"/>
              </w:rPr>
              <w:t>Legal Context</w:t>
            </w:r>
            <w:r w:rsidR="00652DD1">
              <w:rPr>
                <w:webHidden/>
              </w:rPr>
              <w:tab/>
            </w:r>
            <w:r w:rsidR="00652DD1">
              <w:rPr>
                <w:webHidden/>
              </w:rPr>
              <w:fldChar w:fldCharType="begin"/>
            </w:r>
            <w:r w:rsidR="00652DD1">
              <w:rPr>
                <w:webHidden/>
              </w:rPr>
              <w:instrText xml:space="preserve"> PAGEREF _Toc393449007 \h </w:instrText>
            </w:r>
            <w:r w:rsidR="00652DD1">
              <w:rPr>
                <w:webHidden/>
              </w:rPr>
            </w:r>
            <w:r w:rsidR="00652DD1">
              <w:rPr>
                <w:webHidden/>
              </w:rPr>
              <w:fldChar w:fldCharType="separate"/>
            </w:r>
            <w:r w:rsidR="00652DD1">
              <w:rPr>
                <w:webHidden/>
              </w:rPr>
              <w:t>70</w:t>
            </w:r>
            <w:r w:rsidR="00652DD1">
              <w:rPr>
                <w:webHidden/>
              </w:rPr>
              <w:fldChar w:fldCharType="end"/>
            </w:r>
          </w:hyperlink>
        </w:p>
        <w:p w14:paraId="0F351DB4"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08" w:history="1">
            <w:r w:rsidR="00652DD1" w:rsidRPr="00D15D39">
              <w:rPr>
                <w:rStyle w:val="Hyperlink"/>
              </w:rPr>
              <w:t>8</w:t>
            </w:r>
            <w:r w:rsidR="00652DD1">
              <w:rPr>
                <w:rFonts w:asciiTheme="minorHAnsi" w:eastAsiaTheme="minorEastAsia" w:hAnsiTheme="minorHAnsi" w:cstheme="minorBidi"/>
                <w:szCs w:val="22"/>
                <w:lang w:val="en-GB" w:eastAsia="en-GB"/>
              </w:rPr>
              <w:tab/>
            </w:r>
            <w:r w:rsidR="00652DD1" w:rsidRPr="00D15D39">
              <w:rPr>
                <w:rStyle w:val="Hyperlink"/>
              </w:rPr>
              <w:t>Annexes</w:t>
            </w:r>
            <w:r w:rsidR="00652DD1">
              <w:rPr>
                <w:webHidden/>
              </w:rPr>
              <w:tab/>
            </w:r>
            <w:r w:rsidR="00652DD1">
              <w:rPr>
                <w:webHidden/>
              </w:rPr>
              <w:fldChar w:fldCharType="begin"/>
            </w:r>
            <w:r w:rsidR="00652DD1">
              <w:rPr>
                <w:webHidden/>
              </w:rPr>
              <w:instrText xml:space="preserve"> PAGEREF _Toc393449008 \h </w:instrText>
            </w:r>
            <w:r w:rsidR="00652DD1">
              <w:rPr>
                <w:webHidden/>
              </w:rPr>
            </w:r>
            <w:r w:rsidR="00652DD1">
              <w:rPr>
                <w:webHidden/>
              </w:rPr>
              <w:fldChar w:fldCharType="separate"/>
            </w:r>
            <w:r w:rsidR="00652DD1">
              <w:rPr>
                <w:webHidden/>
              </w:rPr>
              <w:t>72</w:t>
            </w:r>
            <w:r w:rsidR="00652DD1">
              <w:rPr>
                <w:webHidden/>
              </w:rPr>
              <w:fldChar w:fldCharType="end"/>
            </w:r>
          </w:hyperlink>
        </w:p>
        <w:p w14:paraId="03C12F0D"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9009" w:history="1">
            <w:r w:rsidR="00652DD1" w:rsidRPr="00D15D39">
              <w:rPr>
                <w:rStyle w:val="Hyperlink"/>
              </w:rPr>
              <w:t>8.1</w:t>
            </w:r>
            <w:r w:rsidR="00652DD1">
              <w:rPr>
                <w:rFonts w:asciiTheme="minorHAnsi" w:eastAsiaTheme="minorEastAsia" w:hAnsiTheme="minorHAnsi" w:cstheme="minorBidi"/>
                <w:noProof/>
                <w:szCs w:val="22"/>
                <w:lang w:eastAsia="en-GB"/>
              </w:rPr>
              <w:tab/>
            </w:r>
            <w:r w:rsidR="00652DD1" w:rsidRPr="00D15D39">
              <w:rPr>
                <w:rStyle w:val="Hyperlink"/>
              </w:rPr>
              <w:t>Risk Analysis</w:t>
            </w:r>
            <w:r w:rsidR="00652DD1">
              <w:rPr>
                <w:noProof/>
                <w:webHidden/>
              </w:rPr>
              <w:tab/>
            </w:r>
            <w:r w:rsidR="00652DD1">
              <w:rPr>
                <w:noProof/>
                <w:webHidden/>
              </w:rPr>
              <w:fldChar w:fldCharType="begin"/>
            </w:r>
            <w:r w:rsidR="00652DD1">
              <w:rPr>
                <w:noProof/>
                <w:webHidden/>
              </w:rPr>
              <w:instrText xml:space="preserve"> PAGEREF _Toc393449009 \h </w:instrText>
            </w:r>
            <w:r w:rsidR="00652DD1">
              <w:rPr>
                <w:noProof/>
                <w:webHidden/>
              </w:rPr>
            </w:r>
            <w:r w:rsidR="00652DD1">
              <w:rPr>
                <w:noProof/>
                <w:webHidden/>
              </w:rPr>
              <w:fldChar w:fldCharType="separate"/>
            </w:r>
            <w:r w:rsidR="00652DD1">
              <w:rPr>
                <w:noProof/>
                <w:webHidden/>
              </w:rPr>
              <w:t>72</w:t>
            </w:r>
            <w:r w:rsidR="00652DD1">
              <w:rPr>
                <w:noProof/>
                <w:webHidden/>
              </w:rPr>
              <w:fldChar w:fldCharType="end"/>
            </w:r>
          </w:hyperlink>
        </w:p>
        <w:p w14:paraId="2536C317"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9010" w:history="1">
            <w:r w:rsidR="00652DD1" w:rsidRPr="00D15D39">
              <w:rPr>
                <w:rStyle w:val="Hyperlink"/>
              </w:rPr>
              <w:t>8.2</w:t>
            </w:r>
            <w:r w:rsidR="00652DD1">
              <w:rPr>
                <w:rFonts w:asciiTheme="minorHAnsi" w:eastAsiaTheme="minorEastAsia" w:hAnsiTheme="minorHAnsi" w:cstheme="minorBidi"/>
                <w:noProof/>
                <w:szCs w:val="22"/>
                <w:lang w:eastAsia="en-GB"/>
              </w:rPr>
              <w:tab/>
            </w:r>
            <w:r w:rsidR="00652DD1" w:rsidRPr="00D15D39">
              <w:rPr>
                <w:rStyle w:val="Hyperlink"/>
              </w:rPr>
              <w:t>Agreements</w:t>
            </w:r>
            <w:r w:rsidR="00652DD1">
              <w:rPr>
                <w:noProof/>
                <w:webHidden/>
              </w:rPr>
              <w:tab/>
            </w:r>
            <w:r w:rsidR="00652DD1">
              <w:rPr>
                <w:noProof/>
                <w:webHidden/>
              </w:rPr>
              <w:fldChar w:fldCharType="begin"/>
            </w:r>
            <w:r w:rsidR="00652DD1">
              <w:rPr>
                <w:noProof/>
                <w:webHidden/>
              </w:rPr>
              <w:instrText xml:space="preserve"> PAGEREF _Toc393449010 \h </w:instrText>
            </w:r>
            <w:r w:rsidR="00652DD1">
              <w:rPr>
                <w:noProof/>
                <w:webHidden/>
              </w:rPr>
            </w:r>
            <w:r w:rsidR="00652DD1">
              <w:rPr>
                <w:noProof/>
                <w:webHidden/>
              </w:rPr>
              <w:fldChar w:fldCharType="separate"/>
            </w:r>
            <w:r w:rsidR="00652DD1">
              <w:rPr>
                <w:noProof/>
                <w:webHidden/>
              </w:rPr>
              <w:t>74</w:t>
            </w:r>
            <w:r w:rsidR="00652DD1">
              <w:rPr>
                <w:noProof/>
                <w:webHidden/>
              </w:rPr>
              <w:fldChar w:fldCharType="end"/>
            </w:r>
          </w:hyperlink>
        </w:p>
        <w:p w14:paraId="40E71A21"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9011" w:history="1">
            <w:r w:rsidR="00652DD1" w:rsidRPr="00D15D39">
              <w:rPr>
                <w:rStyle w:val="Hyperlink"/>
              </w:rPr>
              <w:t>8.3</w:t>
            </w:r>
            <w:r w:rsidR="00652DD1">
              <w:rPr>
                <w:rFonts w:asciiTheme="minorHAnsi" w:eastAsiaTheme="minorEastAsia" w:hAnsiTheme="minorHAnsi" w:cstheme="minorBidi"/>
                <w:noProof/>
                <w:szCs w:val="22"/>
                <w:lang w:eastAsia="en-GB"/>
              </w:rPr>
              <w:tab/>
            </w:r>
            <w:r w:rsidR="00652DD1" w:rsidRPr="00D15D39">
              <w:rPr>
                <w:rStyle w:val="Hyperlink"/>
              </w:rPr>
              <w:t>Terms of Reference</w:t>
            </w:r>
            <w:r w:rsidR="00652DD1">
              <w:rPr>
                <w:noProof/>
                <w:webHidden/>
              </w:rPr>
              <w:tab/>
            </w:r>
            <w:r w:rsidR="00652DD1">
              <w:rPr>
                <w:noProof/>
                <w:webHidden/>
              </w:rPr>
              <w:fldChar w:fldCharType="begin"/>
            </w:r>
            <w:r w:rsidR="00652DD1">
              <w:rPr>
                <w:noProof/>
                <w:webHidden/>
              </w:rPr>
              <w:instrText xml:space="preserve"> PAGEREF _Toc393449011 \h </w:instrText>
            </w:r>
            <w:r w:rsidR="00652DD1">
              <w:rPr>
                <w:noProof/>
                <w:webHidden/>
              </w:rPr>
            </w:r>
            <w:r w:rsidR="00652DD1">
              <w:rPr>
                <w:noProof/>
                <w:webHidden/>
              </w:rPr>
              <w:fldChar w:fldCharType="separate"/>
            </w:r>
            <w:r w:rsidR="00652DD1">
              <w:rPr>
                <w:noProof/>
                <w:webHidden/>
              </w:rPr>
              <w:t>74</w:t>
            </w:r>
            <w:r w:rsidR="00652DD1">
              <w:rPr>
                <w:noProof/>
                <w:webHidden/>
              </w:rPr>
              <w:fldChar w:fldCharType="end"/>
            </w:r>
          </w:hyperlink>
        </w:p>
        <w:p w14:paraId="7CE2367B"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9012" w:history="1">
            <w:r w:rsidR="00652DD1" w:rsidRPr="00D15D39">
              <w:rPr>
                <w:rStyle w:val="Hyperlink"/>
              </w:rPr>
              <w:t>8.4</w:t>
            </w:r>
            <w:r w:rsidR="00652DD1">
              <w:rPr>
                <w:rFonts w:asciiTheme="minorHAnsi" w:eastAsiaTheme="minorEastAsia" w:hAnsiTheme="minorHAnsi" w:cstheme="minorBidi"/>
                <w:noProof/>
                <w:szCs w:val="22"/>
                <w:lang w:eastAsia="en-GB"/>
              </w:rPr>
              <w:tab/>
            </w:r>
            <w:r w:rsidR="00652DD1" w:rsidRPr="00D15D39">
              <w:rPr>
                <w:rStyle w:val="Hyperlink"/>
              </w:rPr>
              <w:t>Capacity Assessment</w:t>
            </w:r>
            <w:r w:rsidR="00652DD1">
              <w:rPr>
                <w:noProof/>
                <w:webHidden/>
              </w:rPr>
              <w:tab/>
            </w:r>
            <w:r w:rsidR="00652DD1">
              <w:rPr>
                <w:noProof/>
                <w:webHidden/>
              </w:rPr>
              <w:fldChar w:fldCharType="begin"/>
            </w:r>
            <w:r w:rsidR="00652DD1">
              <w:rPr>
                <w:noProof/>
                <w:webHidden/>
              </w:rPr>
              <w:instrText xml:space="preserve"> PAGEREF _Toc393449012 \h </w:instrText>
            </w:r>
            <w:r w:rsidR="00652DD1">
              <w:rPr>
                <w:noProof/>
                <w:webHidden/>
              </w:rPr>
            </w:r>
            <w:r w:rsidR="00652DD1">
              <w:rPr>
                <w:noProof/>
                <w:webHidden/>
              </w:rPr>
              <w:fldChar w:fldCharType="separate"/>
            </w:r>
            <w:r w:rsidR="00652DD1">
              <w:rPr>
                <w:noProof/>
                <w:webHidden/>
              </w:rPr>
              <w:t>76</w:t>
            </w:r>
            <w:r w:rsidR="00652DD1">
              <w:rPr>
                <w:noProof/>
                <w:webHidden/>
              </w:rPr>
              <w:fldChar w:fldCharType="end"/>
            </w:r>
          </w:hyperlink>
        </w:p>
        <w:p w14:paraId="0D510C5D" w14:textId="77777777" w:rsidR="00652DD1" w:rsidRDefault="003B328F" w:rsidP="00652DD1">
          <w:pPr>
            <w:pStyle w:val="TOC2"/>
            <w:tabs>
              <w:tab w:val="left" w:pos="960"/>
              <w:tab w:val="right" w:leader="dot" w:pos="9017"/>
            </w:tabs>
            <w:spacing w:after="0"/>
            <w:rPr>
              <w:rFonts w:asciiTheme="minorHAnsi" w:eastAsiaTheme="minorEastAsia" w:hAnsiTheme="minorHAnsi" w:cstheme="minorBidi"/>
              <w:noProof/>
              <w:szCs w:val="22"/>
              <w:lang w:eastAsia="en-GB"/>
            </w:rPr>
          </w:pPr>
          <w:hyperlink w:anchor="_Toc393449013" w:history="1">
            <w:r w:rsidR="00652DD1" w:rsidRPr="00D15D39">
              <w:rPr>
                <w:rStyle w:val="Hyperlink"/>
              </w:rPr>
              <w:t>8.5</w:t>
            </w:r>
            <w:r w:rsidR="00652DD1">
              <w:rPr>
                <w:rFonts w:asciiTheme="minorHAnsi" w:eastAsiaTheme="minorEastAsia" w:hAnsiTheme="minorHAnsi" w:cstheme="minorBidi"/>
                <w:noProof/>
                <w:szCs w:val="22"/>
                <w:lang w:eastAsia="en-GB"/>
              </w:rPr>
              <w:tab/>
            </w:r>
            <w:r w:rsidR="00652DD1" w:rsidRPr="00D15D39">
              <w:rPr>
                <w:rStyle w:val="Hyperlink"/>
              </w:rPr>
              <w:t>Special Clauses</w:t>
            </w:r>
            <w:r w:rsidR="00652DD1">
              <w:rPr>
                <w:noProof/>
                <w:webHidden/>
              </w:rPr>
              <w:tab/>
            </w:r>
            <w:r w:rsidR="00652DD1">
              <w:rPr>
                <w:noProof/>
                <w:webHidden/>
              </w:rPr>
              <w:fldChar w:fldCharType="begin"/>
            </w:r>
            <w:r w:rsidR="00652DD1">
              <w:rPr>
                <w:noProof/>
                <w:webHidden/>
              </w:rPr>
              <w:instrText xml:space="preserve"> PAGEREF _Toc393449013 \h </w:instrText>
            </w:r>
            <w:r w:rsidR="00652DD1">
              <w:rPr>
                <w:noProof/>
                <w:webHidden/>
              </w:rPr>
            </w:r>
            <w:r w:rsidR="00652DD1">
              <w:rPr>
                <w:noProof/>
                <w:webHidden/>
              </w:rPr>
              <w:fldChar w:fldCharType="separate"/>
            </w:r>
            <w:r w:rsidR="00652DD1">
              <w:rPr>
                <w:noProof/>
                <w:webHidden/>
              </w:rPr>
              <w:t>77</w:t>
            </w:r>
            <w:r w:rsidR="00652DD1">
              <w:rPr>
                <w:noProof/>
                <w:webHidden/>
              </w:rPr>
              <w:fldChar w:fldCharType="end"/>
            </w:r>
          </w:hyperlink>
        </w:p>
        <w:p w14:paraId="7954130A"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14" w:history="1">
            <w:r w:rsidR="00652DD1" w:rsidRPr="00D15D39">
              <w:rPr>
                <w:rStyle w:val="Hyperlink"/>
                <w:caps/>
              </w:rPr>
              <w:t>Annex A: Urban Modernization IN KAZAKHSTAN Problem Tree</w:t>
            </w:r>
            <w:r w:rsidR="00652DD1">
              <w:rPr>
                <w:webHidden/>
              </w:rPr>
              <w:tab/>
            </w:r>
            <w:r w:rsidR="00652DD1">
              <w:rPr>
                <w:webHidden/>
              </w:rPr>
              <w:fldChar w:fldCharType="begin"/>
            </w:r>
            <w:r w:rsidR="00652DD1">
              <w:rPr>
                <w:webHidden/>
              </w:rPr>
              <w:instrText xml:space="preserve"> PAGEREF _Toc393449014 \h </w:instrText>
            </w:r>
            <w:r w:rsidR="00652DD1">
              <w:rPr>
                <w:webHidden/>
              </w:rPr>
            </w:r>
            <w:r w:rsidR="00652DD1">
              <w:rPr>
                <w:webHidden/>
              </w:rPr>
              <w:fldChar w:fldCharType="separate"/>
            </w:r>
            <w:r w:rsidR="00652DD1">
              <w:rPr>
                <w:webHidden/>
              </w:rPr>
              <w:t>78</w:t>
            </w:r>
            <w:r w:rsidR="00652DD1">
              <w:rPr>
                <w:webHidden/>
              </w:rPr>
              <w:fldChar w:fldCharType="end"/>
            </w:r>
          </w:hyperlink>
        </w:p>
        <w:p w14:paraId="296B5CDF"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15" w:history="1">
            <w:r w:rsidR="00652DD1" w:rsidRPr="00D15D39">
              <w:rPr>
                <w:rStyle w:val="Hyperlink"/>
                <w:caps/>
              </w:rPr>
              <w:t>Annex B: ESCOs</w:t>
            </w:r>
            <w:r w:rsidR="00652DD1">
              <w:rPr>
                <w:webHidden/>
              </w:rPr>
              <w:tab/>
            </w:r>
            <w:r w:rsidR="00652DD1">
              <w:rPr>
                <w:webHidden/>
              </w:rPr>
              <w:fldChar w:fldCharType="begin"/>
            </w:r>
            <w:r w:rsidR="00652DD1">
              <w:rPr>
                <w:webHidden/>
              </w:rPr>
              <w:instrText xml:space="preserve"> PAGEREF _Toc393449015 \h </w:instrText>
            </w:r>
            <w:r w:rsidR="00652DD1">
              <w:rPr>
                <w:webHidden/>
              </w:rPr>
            </w:r>
            <w:r w:rsidR="00652DD1">
              <w:rPr>
                <w:webHidden/>
              </w:rPr>
              <w:fldChar w:fldCharType="separate"/>
            </w:r>
            <w:r w:rsidR="00652DD1">
              <w:rPr>
                <w:webHidden/>
              </w:rPr>
              <w:t>79</w:t>
            </w:r>
            <w:r w:rsidR="00652DD1">
              <w:rPr>
                <w:webHidden/>
              </w:rPr>
              <w:fldChar w:fldCharType="end"/>
            </w:r>
          </w:hyperlink>
        </w:p>
        <w:p w14:paraId="16D6A29E"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16" w:history="1">
            <w:r w:rsidR="00652DD1" w:rsidRPr="00D15D39">
              <w:rPr>
                <w:rStyle w:val="Hyperlink"/>
                <w:caps/>
              </w:rPr>
              <w:t>Annex C: Average prices and tariffs for housing and utility services in Kazakhstan</w:t>
            </w:r>
            <w:r w:rsidR="00652DD1">
              <w:rPr>
                <w:webHidden/>
              </w:rPr>
              <w:tab/>
            </w:r>
            <w:r w:rsidR="00652DD1">
              <w:rPr>
                <w:webHidden/>
              </w:rPr>
              <w:fldChar w:fldCharType="begin"/>
            </w:r>
            <w:r w:rsidR="00652DD1">
              <w:rPr>
                <w:webHidden/>
              </w:rPr>
              <w:instrText xml:space="preserve"> PAGEREF _Toc393449016 \h </w:instrText>
            </w:r>
            <w:r w:rsidR="00652DD1">
              <w:rPr>
                <w:webHidden/>
              </w:rPr>
            </w:r>
            <w:r w:rsidR="00652DD1">
              <w:rPr>
                <w:webHidden/>
              </w:rPr>
              <w:fldChar w:fldCharType="separate"/>
            </w:r>
            <w:r w:rsidR="00652DD1">
              <w:rPr>
                <w:webHidden/>
              </w:rPr>
              <w:t>81</w:t>
            </w:r>
            <w:r w:rsidR="00652DD1">
              <w:rPr>
                <w:webHidden/>
              </w:rPr>
              <w:fldChar w:fldCharType="end"/>
            </w:r>
          </w:hyperlink>
        </w:p>
        <w:p w14:paraId="43294570"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17" w:history="1">
            <w:r w:rsidR="00652DD1" w:rsidRPr="00D15D39">
              <w:rPr>
                <w:rStyle w:val="Hyperlink"/>
                <w:caps/>
              </w:rPr>
              <w:t>Annex D: Kazakhstan’s Green Economy Concept</w:t>
            </w:r>
            <w:r w:rsidR="00652DD1">
              <w:rPr>
                <w:webHidden/>
              </w:rPr>
              <w:tab/>
            </w:r>
            <w:r w:rsidR="00652DD1">
              <w:rPr>
                <w:webHidden/>
              </w:rPr>
              <w:fldChar w:fldCharType="begin"/>
            </w:r>
            <w:r w:rsidR="00652DD1">
              <w:rPr>
                <w:webHidden/>
              </w:rPr>
              <w:instrText xml:space="preserve"> PAGEREF _Toc393449017 \h </w:instrText>
            </w:r>
            <w:r w:rsidR="00652DD1">
              <w:rPr>
                <w:webHidden/>
              </w:rPr>
            </w:r>
            <w:r w:rsidR="00652DD1">
              <w:rPr>
                <w:webHidden/>
              </w:rPr>
              <w:fldChar w:fldCharType="separate"/>
            </w:r>
            <w:r w:rsidR="00652DD1">
              <w:rPr>
                <w:webHidden/>
              </w:rPr>
              <w:t>82</w:t>
            </w:r>
            <w:r w:rsidR="00652DD1">
              <w:rPr>
                <w:webHidden/>
              </w:rPr>
              <w:fldChar w:fldCharType="end"/>
            </w:r>
          </w:hyperlink>
        </w:p>
        <w:p w14:paraId="2159C2D0"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18" w:history="1">
            <w:r w:rsidR="00652DD1" w:rsidRPr="00D15D39">
              <w:rPr>
                <w:rStyle w:val="Hyperlink"/>
                <w:caps/>
              </w:rPr>
              <w:t>Annex E: Waste Management in Kazakhstan</w:t>
            </w:r>
            <w:r w:rsidR="00652DD1">
              <w:rPr>
                <w:webHidden/>
              </w:rPr>
              <w:tab/>
            </w:r>
            <w:r w:rsidR="00652DD1">
              <w:rPr>
                <w:webHidden/>
              </w:rPr>
              <w:fldChar w:fldCharType="begin"/>
            </w:r>
            <w:r w:rsidR="00652DD1">
              <w:rPr>
                <w:webHidden/>
              </w:rPr>
              <w:instrText xml:space="preserve"> PAGEREF _Toc393449018 \h </w:instrText>
            </w:r>
            <w:r w:rsidR="00652DD1">
              <w:rPr>
                <w:webHidden/>
              </w:rPr>
            </w:r>
            <w:r w:rsidR="00652DD1">
              <w:rPr>
                <w:webHidden/>
              </w:rPr>
              <w:fldChar w:fldCharType="separate"/>
            </w:r>
            <w:r w:rsidR="00652DD1">
              <w:rPr>
                <w:webHidden/>
              </w:rPr>
              <w:t>84</w:t>
            </w:r>
            <w:r w:rsidR="00652DD1">
              <w:rPr>
                <w:webHidden/>
              </w:rPr>
              <w:fldChar w:fldCharType="end"/>
            </w:r>
          </w:hyperlink>
        </w:p>
        <w:p w14:paraId="0B937956"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19" w:history="1">
            <w:r w:rsidR="00652DD1" w:rsidRPr="00D15D39">
              <w:rPr>
                <w:rStyle w:val="Hyperlink"/>
                <w:caps/>
              </w:rPr>
              <w:t>Annex F: GHG emission analsys</w:t>
            </w:r>
            <w:r w:rsidR="00652DD1">
              <w:rPr>
                <w:webHidden/>
              </w:rPr>
              <w:tab/>
            </w:r>
            <w:r w:rsidR="00652DD1">
              <w:rPr>
                <w:webHidden/>
              </w:rPr>
              <w:fldChar w:fldCharType="begin"/>
            </w:r>
            <w:r w:rsidR="00652DD1">
              <w:rPr>
                <w:webHidden/>
              </w:rPr>
              <w:instrText xml:space="preserve"> PAGEREF _Toc393449019 \h </w:instrText>
            </w:r>
            <w:r w:rsidR="00652DD1">
              <w:rPr>
                <w:webHidden/>
              </w:rPr>
            </w:r>
            <w:r w:rsidR="00652DD1">
              <w:rPr>
                <w:webHidden/>
              </w:rPr>
              <w:fldChar w:fldCharType="separate"/>
            </w:r>
            <w:r w:rsidR="00652DD1">
              <w:rPr>
                <w:webHidden/>
              </w:rPr>
              <w:t>97</w:t>
            </w:r>
            <w:r w:rsidR="00652DD1">
              <w:rPr>
                <w:webHidden/>
              </w:rPr>
              <w:fldChar w:fldCharType="end"/>
            </w:r>
          </w:hyperlink>
        </w:p>
        <w:p w14:paraId="33A28E91" w14:textId="77777777" w:rsidR="00652DD1" w:rsidRDefault="003B328F" w:rsidP="00652DD1">
          <w:pPr>
            <w:pStyle w:val="TOC1"/>
            <w:spacing w:after="0"/>
            <w:rPr>
              <w:rFonts w:asciiTheme="minorHAnsi" w:eastAsiaTheme="minorEastAsia" w:hAnsiTheme="minorHAnsi" w:cstheme="minorBidi"/>
              <w:szCs w:val="22"/>
              <w:lang w:val="en-GB" w:eastAsia="en-GB"/>
            </w:rPr>
          </w:pPr>
          <w:hyperlink w:anchor="_Toc393449020" w:history="1">
            <w:r w:rsidR="00652DD1" w:rsidRPr="00D15D39">
              <w:rPr>
                <w:rStyle w:val="Hyperlink"/>
                <w:caps/>
              </w:rPr>
              <w:t>Annex G. Standard Letter of Agreement between UNDP and the Government of KAZAKHSTAN for the Provision of Support Services</w:t>
            </w:r>
            <w:r w:rsidR="00652DD1">
              <w:rPr>
                <w:webHidden/>
              </w:rPr>
              <w:tab/>
            </w:r>
            <w:r w:rsidR="00652DD1">
              <w:rPr>
                <w:webHidden/>
              </w:rPr>
              <w:fldChar w:fldCharType="begin"/>
            </w:r>
            <w:r w:rsidR="00652DD1">
              <w:rPr>
                <w:webHidden/>
              </w:rPr>
              <w:instrText xml:space="preserve"> PAGEREF _Toc393449020 \h </w:instrText>
            </w:r>
            <w:r w:rsidR="00652DD1">
              <w:rPr>
                <w:webHidden/>
              </w:rPr>
            </w:r>
            <w:r w:rsidR="00652DD1">
              <w:rPr>
                <w:webHidden/>
              </w:rPr>
              <w:fldChar w:fldCharType="separate"/>
            </w:r>
            <w:r w:rsidR="00652DD1">
              <w:rPr>
                <w:webHidden/>
              </w:rPr>
              <w:t>101</w:t>
            </w:r>
            <w:r w:rsidR="00652DD1">
              <w:rPr>
                <w:webHidden/>
              </w:rPr>
              <w:fldChar w:fldCharType="end"/>
            </w:r>
          </w:hyperlink>
        </w:p>
        <w:p w14:paraId="5409272F" w14:textId="77777777" w:rsidR="00BE1FA1" w:rsidRPr="005B5602" w:rsidRDefault="00EE1A48" w:rsidP="00652DD1">
          <w:pPr>
            <w:spacing w:after="0"/>
            <w:rPr>
              <w:lang w:val="en-US"/>
            </w:rPr>
          </w:pPr>
          <w:r w:rsidRPr="005B5602">
            <w:rPr>
              <w:b/>
              <w:bCs/>
              <w:lang w:val="en-US"/>
            </w:rPr>
            <w:fldChar w:fldCharType="end"/>
          </w:r>
        </w:p>
      </w:sdtContent>
    </w:sdt>
    <w:p w14:paraId="7E312B55" w14:textId="77777777" w:rsidR="00BE1FA1" w:rsidRPr="005B5602" w:rsidRDefault="00BE1FA1" w:rsidP="00E61BB0">
      <w:pPr>
        <w:jc w:val="left"/>
        <w:rPr>
          <w:rFonts w:cs="Arial"/>
          <w:b/>
          <w:sz w:val="20"/>
          <w:szCs w:val="20"/>
          <w:lang w:val="en-US"/>
        </w:rPr>
      </w:pPr>
    </w:p>
    <w:p w14:paraId="3F586659" w14:textId="77777777" w:rsidR="005B02B2" w:rsidRPr="005B5602" w:rsidRDefault="005B02B2">
      <w:pPr>
        <w:spacing w:after="0"/>
        <w:jc w:val="left"/>
        <w:rPr>
          <w:rFonts w:cs="Arial"/>
          <w:b/>
          <w:sz w:val="20"/>
          <w:szCs w:val="20"/>
          <w:lang w:val="en-US"/>
        </w:rPr>
      </w:pPr>
    </w:p>
    <w:p w14:paraId="3D5B3195" w14:textId="77777777" w:rsidR="005B02B2" w:rsidRPr="005B5602" w:rsidRDefault="005B02B2" w:rsidP="00B41D79">
      <w:pPr>
        <w:pStyle w:val="Heading1"/>
        <w:numPr>
          <w:ilvl w:val="0"/>
          <w:numId w:val="0"/>
        </w:numPr>
        <w:rPr>
          <w:lang w:val="en-US"/>
        </w:rPr>
      </w:pPr>
      <w:bookmarkStart w:id="4" w:name="_Toc393448979"/>
      <w:r w:rsidRPr="005B5602">
        <w:rPr>
          <w:lang w:val="en-US"/>
        </w:rPr>
        <w:lastRenderedPageBreak/>
        <w:t>Acronyms</w:t>
      </w:r>
      <w:bookmarkEnd w:id="4"/>
    </w:p>
    <w:p w14:paraId="6E8A0561" w14:textId="77777777" w:rsidR="00406ED4" w:rsidRPr="005B5602" w:rsidRDefault="005B02B2" w:rsidP="005B02B2">
      <w:pPr>
        <w:spacing w:after="0"/>
        <w:rPr>
          <w:lang w:val="en-US"/>
        </w:rPr>
      </w:pPr>
      <w:r w:rsidRPr="005B5602">
        <w:rPr>
          <w:lang w:val="en-US"/>
        </w:rPr>
        <w:t>AAO</w:t>
      </w:r>
      <w:r w:rsidRPr="005B5602">
        <w:rPr>
          <w:lang w:val="en-US"/>
        </w:rPr>
        <w:tab/>
      </w:r>
      <w:r w:rsidRPr="005B5602">
        <w:rPr>
          <w:lang w:val="en-US"/>
        </w:rPr>
        <w:tab/>
        <w:t>Association of Apartment Owners</w:t>
      </w:r>
    </w:p>
    <w:p w14:paraId="3FFD5BCA" w14:textId="77777777" w:rsidR="005B02B2" w:rsidRPr="005B5602" w:rsidRDefault="00406ED4" w:rsidP="005B02B2">
      <w:pPr>
        <w:spacing w:after="0"/>
        <w:rPr>
          <w:lang w:val="en-US"/>
        </w:rPr>
      </w:pPr>
      <w:r w:rsidRPr="005B5602">
        <w:rPr>
          <w:lang w:val="en-US"/>
        </w:rPr>
        <w:t>ACHCA</w:t>
      </w:r>
      <w:r w:rsidRPr="005B5602">
        <w:rPr>
          <w:lang w:val="en-US"/>
        </w:rPr>
        <w:tab/>
      </w:r>
      <w:r w:rsidRPr="005B5602">
        <w:t>National Agency for Construction and Housing and Communal Affairs</w:t>
      </w:r>
    </w:p>
    <w:p w14:paraId="75B73077" w14:textId="77777777" w:rsidR="005B02B2" w:rsidRPr="005B5602" w:rsidRDefault="005B02B2" w:rsidP="00EC59C1">
      <w:pPr>
        <w:spacing w:after="0"/>
        <w:ind w:left="1440" w:hanging="1440"/>
        <w:rPr>
          <w:lang w:val="en-US"/>
        </w:rPr>
      </w:pPr>
      <w:r w:rsidRPr="005B5602">
        <w:rPr>
          <w:lang w:val="en-US"/>
        </w:rPr>
        <w:t>A</w:t>
      </w:r>
      <w:r w:rsidR="00EC59C1">
        <w:rPr>
          <w:lang w:val="en-US"/>
        </w:rPr>
        <w:t>N</w:t>
      </w:r>
      <w:r w:rsidRPr="005B5602">
        <w:rPr>
          <w:lang w:val="en-US"/>
        </w:rPr>
        <w:t>M</w:t>
      </w:r>
      <w:r w:rsidR="00EC59C1">
        <w:rPr>
          <w:lang w:val="en-US"/>
        </w:rPr>
        <w:t>R</w:t>
      </w:r>
      <w:r w:rsidRPr="005B5602">
        <w:rPr>
          <w:lang w:val="en-US"/>
        </w:rPr>
        <w:tab/>
      </w:r>
      <w:r w:rsidR="00EC59C1" w:rsidRPr="00EC59C1">
        <w:rPr>
          <w:lang w:val="en-US"/>
        </w:rPr>
        <w:t>Agency on Regulation</w:t>
      </w:r>
      <w:r w:rsidR="00EC59C1">
        <w:rPr>
          <w:lang w:val="en-US"/>
        </w:rPr>
        <w:t xml:space="preserve"> of Natural Monopolies</w:t>
      </w:r>
      <w:r w:rsidR="00EC59C1" w:rsidRPr="00EC59C1">
        <w:rPr>
          <w:lang w:val="en-US"/>
        </w:rPr>
        <w:t xml:space="preserve">      </w:t>
      </w:r>
    </w:p>
    <w:p w14:paraId="0FCB4E81" w14:textId="77777777" w:rsidR="00406ED4" w:rsidRDefault="005B02B2" w:rsidP="005B02B2">
      <w:pPr>
        <w:spacing w:after="0"/>
        <w:rPr>
          <w:lang w:val="en-US"/>
        </w:rPr>
      </w:pPr>
      <w:r w:rsidRPr="005B5602">
        <w:rPr>
          <w:lang w:val="en-US"/>
        </w:rPr>
        <w:t>APR</w:t>
      </w:r>
      <w:r w:rsidRPr="005B5602">
        <w:rPr>
          <w:lang w:val="en-US"/>
        </w:rPr>
        <w:tab/>
      </w:r>
      <w:r w:rsidRPr="005B5602">
        <w:rPr>
          <w:lang w:val="en-US"/>
        </w:rPr>
        <w:tab/>
        <w:t>Annual Project Report</w:t>
      </w:r>
    </w:p>
    <w:p w14:paraId="058F555A" w14:textId="77777777" w:rsidR="009F177B" w:rsidRPr="005B5602" w:rsidRDefault="009F177B" w:rsidP="009F177B">
      <w:pPr>
        <w:spacing w:after="0"/>
        <w:ind w:left="1440" w:hanging="1440"/>
        <w:rPr>
          <w:lang w:val="en-US"/>
        </w:rPr>
      </w:pPr>
      <w:r>
        <w:rPr>
          <w:lang w:val="en-US"/>
        </w:rPr>
        <w:t>BMC</w:t>
      </w:r>
      <w:r>
        <w:rPr>
          <w:lang w:val="en-US"/>
        </w:rPr>
        <w:tab/>
        <w:t>Building Management Company (a type of (public)-private MMC focused on building management)</w:t>
      </w:r>
    </w:p>
    <w:p w14:paraId="66CA10CB" w14:textId="77777777" w:rsidR="005B02B2" w:rsidRPr="005B5602" w:rsidRDefault="00406ED4" w:rsidP="005B02B2">
      <w:pPr>
        <w:spacing w:after="0"/>
        <w:rPr>
          <w:lang w:val="en-US"/>
        </w:rPr>
      </w:pPr>
      <w:r w:rsidRPr="005B5602">
        <w:rPr>
          <w:lang w:val="en-US"/>
        </w:rPr>
        <w:t>CAST</w:t>
      </w:r>
      <w:r w:rsidRPr="005B5602">
        <w:rPr>
          <w:lang w:val="en-US"/>
        </w:rPr>
        <w:tab/>
      </w:r>
      <w:r w:rsidRPr="005B5602">
        <w:rPr>
          <w:lang w:val="en-US"/>
        </w:rPr>
        <w:tab/>
        <w:t>City of Almaty Sustainable Transport (project)</w:t>
      </w:r>
    </w:p>
    <w:p w14:paraId="70F3374D" w14:textId="77777777" w:rsidR="005B02B2" w:rsidRPr="005B5602" w:rsidRDefault="005B02B2" w:rsidP="005B02B2">
      <w:pPr>
        <w:spacing w:after="0"/>
        <w:rPr>
          <w:lang w:val="en-US"/>
        </w:rPr>
      </w:pPr>
      <w:r w:rsidRPr="005B5602">
        <w:rPr>
          <w:lang w:val="en-US"/>
        </w:rPr>
        <w:t>CEO</w:t>
      </w:r>
      <w:r w:rsidRPr="005B5602">
        <w:rPr>
          <w:lang w:val="en-US"/>
        </w:rPr>
        <w:tab/>
      </w:r>
      <w:r w:rsidRPr="005B5602">
        <w:rPr>
          <w:lang w:val="en-US"/>
        </w:rPr>
        <w:tab/>
      </w:r>
      <w:r w:rsidR="002E4970" w:rsidRPr="005B5602">
        <w:rPr>
          <w:lang w:val="en-US"/>
        </w:rPr>
        <w:t>(</w:t>
      </w:r>
      <w:r w:rsidRPr="005B5602">
        <w:rPr>
          <w:lang w:val="en-US"/>
        </w:rPr>
        <w:t>GEF</w:t>
      </w:r>
      <w:r w:rsidR="002E4970" w:rsidRPr="005B5602">
        <w:rPr>
          <w:lang w:val="en-US"/>
        </w:rPr>
        <w:t>)</w:t>
      </w:r>
      <w:r w:rsidRPr="005B5602">
        <w:rPr>
          <w:lang w:val="en-US"/>
        </w:rPr>
        <w:t xml:space="preserve"> Chief Executive Officer</w:t>
      </w:r>
    </w:p>
    <w:p w14:paraId="3D9D72F8" w14:textId="77777777" w:rsidR="005B02B2" w:rsidRPr="005B5602" w:rsidRDefault="005B02B2" w:rsidP="005B02B2">
      <w:pPr>
        <w:spacing w:after="0"/>
        <w:rPr>
          <w:lang w:val="en-US"/>
        </w:rPr>
      </w:pPr>
      <w:r w:rsidRPr="005B5602">
        <w:rPr>
          <w:lang w:val="en-US"/>
        </w:rPr>
        <w:t>CIS</w:t>
      </w:r>
      <w:r w:rsidRPr="005B5602">
        <w:rPr>
          <w:lang w:val="en-US"/>
        </w:rPr>
        <w:tab/>
      </w:r>
      <w:r w:rsidRPr="005B5602">
        <w:rPr>
          <w:lang w:val="en-US"/>
        </w:rPr>
        <w:tab/>
        <w:t>Commonwealth of Independent States</w:t>
      </w:r>
    </w:p>
    <w:p w14:paraId="5C506072" w14:textId="77777777" w:rsidR="005B02B2" w:rsidRPr="005B5602" w:rsidRDefault="005B02B2" w:rsidP="005B02B2">
      <w:pPr>
        <w:spacing w:after="0"/>
        <w:rPr>
          <w:lang w:val="en-US"/>
        </w:rPr>
      </w:pPr>
      <w:r w:rsidRPr="005B5602">
        <w:rPr>
          <w:lang w:val="en-US"/>
        </w:rPr>
        <w:t>CHP</w:t>
      </w:r>
      <w:r w:rsidRPr="005B5602">
        <w:rPr>
          <w:lang w:val="en-US"/>
        </w:rPr>
        <w:tab/>
      </w:r>
      <w:r w:rsidRPr="005B5602">
        <w:rPr>
          <w:lang w:val="en-US"/>
        </w:rPr>
        <w:tab/>
        <w:t>Combined Heat and Power</w:t>
      </w:r>
    </w:p>
    <w:p w14:paraId="1290D2C7" w14:textId="77777777" w:rsidR="005B02B2" w:rsidRPr="005B5602" w:rsidRDefault="005B02B2" w:rsidP="005B02B2">
      <w:pPr>
        <w:spacing w:after="0"/>
        <w:rPr>
          <w:lang w:val="en-US"/>
        </w:rPr>
      </w:pPr>
      <w:r w:rsidRPr="005B5602">
        <w:rPr>
          <w:lang w:val="en-US"/>
        </w:rPr>
        <w:t>CO</w:t>
      </w:r>
      <w:r w:rsidRPr="005B5602">
        <w:rPr>
          <w:lang w:val="en-US"/>
        </w:rPr>
        <w:tab/>
      </w:r>
      <w:r w:rsidRPr="005B5602">
        <w:rPr>
          <w:lang w:val="en-US"/>
        </w:rPr>
        <w:tab/>
        <w:t>UNDP Country Office</w:t>
      </w:r>
    </w:p>
    <w:p w14:paraId="58F2DC35" w14:textId="77777777" w:rsidR="005B02B2" w:rsidRPr="005B5602" w:rsidRDefault="00406ED4" w:rsidP="005B02B2">
      <w:pPr>
        <w:spacing w:after="0"/>
        <w:rPr>
          <w:lang w:val="en-US"/>
        </w:rPr>
      </w:pPr>
      <w:r w:rsidRPr="005B5602">
        <w:rPr>
          <w:lang w:val="en-US"/>
        </w:rPr>
        <w:t>CO</w:t>
      </w:r>
      <w:r w:rsidRPr="005B5602">
        <w:rPr>
          <w:vertAlign w:val="subscript"/>
          <w:lang w:val="en-US"/>
        </w:rPr>
        <w:t>2</w:t>
      </w:r>
      <w:r w:rsidRPr="005B5602">
        <w:rPr>
          <w:lang w:val="en-US"/>
        </w:rPr>
        <w:tab/>
      </w:r>
      <w:r w:rsidRPr="005B5602">
        <w:rPr>
          <w:lang w:val="en-US"/>
        </w:rPr>
        <w:tab/>
        <w:t>Carbon dioxide</w:t>
      </w:r>
    </w:p>
    <w:p w14:paraId="77F6B4C4" w14:textId="77777777" w:rsidR="002D5328" w:rsidRPr="005B5602" w:rsidRDefault="005B02B2" w:rsidP="005B02B2">
      <w:pPr>
        <w:spacing w:after="0"/>
        <w:rPr>
          <w:lang w:val="en-US"/>
        </w:rPr>
      </w:pPr>
      <w:r w:rsidRPr="005B5602">
        <w:rPr>
          <w:lang w:val="en-US"/>
        </w:rPr>
        <w:t>CP</w:t>
      </w:r>
      <w:r w:rsidRPr="005B5602">
        <w:rPr>
          <w:lang w:val="en-US"/>
        </w:rPr>
        <w:tab/>
      </w:r>
      <w:r w:rsidRPr="005B5602">
        <w:rPr>
          <w:lang w:val="en-US"/>
        </w:rPr>
        <w:tab/>
        <w:t>Country Programme</w:t>
      </w:r>
    </w:p>
    <w:p w14:paraId="4E81C966" w14:textId="77777777" w:rsidR="005B02B2" w:rsidRPr="005B5602" w:rsidRDefault="002D5328" w:rsidP="005B02B2">
      <w:pPr>
        <w:spacing w:after="0"/>
        <w:rPr>
          <w:lang w:val="en-US"/>
        </w:rPr>
      </w:pPr>
      <w:r w:rsidRPr="005B5602">
        <w:rPr>
          <w:lang w:val="en-US"/>
        </w:rPr>
        <w:t>CPAP</w:t>
      </w:r>
      <w:r w:rsidR="007A67D3" w:rsidRPr="005B5602">
        <w:rPr>
          <w:lang w:val="en-US"/>
        </w:rPr>
        <w:tab/>
      </w:r>
      <w:r w:rsidR="007A67D3" w:rsidRPr="005B5602">
        <w:rPr>
          <w:lang w:val="en-US"/>
        </w:rPr>
        <w:tab/>
        <w:t>Country Programme Action Plan</w:t>
      </w:r>
    </w:p>
    <w:p w14:paraId="6418342E" w14:textId="77777777" w:rsidR="005B02B2" w:rsidRPr="005B5602" w:rsidRDefault="005B02B2" w:rsidP="005B02B2">
      <w:pPr>
        <w:spacing w:after="0"/>
        <w:rPr>
          <w:lang w:val="en-US"/>
        </w:rPr>
      </w:pPr>
      <w:r w:rsidRPr="005B5602">
        <w:rPr>
          <w:lang w:val="en-US"/>
        </w:rPr>
        <w:t>CTA</w:t>
      </w:r>
      <w:r w:rsidRPr="005B5602">
        <w:rPr>
          <w:lang w:val="en-US"/>
        </w:rPr>
        <w:tab/>
      </w:r>
      <w:r w:rsidRPr="005B5602">
        <w:rPr>
          <w:lang w:val="en-US"/>
        </w:rPr>
        <w:tab/>
        <w:t xml:space="preserve">Chief Technical Adviser </w:t>
      </w:r>
    </w:p>
    <w:p w14:paraId="0F96B8A8" w14:textId="77777777" w:rsidR="00406ED4" w:rsidRPr="005B5602" w:rsidRDefault="005B02B2" w:rsidP="005B02B2">
      <w:pPr>
        <w:spacing w:after="0"/>
        <w:rPr>
          <w:lang w:val="en-US"/>
        </w:rPr>
      </w:pPr>
      <w:r w:rsidRPr="005B5602">
        <w:rPr>
          <w:lang w:val="en-US"/>
        </w:rPr>
        <w:t>DH</w:t>
      </w:r>
      <w:r w:rsidRPr="005B5602">
        <w:rPr>
          <w:lang w:val="en-US"/>
        </w:rPr>
        <w:tab/>
      </w:r>
      <w:r w:rsidRPr="005B5602">
        <w:rPr>
          <w:lang w:val="en-US"/>
        </w:rPr>
        <w:tab/>
        <w:t>District Heating</w:t>
      </w:r>
    </w:p>
    <w:p w14:paraId="2436C6BF" w14:textId="77777777" w:rsidR="005B02B2" w:rsidRPr="005B5602" w:rsidRDefault="00406ED4" w:rsidP="005B02B2">
      <w:pPr>
        <w:spacing w:after="0"/>
        <w:rPr>
          <w:lang w:val="en-US"/>
        </w:rPr>
      </w:pPr>
      <w:r w:rsidRPr="005B5602">
        <w:rPr>
          <w:lang w:val="en-US"/>
        </w:rPr>
        <w:t>EADB</w:t>
      </w:r>
      <w:r w:rsidRPr="005B5602">
        <w:rPr>
          <w:lang w:val="en-US"/>
        </w:rPr>
        <w:tab/>
      </w:r>
      <w:r w:rsidRPr="005B5602">
        <w:rPr>
          <w:lang w:val="en-US"/>
        </w:rPr>
        <w:tab/>
      </w:r>
      <w:r w:rsidRPr="005B5602">
        <w:t>Eurasian Development Bank</w:t>
      </w:r>
    </w:p>
    <w:p w14:paraId="64734C53" w14:textId="77777777" w:rsidR="005B02B2" w:rsidRPr="005B5602" w:rsidRDefault="005B02B2" w:rsidP="005B02B2">
      <w:pPr>
        <w:spacing w:after="0"/>
        <w:rPr>
          <w:lang w:val="en-US"/>
        </w:rPr>
      </w:pPr>
      <w:r w:rsidRPr="005B5602">
        <w:rPr>
          <w:lang w:val="en-US"/>
        </w:rPr>
        <w:t>EBRD</w:t>
      </w:r>
      <w:r w:rsidRPr="005B5602">
        <w:rPr>
          <w:lang w:val="en-US"/>
        </w:rPr>
        <w:tab/>
      </w:r>
      <w:r w:rsidRPr="005B5602">
        <w:rPr>
          <w:lang w:val="en-US"/>
        </w:rPr>
        <w:tab/>
        <w:t>European Bank for Reconstruction and Development</w:t>
      </w:r>
    </w:p>
    <w:p w14:paraId="3643FC2C" w14:textId="77777777" w:rsidR="005B02B2" w:rsidRPr="005B5602" w:rsidRDefault="005B02B2" w:rsidP="005B02B2">
      <w:pPr>
        <w:spacing w:after="0"/>
        <w:rPr>
          <w:lang w:val="en-US"/>
        </w:rPr>
      </w:pPr>
      <w:r w:rsidRPr="005B5602">
        <w:rPr>
          <w:lang w:val="en-US"/>
        </w:rPr>
        <w:t>EE</w:t>
      </w:r>
      <w:r w:rsidRPr="005B5602">
        <w:rPr>
          <w:lang w:val="en-US"/>
        </w:rPr>
        <w:tab/>
      </w:r>
      <w:r w:rsidRPr="005B5602">
        <w:rPr>
          <w:lang w:val="en-US"/>
        </w:rPr>
        <w:tab/>
        <w:t>Energy Efficiency</w:t>
      </w:r>
    </w:p>
    <w:p w14:paraId="692DECAA" w14:textId="77777777" w:rsidR="005B02B2" w:rsidRPr="005B5602" w:rsidRDefault="005B02B2" w:rsidP="005B02B2">
      <w:pPr>
        <w:spacing w:after="0"/>
        <w:rPr>
          <w:lang w:val="en-US"/>
        </w:rPr>
      </w:pPr>
      <w:r w:rsidRPr="005B5602">
        <w:rPr>
          <w:lang w:val="en-US"/>
        </w:rPr>
        <w:t>EPC</w:t>
      </w:r>
      <w:r w:rsidRPr="005B5602">
        <w:rPr>
          <w:lang w:val="en-US"/>
        </w:rPr>
        <w:tab/>
      </w:r>
      <w:r w:rsidRPr="005B5602">
        <w:rPr>
          <w:lang w:val="en-US"/>
        </w:rPr>
        <w:tab/>
        <w:t>Energy Performance Contract</w:t>
      </w:r>
    </w:p>
    <w:p w14:paraId="21DD16F1" w14:textId="77777777" w:rsidR="00406ED4" w:rsidRPr="005B5602" w:rsidRDefault="005B02B2" w:rsidP="005B02B2">
      <w:pPr>
        <w:spacing w:after="0"/>
        <w:rPr>
          <w:lang w:val="en-US"/>
        </w:rPr>
      </w:pPr>
      <w:r w:rsidRPr="005B5602">
        <w:rPr>
          <w:lang w:val="en-US"/>
        </w:rPr>
        <w:t>ESCO</w:t>
      </w:r>
      <w:r w:rsidRPr="005B5602">
        <w:rPr>
          <w:lang w:val="en-US"/>
        </w:rPr>
        <w:tab/>
      </w:r>
      <w:r w:rsidRPr="005B5602">
        <w:rPr>
          <w:lang w:val="en-US"/>
        </w:rPr>
        <w:tab/>
        <w:t>Energy Service Company</w:t>
      </w:r>
    </w:p>
    <w:p w14:paraId="39C5E595" w14:textId="77777777" w:rsidR="003F00DD" w:rsidRPr="005B5602" w:rsidRDefault="00406ED4" w:rsidP="005B02B2">
      <w:pPr>
        <w:spacing w:after="0"/>
        <w:rPr>
          <w:lang w:val="en-US"/>
        </w:rPr>
      </w:pPr>
      <w:r w:rsidRPr="005B5602">
        <w:rPr>
          <w:lang w:val="en-US"/>
        </w:rPr>
        <w:t>ETS</w:t>
      </w:r>
      <w:r w:rsidRPr="005B5602">
        <w:rPr>
          <w:lang w:val="en-US"/>
        </w:rPr>
        <w:tab/>
      </w:r>
      <w:r w:rsidRPr="005B5602">
        <w:rPr>
          <w:lang w:val="en-US"/>
        </w:rPr>
        <w:tab/>
      </w:r>
      <w:r w:rsidRPr="005B5602">
        <w:t>Emission trading Scheme</w:t>
      </w:r>
    </w:p>
    <w:p w14:paraId="78054A49" w14:textId="77777777" w:rsidR="005B02B2" w:rsidRPr="005B5602" w:rsidRDefault="003F00DD" w:rsidP="005B02B2">
      <w:pPr>
        <w:spacing w:after="0"/>
        <w:rPr>
          <w:lang w:val="en-US"/>
        </w:rPr>
      </w:pPr>
      <w:r w:rsidRPr="005B5602">
        <w:rPr>
          <w:lang w:val="en-US"/>
        </w:rPr>
        <w:t>GCF</w:t>
      </w:r>
      <w:r w:rsidRPr="005B5602">
        <w:rPr>
          <w:lang w:val="en-US"/>
        </w:rPr>
        <w:tab/>
      </w:r>
      <w:r w:rsidRPr="005B5602">
        <w:rPr>
          <w:lang w:val="en-US"/>
        </w:rPr>
        <w:tab/>
        <w:t>Green Climate Fund</w:t>
      </w:r>
    </w:p>
    <w:p w14:paraId="7DFFC575" w14:textId="77777777" w:rsidR="005B02B2" w:rsidRPr="005B5602" w:rsidRDefault="005B02B2" w:rsidP="005B02B2">
      <w:pPr>
        <w:spacing w:after="0"/>
        <w:rPr>
          <w:lang w:val="en-US"/>
        </w:rPr>
      </w:pPr>
      <w:r w:rsidRPr="005B5602">
        <w:rPr>
          <w:lang w:val="en-US"/>
        </w:rPr>
        <w:t>GDP</w:t>
      </w:r>
      <w:r w:rsidRPr="005B5602">
        <w:rPr>
          <w:lang w:val="en-US"/>
        </w:rPr>
        <w:tab/>
      </w:r>
      <w:r w:rsidRPr="005B5602">
        <w:rPr>
          <w:lang w:val="en-US"/>
        </w:rPr>
        <w:tab/>
        <w:t>Gross Domestic Product</w:t>
      </w:r>
    </w:p>
    <w:p w14:paraId="58470BEB" w14:textId="77777777" w:rsidR="005B02B2" w:rsidRPr="005B5602" w:rsidRDefault="005B02B2" w:rsidP="005B02B2">
      <w:pPr>
        <w:spacing w:after="0"/>
        <w:rPr>
          <w:lang w:val="en-US"/>
        </w:rPr>
      </w:pPr>
      <w:r w:rsidRPr="005B5602">
        <w:rPr>
          <w:lang w:val="en-US"/>
        </w:rPr>
        <w:t>GEF</w:t>
      </w:r>
      <w:r w:rsidRPr="005B5602">
        <w:rPr>
          <w:lang w:val="en-US"/>
        </w:rPr>
        <w:tab/>
      </w:r>
      <w:r w:rsidRPr="005B5602">
        <w:rPr>
          <w:lang w:val="en-US"/>
        </w:rPr>
        <w:tab/>
        <w:t>Global Environment Facility</w:t>
      </w:r>
    </w:p>
    <w:p w14:paraId="38A11E4C" w14:textId="77777777" w:rsidR="005B02B2" w:rsidRPr="005B5602" w:rsidRDefault="005B02B2" w:rsidP="005B02B2">
      <w:pPr>
        <w:spacing w:after="0"/>
        <w:rPr>
          <w:lang w:val="en-US"/>
        </w:rPr>
      </w:pPr>
      <w:r w:rsidRPr="005B5602">
        <w:rPr>
          <w:lang w:val="en-US"/>
        </w:rPr>
        <w:lastRenderedPageBreak/>
        <w:t>GHG</w:t>
      </w:r>
      <w:r w:rsidRPr="005B5602">
        <w:rPr>
          <w:lang w:val="en-US"/>
        </w:rPr>
        <w:tab/>
      </w:r>
      <w:r w:rsidRPr="005B5602">
        <w:rPr>
          <w:lang w:val="en-US"/>
        </w:rPr>
        <w:tab/>
        <w:t>Greenhouse Gas</w:t>
      </w:r>
    </w:p>
    <w:p w14:paraId="181420FB" w14:textId="77777777" w:rsidR="005B02B2" w:rsidRPr="005B5602" w:rsidRDefault="005B02B2" w:rsidP="005B02B2">
      <w:pPr>
        <w:spacing w:after="0"/>
        <w:rPr>
          <w:lang w:val="en-US"/>
        </w:rPr>
      </w:pPr>
      <w:r w:rsidRPr="005B5602">
        <w:rPr>
          <w:lang w:val="en-US"/>
        </w:rPr>
        <w:t>HOB</w:t>
      </w:r>
      <w:r w:rsidRPr="005B5602">
        <w:rPr>
          <w:lang w:val="en-US"/>
        </w:rPr>
        <w:tab/>
      </w:r>
      <w:r w:rsidRPr="005B5602">
        <w:rPr>
          <w:lang w:val="en-US"/>
        </w:rPr>
        <w:tab/>
        <w:t xml:space="preserve">Heat Only Boiler </w:t>
      </w:r>
    </w:p>
    <w:p w14:paraId="5741E8B7" w14:textId="77777777" w:rsidR="005B02B2" w:rsidRPr="005B5602" w:rsidRDefault="005B02B2" w:rsidP="005B02B2">
      <w:pPr>
        <w:spacing w:after="0"/>
        <w:rPr>
          <w:lang w:val="en-US"/>
        </w:rPr>
      </w:pPr>
      <w:r w:rsidRPr="005B5602">
        <w:rPr>
          <w:lang w:val="en-US"/>
        </w:rPr>
        <w:t>HQ</w:t>
      </w:r>
      <w:r w:rsidRPr="005B5602">
        <w:rPr>
          <w:lang w:val="en-US"/>
        </w:rPr>
        <w:tab/>
      </w:r>
      <w:r w:rsidRPr="005B5602">
        <w:rPr>
          <w:lang w:val="en-US"/>
        </w:rPr>
        <w:tab/>
        <w:t>UNDP Headquarters</w:t>
      </w:r>
    </w:p>
    <w:p w14:paraId="1689A2C7" w14:textId="77777777" w:rsidR="005B02B2" w:rsidRPr="005B5602" w:rsidRDefault="005B02B2" w:rsidP="005B02B2">
      <w:pPr>
        <w:spacing w:after="0"/>
        <w:rPr>
          <w:lang w:val="en-US"/>
        </w:rPr>
      </w:pPr>
      <w:r w:rsidRPr="005B5602">
        <w:rPr>
          <w:lang w:val="en-US"/>
        </w:rPr>
        <w:t>IEA</w:t>
      </w:r>
      <w:r w:rsidRPr="005B5602">
        <w:rPr>
          <w:lang w:val="en-US"/>
        </w:rPr>
        <w:tab/>
      </w:r>
      <w:r w:rsidRPr="005B5602">
        <w:rPr>
          <w:lang w:val="en-US"/>
        </w:rPr>
        <w:tab/>
        <w:t>International Energy Agency</w:t>
      </w:r>
    </w:p>
    <w:p w14:paraId="39366E28" w14:textId="77777777" w:rsidR="005B02B2" w:rsidRPr="005B5602" w:rsidRDefault="005B02B2" w:rsidP="005B02B2">
      <w:pPr>
        <w:spacing w:after="0"/>
        <w:rPr>
          <w:lang w:val="en-US"/>
        </w:rPr>
      </w:pPr>
      <w:r w:rsidRPr="005B5602">
        <w:rPr>
          <w:lang w:val="en-US"/>
        </w:rPr>
        <w:t>IR</w:t>
      </w:r>
      <w:r w:rsidRPr="005B5602">
        <w:rPr>
          <w:lang w:val="en-US"/>
        </w:rPr>
        <w:tab/>
      </w:r>
      <w:r w:rsidRPr="005B5602">
        <w:rPr>
          <w:lang w:val="en-US"/>
        </w:rPr>
        <w:tab/>
        <w:t>Inception Report</w:t>
      </w:r>
    </w:p>
    <w:p w14:paraId="782CC168" w14:textId="77777777" w:rsidR="005B02B2" w:rsidRPr="005B5602" w:rsidRDefault="005B02B2" w:rsidP="005B02B2">
      <w:pPr>
        <w:spacing w:after="0"/>
        <w:rPr>
          <w:lang w:val="en-US"/>
        </w:rPr>
      </w:pPr>
      <w:r w:rsidRPr="005B5602">
        <w:rPr>
          <w:lang w:val="en-US"/>
        </w:rPr>
        <w:t>IW</w:t>
      </w:r>
      <w:r w:rsidRPr="005B5602">
        <w:rPr>
          <w:lang w:val="en-US"/>
        </w:rPr>
        <w:tab/>
      </w:r>
      <w:r w:rsidRPr="005B5602">
        <w:rPr>
          <w:lang w:val="en-US"/>
        </w:rPr>
        <w:tab/>
        <w:t>Inception Workshop</w:t>
      </w:r>
    </w:p>
    <w:p w14:paraId="68049A8E" w14:textId="77777777" w:rsidR="005B02B2" w:rsidRPr="005B5602" w:rsidRDefault="005B02B2" w:rsidP="005B02B2">
      <w:pPr>
        <w:spacing w:after="0"/>
        <w:rPr>
          <w:lang w:val="en-US"/>
        </w:rPr>
      </w:pPr>
      <w:r w:rsidRPr="005B5602">
        <w:rPr>
          <w:lang w:val="en-US"/>
        </w:rPr>
        <w:t>JSC</w:t>
      </w:r>
      <w:r w:rsidRPr="005B5602">
        <w:rPr>
          <w:lang w:val="en-US"/>
        </w:rPr>
        <w:tab/>
      </w:r>
      <w:r w:rsidRPr="005B5602">
        <w:rPr>
          <w:lang w:val="en-US"/>
        </w:rPr>
        <w:tab/>
        <w:t>Joint Stock Company</w:t>
      </w:r>
    </w:p>
    <w:p w14:paraId="13AA2975" w14:textId="77777777" w:rsidR="005B02B2" w:rsidRPr="005B5602" w:rsidRDefault="005B02B2" w:rsidP="005B02B2">
      <w:pPr>
        <w:spacing w:after="0"/>
        <w:rPr>
          <w:lang w:val="en-US"/>
        </w:rPr>
      </w:pPr>
      <w:r w:rsidRPr="005B5602">
        <w:rPr>
          <w:lang w:val="en-US"/>
        </w:rPr>
        <w:t>MDG</w:t>
      </w:r>
      <w:r w:rsidRPr="005B5602">
        <w:rPr>
          <w:lang w:val="en-US"/>
        </w:rPr>
        <w:tab/>
      </w:r>
      <w:r w:rsidRPr="005B5602">
        <w:rPr>
          <w:lang w:val="en-US"/>
        </w:rPr>
        <w:tab/>
        <w:t>UN Millennium Development Goals</w:t>
      </w:r>
    </w:p>
    <w:p w14:paraId="02052840" w14:textId="77777777" w:rsidR="008F7A1D" w:rsidRPr="005B5602" w:rsidRDefault="008F7A1D" w:rsidP="008F7A1D">
      <w:pPr>
        <w:spacing w:after="0"/>
        <w:rPr>
          <w:lang w:val="en-US"/>
        </w:rPr>
      </w:pPr>
      <w:r w:rsidRPr="005B5602">
        <w:rPr>
          <w:lang w:val="en-US"/>
        </w:rPr>
        <w:t>M&amp;E</w:t>
      </w:r>
      <w:r w:rsidRPr="005B5602">
        <w:rPr>
          <w:lang w:val="en-US"/>
        </w:rPr>
        <w:tab/>
      </w:r>
      <w:r w:rsidRPr="005B5602">
        <w:rPr>
          <w:lang w:val="en-US"/>
        </w:rPr>
        <w:tab/>
        <w:t>Monitoring and Evaluation</w:t>
      </w:r>
    </w:p>
    <w:p w14:paraId="1AE5E250" w14:textId="77777777" w:rsidR="00611F3D" w:rsidRDefault="005B02B2" w:rsidP="005B02B2">
      <w:pPr>
        <w:spacing w:after="0"/>
        <w:rPr>
          <w:lang w:val="en-US"/>
        </w:rPr>
      </w:pPr>
      <w:r w:rsidRPr="005B5602">
        <w:rPr>
          <w:lang w:val="en-US"/>
        </w:rPr>
        <w:t>M</w:t>
      </w:r>
      <w:r w:rsidR="00611F3D">
        <w:rPr>
          <w:lang w:val="en-US"/>
        </w:rPr>
        <w:t>OG</w:t>
      </w:r>
      <w:r w:rsidR="00301738">
        <w:rPr>
          <w:lang w:val="en-US"/>
        </w:rPr>
        <w:tab/>
      </w:r>
      <w:r w:rsidR="00301738">
        <w:rPr>
          <w:lang w:val="en-US"/>
        </w:rPr>
        <w:tab/>
        <w:t>Ministry of Oil and Gas</w:t>
      </w:r>
    </w:p>
    <w:p w14:paraId="0027E059" w14:textId="77777777" w:rsidR="00611F3D" w:rsidRDefault="00611F3D" w:rsidP="005B02B2">
      <w:pPr>
        <w:spacing w:after="0"/>
        <w:rPr>
          <w:lang w:val="en-US"/>
        </w:rPr>
      </w:pPr>
      <w:r>
        <w:rPr>
          <w:lang w:val="en-US"/>
        </w:rPr>
        <w:t>MINT</w:t>
      </w:r>
      <w:r>
        <w:rPr>
          <w:lang w:val="en-US"/>
        </w:rPr>
        <w:tab/>
      </w:r>
      <w:r>
        <w:rPr>
          <w:lang w:val="en-US"/>
        </w:rPr>
        <w:tab/>
      </w:r>
      <w:r w:rsidR="00301738">
        <w:rPr>
          <w:lang w:val="en-US"/>
        </w:rPr>
        <w:t xml:space="preserve">Ministry of Industries and New Technologies </w:t>
      </w:r>
    </w:p>
    <w:p w14:paraId="14D6732D" w14:textId="77777777" w:rsidR="005B02B2" w:rsidRPr="005B5602" w:rsidRDefault="00301738" w:rsidP="005B02B2">
      <w:pPr>
        <w:spacing w:after="0"/>
        <w:rPr>
          <w:lang w:val="en-US"/>
        </w:rPr>
      </w:pPr>
      <w:r>
        <w:rPr>
          <w:lang w:val="en-US"/>
        </w:rPr>
        <w:t>M</w:t>
      </w:r>
      <w:r w:rsidR="005B02B2" w:rsidRPr="005B5602">
        <w:rPr>
          <w:lang w:val="en-US"/>
        </w:rPr>
        <w:t>EMR</w:t>
      </w:r>
      <w:r w:rsidR="005B02B2" w:rsidRPr="005B5602">
        <w:rPr>
          <w:lang w:val="en-US"/>
        </w:rPr>
        <w:tab/>
      </w:r>
      <w:r w:rsidR="005B02B2" w:rsidRPr="005B5602">
        <w:rPr>
          <w:lang w:val="en-US"/>
        </w:rPr>
        <w:tab/>
        <w:t>Ministry of Energy and Mineral Resources</w:t>
      </w:r>
    </w:p>
    <w:p w14:paraId="020D4BB6" w14:textId="77777777" w:rsidR="00406ED4" w:rsidRPr="005B5602" w:rsidRDefault="00217B01" w:rsidP="005B02B2">
      <w:pPr>
        <w:spacing w:after="0"/>
        <w:rPr>
          <w:lang w:val="en-US"/>
        </w:rPr>
      </w:pPr>
      <w:r w:rsidRPr="005B5602">
        <w:rPr>
          <w:lang w:val="en-US"/>
        </w:rPr>
        <w:t>ME</w:t>
      </w:r>
      <w:r>
        <w:rPr>
          <w:lang w:val="en-US"/>
        </w:rPr>
        <w:t>WR</w:t>
      </w:r>
      <w:r w:rsidR="00406ED4" w:rsidRPr="005B5602">
        <w:rPr>
          <w:lang w:val="en-US"/>
        </w:rPr>
        <w:tab/>
      </w:r>
      <w:r w:rsidR="00406ED4" w:rsidRPr="005B5602">
        <w:rPr>
          <w:lang w:val="en-US"/>
        </w:rPr>
        <w:tab/>
        <w:t>Ministry of Environment</w:t>
      </w:r>
      <w:r>
        <w:rPr>
          <w:lang w:val="en-US"/>
        </w:rPr>
        <w:t xml:space="preserve"> and Water Resources</w:t>
      </w:r>
    </w:p>
    <w:p w14:paraId="531E361A" w14:textId="77777777" w:rsidR="003F00DD" w:rsidRPr="005B5602" w:rsidRDefault="00406ED4" w:rsidP="005B02B2">
      <w:pPr>
        <w:spacing w:after="0"/>
        <w:rPr>
          <w:lang w:val="en-US"/>
        </w:rPr>
      </w:pPr>
      <w:r w:rsidRPr="005B5602">
        <w:rPr>
          <w:lang w:val="en-US"/>
        </w:rPr>
        <w:t>MMC</w:t>
      </w:r>
      <w:r w:rsidRPr="005B5602">
        <w:rPr>
          <w:lang w:val="en-US"/>
        </w:rPr>
        <w:tab/>
      </w:r>
      <w:r w:rsidRPr="005B5602">
        <w:rPr>
          <w:lang w:val="en-US"/>
        </w:rPr>
        <w:tab/>
        <w:t>Municipal Management companies</w:t>
      </w:r>
    </w:p>
    <w:p w14:paraId="490E5D31" w14:textId="77777777" w:rsidR="008F7A1D" w:rsidRPr="005B5602" w:rsidRDefault="003F00DD" w:rsidP="005B02B2">
      <w:pPr>
        <w:spacing w:after="0"/>
        <w:rPr>
          <w:lang w:val="en-US"/>
        </w:rPr>
      </w:pPr>
      <w:r w:rsidRPr="005B5602">
        <w:rPr>
          <w:lang w:val="en-US"/>
        </w:rPr>
        <w:t>NAMA</w:t>
      </w:r>
      <w:r w:rsidRPr="005B5602">
        <w:rPr>
          <w:lang w:val="en-US"/>
        </w:rPr>
        <w:tab/>
      </w:r>
      <w:r w:rsidRPr="005B5602">
        <w:rPr>
          <w:lang w:val="en-US"/>
        </w:rPr>
        <w:tab/>
        <w:t>National Appropriate Mitigation Actions</w:t>
      </w:r>
    </w:p>
    <w:p w14:paraId="471A0A60" w14:textId="77777777" w:rsidR="008F7A1D" w:rsidRPr="005B5602" w:rsidRDefault="008F7A1D" w:rsidP="008F7A1D">
      <w:pPr>
        <w:spacing w:after="0"/>
        <w:rPr>
          <w:lang w:val="en-US"/>
        </w:rPr>
      </w:pPr>
      <w:r w:rsidRPr="005B5602">
        <w:rPr>
          <w:lang w:val="en-US"/>
        </w:rPr>
        <w:t>NMT</w:t>
      </w:r>
      <w:r w:rsidRPr="005B5602">
        <w:rPr>
          <w:lang w:val="en-US"/>
        </w:rPr>
        <w:tab/>
      </w:r>
      <w:r w:rsidRPr="005B5602">
        <w:rPr>
          <w:lang w:val="en-US"/>
        </w:rPr>
        <w:tab/>
      </w:r>
      <w:r w:rsidR="007A67D3" w:rsidRPr="005B5602">
        <w:rPr>
          <w:lang w:val="en-US"/>
        </w:rPr>
        <w:t>Non-motorized transport</w:t>
      </w:r>
    </w:p>
    <w:p w14:paraId="4D0CDC17" w14:textId="77777777" w:rsidR="00406ED4" w:rsidRPr="005B5602" w:rsidRDefault="008F7A1D" w:rsidP="005B02B2">
      <w:pPr>
        <w:spacing w:after="0"/>
        <w:rPr>
          <w:lang w:val="en-US"/>
        </w:rPr>
      </w:pPr>
      <w:r w:rsidRPr="005B5602">
        <w:rPr>
          <w:lang w:val="en-US"/>
        </w:rPr>
        <w:t>NPFE</w:t>
      </w:r>
      <w:r w:rsidRPr="005B5602">
        <w:rPr>
          <w:lang w:val="en-US"/>
        </w:rPr>
        <w:tab/>
      </w:r>
      <w:r w:rsidRPr="005B5602">
        <w:rPr>
          <w:lang w:val="en-US"/>
        </w:rPr>
        <w:tab/>
        <w:t>National Portfolio Formulation Exercise</w:t>
      </w:r>
    </w:p>
    <w:p w14:paraId="016448AF" w14:textId="77777777" w:rsidR="008F7A1D" w:rsidRPr="005B5602" w:rsidRDefault="00406ED4" w:rsidP="005B02B2">
      <w:pPr>
        <w:spacing w:after="0"/>
        <w:rPr>
          <w:lang w:val="en-US"/>
        </w:rPr>
      </w:pPr>
      <w:r w:rsidRPr="005B5602">
        <w:rPr>
          <w:lang w:val="en-US"/>
        </w:rPr>
        <w:t>NPM</w:t>
      </w:r>
      <w:r w:rsidRPr="005B5602">
        <w:rPr>
          <w:lang w:val="en-US"/>
        </w:rPr>
        <w:tab/>
      </w:r>
      <w:r w:rsidRPr="005B5602">
        <w:rPr>
          <w:lang w:val="en-US"/>
        </w:rPr>
        <w:tab/>
        <w:t>National Program for Modernization</w:t>
      </w:r>
    </w:p>
    <w:p w14:paraId="7F450B61" w14:textId="77777777" w:rsidR="000432BC" w:rsidRPr="005B5602" w:rsidRDefault="008F7A1D" w:rsidP="005B02B2">
      <w:pPr>
        <w:spacing w:after="0"/>
        <w:rPr>
          <w:lang w:val="en-US"/>
        </w:rPr>
      </w:pPr>
      <w:r w:rsidRPr="005B5602">
        <w:rPr>
          <w:lang w:val="en-US"/>
        </w:rPr>
        <w:t>OFP</w:t>
      </w:r>
      <w:r w:rsidRPr="005B5602">
        <w:rPr>
          <w:lang w:val="en-US"/>
        </w:rPr>
        <w:tab/>
      </w:r>
      <w:r w:rsidRPr="005B5602">
        <w:rPr>
          <w:lang w:val="en-US"/>
        </w:rPr>
        <w:tab/>
        <w:t>Operational focal point</w:t>
      </w:r>
    </w:p>
    <w:p w14:paraId="16D29615" w14:textId="77777777" w:rsidR="005B02B2" w:rsidRPr="005B5602" w:rsidRDefault="005B02B2" w:rsidP="005B02B2">
      <w:pPr>
        <w:spacing w:after="0"/>
        <w:rPr>
          <w:lang w:val="en-US"/>
        </w:rPr>
      </w:pPr>
      <w:r w:rsidRPr="005B5602">
        <w:rPr>
          <w:lang w:val="en-US"/>
        </w:rPr>
        <w:t>PIR</w:t>
      </w:r>
      <w:r w:rsidRPr="005B5602">
        <w:rPr>
          <w:lang w:val="en-US"/>
        </w:rPr>
        <w:tab/>
      </w:r>
      <w:r w:rsidRPr="005B5602">
        <w:rPr>
          <w:lang w:val="en-US"/>
        </w:rPr>
        <w:tab/>
        <w:t>Project Implementation Review</w:t>
      </w:r>
    </w:p>
    <w:p w14:paraId="27D45CCD" w14:textId="77777777" w:rsidR="005B02B2" w:rsidRPr="005B5602" w:rsidRDefault="005B02B2" w:rsidP="005B02B2">
      <w:pPr>
        <w:spacing w:after="0"/>
        <w:rPr>
          <w:lang w:val="en-US"/>
        </w:rPr>
      </w:pPr>
      <w:r w:rsidRPr="005B5602">
        <w:rPr>
          <w:lang w:val="en-US"/>
        </w:rPr>
        <w:t>PM</w:t>
      </w:r>
      <w:r w:rsidRPr="005B5602">
        <w:rPr>
          <w:lang w:val="en-US"/>
        </w:rPr>
        <w:tab/>
      </w:r>
      <w:r w:rsidRPr="005B5602">
        <w:rPr>
          <w:lang w:val="en-US"/>
        </w:rPr>
        <w:tab/>
        <w:t>Project Manager</w:t>
      </w:r>
    </w:p>
    <w:p w14:paraId="18F8EEA8" w14:textId="77777777" w:rsidR="00406ED4" w:rsidRPr="005B5602" w:rsidRDefault="005B02B2" w:rsidP="005B02B2">
      <w:pPr>
        <w:spacing w:after="0"/>
        <w:rPr>
          <w:lang w:val="en-US"/>
        </w:rPr>
      </w:pPr>
      <w:r w:rsidRPr="005B5602">
        <w:rPr>
          <w:lang w:val="en-US"/>
        </w:rPr>
        <w:t>PMU</w:t>
      </w:r>
      <w:r w:rsidRPr="005B5602">
        <w:rPr>
          <w:lang w:val="en-US"/>
        </w:rPr>
        <w:tab/>
      </w:r>
      <w:r w:rsidRPr="005B5602">
        <w:rPr>
          <w:lang w:val="en-US"/>
        </w:rPr>
        <w:tab/>
        <w:t>Project Management Unit</w:t>
      </w:r>
    </w:p>
    <w:p w14:paraId="20E84FC4" w14:textId="77777777" w:rsidR="005B02B2" w:rsidRPr="005B5602" w:rsidRDefault="00406ED4" w:rsidP="005B02B2">
      <w:pPr>
        <w:spacing w:after="0"/>
        <w:rPr>
          <w:lang w:val="en-US"/>
        </w:rPr>
      </w:pPr>
      <w:r w:rsidRPr="005B5602">
        <w:rPr>
          <w:lang w:val="en-US"/>
        </w:rPr>
        <w:t>PPP</w:t>
      </w:r>
      <w:r w:rsidRPr="005B5602">
        <w:rPr>
          <w:lang w:val="en-US"/>
        </w:rPr>
        <w:tab/>
      </w:r>
      <w:r w:rsidRPr="005B5602">
        <w:rPr>
          <w:lang w:val="en-US"/>
        </w:rPr>
        <w:tab/>
        <w:t>public-private partnerships</w:t>
      </w:r>
    </w:p>
    <w:p w14:paraId="0B48D68B" w14:textId="77777777" w:rsidR="005B02B2" w:rsidRPr="005B5602" w:rsidRDefault="005B02B2" w:rsidP="005B02B2">
      <w:pPr>
        <w:spacing w:after="0"/>
        <w:rPr>
          <w:lang w:val="en-US"/>
        </w:rPr>
      </w:pPr>
      <w:r w:rsidRPr="005B5602">
        <w:rPr>
          <w:lang w:val="en-US"/>
        </w:rPr>
        <w:t>P</w:t>
      </w:r>
      <w:r w:rsidR="00951CEA">
        <w:rPr>
          <w:lang w:val="en-US"/>
        </w:rPr>
        <w:t>B</w:t>
      </w:r>
      <w:r w:rsidRPr="005B5602">
        <w:rPr>
          <w:lang w:val="en-US"/>
        </w:rPr>
        <w:tab/>
      </w:r>
      <w:r w:rsidRPr="005B5602">
        <w:rPr>
          <w:lang w:val="en-US"/>
        </w:rPr>
        <w:tab/>
        <w:t xml:space="preserve">Project </w:t>
      </w:r>
      <w:r w:rsidR="00611F3D">
        <w:rPr>
          <w:lang w:val="en-US"/>
        </w:rPr>
        <w:t>Board</w:t>
      </w:r>
    </w:p>
    <w:p w14:paraId="045B38CA" w14:textId="77777777" w:rsidR="008F7A1D" w:rsidRPr="005B5602" w:rsidRDefault="008F7A1D" w:rsidP="008F7A1D">
      <w:pPr>
        <w:spacing w:after="0"/>
        <w:rPr>
          <w:lang w:val="en-US"/>
        </w:rPr>
      </w:pPr>
      <w:r w:rsidRPr="005B5602">
        <w:rPr>
          <w:lang w:val="en-US"/>
        </w:rPr>
        <w:t>QPR</w:t>
      </w:r>
      <w:r w:rsidRPr="005B5602">
        <w:rPr>
          <w:lang w:val="en-US"/>
        </w:rPr>
        <w:tab/>
      </w:r>
      <w:r w:rsidRPr="005B5602">
        <w:rPr>
          <w:lang w:val="en-US"/>
        </w:rPr>
        <w:tab/>
        <w:t>Quarterly Progress Report</w:t>
      </w:r>
    </w:p>
    <w:p w14:paraId="3A9E49E4" w14:textId="77777777" w:rsidR="000432BC" w:rsidRPr="005B5602" w:rsidRDefault="005B02B2" w:rsidP="005B02B2">
      <w:pPr>
        <w:spacing w:after="0"/>
        <w:rPr>
          <w:lang w:val="en-US"/>
        </w:rPr>
      </w:pPr>
      <w:r w:rsidRPr="005B5602">
        <w:rPr>
          <w:lang w:val="en-US"/>
        </w:rPr>
        <w:t>RCU</w:t>
      </w:r>
      <w:r w:rsidRPr="005B5602">
        <w:rPr>
          <w:lang w:val="en-US"/>
        </w:rPr>
        <w:tab/>
      </w:r>
      <w:r w:rsidRPr="005B5602">
        <w:rPr>
          <w:lang w:val="en-US"/>
        </w:rPr>
        <w:tab/>
        <w:t>UNDP Regional Co-ordination Unit</w:t>
      </w:r>
    </w:p>
    <w:p w14:paraId="6585859E" w14:textId="77777777" w:rsidR="00406ED4" w:rsidRPr="005B5602" w:rsidRDefault="000432BC" w:rsidP="005B02B2">
      <w:pPr>
        <w:spacing w:after="0"/>
        <w:rPr>
          <w:lang w:val="en-US"/>
        </w:rPr>
      </w:pPr>
      <w:r w:rsidRPr="005B5602">
        <w:rPr>
          <w:lang w:val="en-US"/>
        </w:rPr>
        <w:t>RES</w:t>
      </w:r>
      <w:r w:rsidRPr="005B5602">
        <w:rPr>
          <w:lang w:val="en-US"/>
        </w:rPr>
        <w:tab/>
      </w:r>
      <w:r w:rsidRPr="005B5602">
        <w:rPr>
          <w:lang w:val="en-US"/>
        </w:rPr>
        <w:tab/>
      </w:r>
      <w:r w:rsidR="00406ED4" w:rsidRPr="005B5602">
        <w:rPr>
          <w:lang w:val="en-US"/>
        </w:rPr>
        <w:t>Renewable energy sources</w:t>
      </w:r>
    </w:p>
    <w:p w14:paraId="4E63FDC7" w14:textId="77777777" w:rsidR="005B02B2" w:rsidRPr="005B5602" w:rsidRDefault="00406ED4" w:rsidP="005B02B2">
      <w:pPr>
        <w:spacing w:after="0"/>
        <w:rPr>
          <w:lang w:val="en-US"/>
        </w:rPr>
      </w:pPr>
      <w:r w:rsidRPr="005B5602">
        <w:rPr>
          <w:lang w:val="en-US"/>
        </w:rPr>
        <w:t>SER</w:t>
      </w:r>
      <w:r w:rsidRPr="005B5602">
        <w:rPr>
          <w:lang w:val="en-US"/>
        </w:rPr>
        <w:tab/>
      </w:r>
      <w:r w:rsidRPr="005B5602">
        <w:rPr>
          <w:lang w:val="en-US"/>
        </w:rPr>
        <w:tab/>
        <w:t>State Energy Register</w:t>
      </w:r>
    </w:p>
    <w:p w14:paraId="6D0B8D0A" w14:textId="77777777" w:rsidR="005B02B2" w:rsidRPr="005B5602" w:rsidRDefault="005B02B2" w:rsidP="005B02B2">
      <w:pPr>
        <w:spacing w:after="0"/>
        <w:rPr>
          <w:lang w:val="en-US"/>
        </w:rPr>
      </w:pPr>
      <w:r w:rsidRPr="005B5602">
        <w:rPr>
          <w:lang w:val="en-US"/>
        </w:rPr>
        <w:lastRenderedPageBreak/>
        <w:t>SRF</w:t>
      </w:r>
      <w:r w:rsidRPr="005B5602">
        <w:rPr>
          <w:lang w:val="en-US"/>
        </w:rPr>
        <w:tab/>
      </w:r>
      <w:r w:rsidRPr="005B5602">
        <w:rPr>
          <w:lang w:val="en-US"/>
        </w:rPr>
        <w:tab/>
        <w:t>Strategic Results Framework</w:t>
      </w:r>
    </w:p>
    <w:p w14:paraId="6F2E98FD" w14:textId="77777777" w:rsidR="005B02B2" w:rsidRPr="005B5602" w:rsidRDefault="005B02B2" w:rsidP="005B02B2">
      <w:pPr>
        <w:spacing w:after="0"/>
        <w:rPr>
          <w:lang w:val="en-US"/>
        </w:rPr>
      </w:pPr>
      <w:r w:rsidRPr="005B5602">
        <w:rPr>
          <w:lang w:val="en-US"/>
        </w:rPr>
        <w:t>TPR</w:t>
      </w:r>
      <w:r w:rsidRPr="005B5602">
        <w:rPr>
          <w:lang w:val="en-US"/>
        </w:rPr>
        <w:tab/>
      </w:r>
      <w:r w:rsidRPr="005B5602">
        <w:rPr>
          <w:lang w:val="en-US"/>
        </w:rPr>
        <w:tab/>
        <w:t>Tripartite Review</w:t>
      </w:r>
    </w:p>
    <w:p w14:paraId="69B01286" w14:textId="77777777" w:rsidR="005B02B2" w:rsidRPr="005B5602" w:rsidRDefault="005B02B2" w:rsidP="005B02B2">
      <w:pPr>
        <w:spacing w:after="0"/>
        <w:rPr>
          <w:lang w:val="en-US"/>
        </w:rPr>
      </w:pPr>
      <w:r w:rsidRPr="005B5602">
        <w:rPr>
          <w:lang w:val="en-US"/>
        </w:rPr>
        <w:t>TTR</w:t>
      </w:r>
      <w:r w:rsidRPr="005B5602">
        <w:rPr>
          <w:lang w:val="en-US"/>
        </w:rPr>
        <w:tab/>
      </w:r>
      <w:r w:rsidRPr="005B5602">
        <w:rPr>
          <w:lang w:val="en-US"/>
        </w:rPr>
        <w:tab/>
        <w:t xml:space="preserve">Terminal Tripartite Review </w:t>
      </w:r>
    </w:p>
    <w:p w14:paraId="22C39F2F" w14:textId="77777777" w:rsidR="005B02B2" w:rsidRPr="005B5602" w:rsidRDefault="005B02B2" w:rsidP="005B02B2">
      <w:pPr>
        <w:spacing w:after="0"/>
        <w:rPr>
          <w:lang w:val="en-US"/>
        </w:rPr>
      </w:pPr>
      <w:r w:rsidRPr="005B5602">
        <w:rPr>
          <w:lang w:val="en-US"/>
        </w:rPr>
        <w:t>UNDAF</w:t>
      </w:r>
      <w:r w:rsidRPr="005B5602">
        <w:rPr>
          <w:lang w:val="en-US"/>
        </w:rPr>
        <w:tab/>
        <w:t>United Nations Development Assistance Framework</w:t>
      </w:r>
    </w:p>
    <w:p w14:paraId="45BE9542" w14:textId="77777777" w:rsidR="005B02B2" w:rsidRPr="005B5602" w:rsidRDefault="005B02B2" w:rsidP="005B02B2">
      <w:pPr>
        <w:spacing w:after="0"/>
        <w:rPr>
          <w:lang w:val="en-US"/>
        </w:rPr>
      </w:pPr>
      <w:r w:rsidRPr="005B5602">
        <w:rPr>
          <w:lang w:val="en-US"/>
        </w:rPr>
        <w:t>UNDP</w:t>
      </w:r>
      <w:r w:rsidRPr="005B5602">
        <w:rPr>
          <w:lang w:val="en-US"/>
        </w:rPr>
        <w:tab/>
      </w:r>
      <w:r w:rsidRPr="005B5602">
        <w:rPr>
          <w:lang w:val="en-US"/>
        </w:rPr>
        <w:tab/>
        <w:t>United Nations Development Program</w:t>
      </w:r>
    </w:p>
    <w:p w14:paraId="3B70CDE2" w14:textId="77777777" w:rsidR="00E1433A" w:rsidRPr="005B5602" w:rsidRDefault="005B02B2" w:rsidP="005B02B2">
      <w:pPr>
        <w:jc w:val="left"/>
        <w:rPr>
          <w:rFonts w:cs="Arial"/>
          <w:b/>
          <w:sz w:val="20"/>
          <w:szCs w:val="20"/>
          <w:lang w:val="en-US"/>
        </w:rPr>
      </w:pPr>
      <w:r w:rsidRPr="005B5602">
        <w:rPr>
          <w:lang w:val="en-US"/>
        </w:rPr>
        <w:t>UNFCCC</w:t>
      </w:r>
      <w:r w:rsidRPr="005B5602">
        <w:rPr>
          <w:lang w:val="en-US"/>
        </w:rPr>
        <w:tab/>
        <w:t>United Nations Framework Convention on Climate Change</w:t>
      </w:r>
    </w:p>
    <w:p w14:paraId="719726D3" w14:textId="77777777" w:rsidR="00BE1FA1" w:rsidRPr="005B5602" w:rsidRDefault="00BE1FA1" w:rsidP="00E61BB0">
      <w:pPr>
        <w:jc w:val="left"/>
        <w:rPr>
          <w:rFonts w:cs="Arial"/>
          <w:b/>
          <w:sz w:val="20"/>
          <w:szCs w:val="20"/>
          <w:lang w:val="en-US"/>
        </w:rPr>
      </w:pPr>
    </w:p>
    <w:p w14:paraId="4EB950AE" w14:textId="77777777" w:rsidR="00BE1FA1" w:rsidRPr="005B5602" w:rsidRDefault="00BE1FA1">
      <w:pPr>
        <w:spacing w:after="0"/>
        <w:jc w:val="left"/>
        <w:rPr>
          <w:rFonts w:cs="Arial"/>
          <w:b/>
          <w:smallCaps/>
          <w:szCs w:val="22"/>
          <w:lang w:val="en-US"/>
        </w:rPr>
      </w:pPr>
      <w:bookmarkStart w:id="5" w:name="_Toc207800909"/>
    </w:p>
    <w:p w14:paraId="36590FEF" w14:textId="77777777" w:rsidR="00E1433A" w:rsidRPr="005B5602" w:rsidRDefault="00E1433A" w:rsidP="005B02B2">
      <w:pPr>
        <w:pStyle w:val="Heading1"/>
        <w:rPr>
          <w:lang w:val="en-US"/>
        </w:rPr>
      </w:pPr>
      <w:bookmarkStart w:id="6" w:name="_Toc393448980"/>
      <w:r w:rsidRPr="005B5602">
        <w:rPr>
          <w:lang w:val="en-US"/>
        </w:rPr>
        <w:lastRenderedPageBreak/>
        <w:t>Situation analysis</w:t>
      </w:r>
      <w:bookmarkEnd w:id="5"/>
      <w:bookmarkEnd w:id="6"/>
    </w:p>
    <w:p w14:paraId="11C50CCF" w14:textId="77777777" w:rsidR="005B02B2" w:rsidRPr="005B5602" w:rsidRDefault="005B02B2" w:rsidP="005B02B2">
      <w:pPr>
        <w:pStyle w:val="Heading2"/>
        <w:keepLines/>
        <w:spacing w:before="200" w:after="0" w:line="276" w:lineRule="auto"/>
        <w:jc w:val="left"/>
        <w:rPr>
          <w:rFonts w:ascii="Arial" w:hAnsi="Arial"/>
        </w:rPr>
      </w:pPr>
      <w:bookmarkStart w:id="7" w:name="_Toc362384269"/>
      <w:bookmarkStart w:id="8" w:name="_Toc393448981"/>
      <w:r w:rsidRPr="005B5602">
        <w:rPr>
          <w:rFonts w:ascii="Arial" w:hAnsi="Arial"/>
        </w:rPr>
        <w:t>Context of the Project</w:t>
      </w:r>
      <w:bookmarkEnd w:id="7"/>
      <w:bookmarkEnd w:id="8"/>
    </w:p>
    <w:p w14:paraId="4F891187" w14:textId="77777777" w:rsidR="005B02B2" w:rsidRPr="005B5602" w:rsidRDefault="003F00DD" w:rsidP="005B5602">
      <w:pPr>
        <w:pStyle w:val="Bodynumbered"/>
      </w:pPr>
      <w:r w:rsidRPr="005B5602">
        <w:t>This UNDP Project D</w:t>
      </w:r>
      <w:r w:rsidR="005B02B2" w:rsidRPr="005B5602">
        <w:t>ocument for the proposed UNDP-GEF (Global Environment Facility) project #5059 (Internal UNDP ID #4670) entitled "</w:t>
      </w:r>
      <w:r w:rsidR="005B02B2" w:rsidRPr="005B5602">
        <w:rPr>
          <w:i/>
        </w:rPr>
        <w:t>Nationally Appropriate Mitigation Actions for Low-carbon Urban Development</w:t>
      </w:r>
      <w:r w:rsidR="005B02B2" w:rsidRPr="005B5602">
        <w:t>” (“the Project”</w:t>
      </w:r>
      <w:r w:rsidR="005B5602">
        <w:t xml:space="preserve"> hereafter) outlines </w:t>
      </w:r>
      <w:r w:rsidR="005B02B2" w:rsidRPr="005B5602">
        <w:t xml:space="preserve">the first effort in Kazakhstan to adopt a comprehensive approach to reduce urban GHG emissions and to use the framework of Nationally Appropriate </w:t>
      </w:r>
      <w:r w:rsidR="00C26599" w:rsidRPr="005B5602">
        <w:t>Mitigation Actions (NAMAs)</w:t>
      </w:r>
      <w:r w:rsidR="005B02B2" w:rsidRPr="005B5602">
        <w:t xml:space="preserve"> for this purpose. </w:t>
      </w:r>
    </w:p>
    <w:p w14:paraId="587247F3" w14:textId="77777777" w:rsidR="005B02B2" w:rsidRPr="005B5602" w:rsidRDefault="005B02B2" w:rsidP="005B02B2">
      <w:pPr>
        <w:pStyle w:val="Bodynumbered"/>
      </w:pPr>
      <w:r w:rsidRPr="005B5602">
        <w:t xml:space="preserve">NAMAs are becoming an increasingly attractive vehicle for developing countries looking to attract climate finance for low-carbon development activities. The concept of NAMAs was first mentioned in the international climate change negotiation process during COP13 in 2007 in Bali, which resulted in the adoption by the Parties of the Bali Action Plan. The Bali Action Plan states that in order to have “Enhanced national/international action on mitigation of climate change…” developing countries will take </w:t>
      </w:r>
      <w:r w:rsidRPr="005B5602">
        <w:rPr>
          <w:b/>
        </w:rPr>
        <w:t xml:space="preserve">“Nationally appropriate mitigation actions…in the context of sustainable development, supported and enabled by technology, financing and capacity-building, in a </w:t>
      </w:r>
      <w:r w:rsidRPr="005B5602">
        <w:rPr>
          <w:b/>
        </w:rPr>
        <w:lastRenderedPageBreak/>
        <w:t>measurable, reportable and verifiable manner”</w:t>
      </w:r>
      <w:r w:rsidRPr="005B5602">
        <w:rPr>
          <w:rStyle w:val="FootnoteReference"/>
        </w:rPr>
        <w:footnoteReference w:id="1"/>
      </w:r>
      <w:r w:rsidRPr="005B5602">
        <w:t xml:space="preserve">. </w:t>
      </w:r>
      <w:r w:rsidR="003F00DD" w:rsidRPr="005B5602">
        <w:t>While a</w:t>
      </w:r>
      <w:r w:rsidRPr="005B5602">
        <w:t>n internationally accepted definition of NAMA does not exist</w:t>
      </w:r>
      <w:r w:rsidR="003F00DD" w:rsidRPr="005B5602">
        <w:t>,</w:t>
      </w:r>
      <w:r w:rsidRPr="005B5602">
        <w:t xml:space="preserve"> a broad diversity of NAMAs is expected to emerge given that each country will identify and implement nationally appropriate mitigation actions based on its specific national circumstances and capabilities.</w:t>
      </w:r>
    </w:p>
    <w:p w14:paraId="333F224D" w14:textId="77777777" w:rsidR="005B02B2" w:rsidRPr="005B5602" w:rsidRDefault="005B02B2" w:rsidP="005B02B2">
      <w:pPr>
        <w:pStyle w:val="Bodynumbered"/>
      </w:pPr>
      <w:r w:rsidRPr="005B5602">
        <w:t>Howev</w:t>
      </w:r>
      <w:r w:rsidR="005B5602">
        <w:t xml:space="preserve">er, COPs 15 to </w:t>
      </w:r>
      <w:r w:rsidRPr="005B5602">
        <w:t>18 have progressively clarified the new mitigation framework for developing countries, including the setting up of Green Climate Fund (GCF) as an operating entity of the Financial Mechanism of the Convention</w:t>
      </w:r>
      <w:r w:rsidR="003F00DD" w:rsidRPr="005B5602">
        <w:t>,</w:t>
      </w:r>
      <w:r w:rsidRPr="005B5602">
        <w:rPr>
          <w:rStyle w:val="FootnoteReference"/>
        </w:rPr>
        <w:footnoteReference w:id="2"/>
      </w:r>
      <w:r w:rsidRPr="005B5602">
        <w:t xml:space="preserve"> and </w:t>
      </w:r>
      <w:r w:rsidR="003F00DD" w:rsidRPr="005B5602">
        <w:t>a</w:t>
      </w:r>
      <w:r w:rsidRPr="005B5602">
        <w:t xml:space="preserve"> distinction </w:t>
      </w:r>
      <w:r w:rsidR="003F00DD" w:rsidRPr="005B5602">
        <w:t xml:space="preserve">has been made </w:t>
      </w:r>
      <w:r w:rsidRPr="005B5602">
        <w:t xml:space="preserve">between three broad </w:t>
      </w:r>
      <w:r w:rsidR="00586AA2">
        <w:t>categories</w:t>
      </w:r>
      <w:r w:rsidRPr="005B5602">
        <w:t xml:space="preserve"> of NAMAs:</w:t>
      </w:r>
    </w:p>
    <w:p w14:paraId="1813A277" w14:textId="77777777" w:rsidR="005B02B2" w:rsidRPr="005B5602" w:rsidRDefault="005B02B2" w:rsidP="003F00DD">
      <w:pPr>
        <w:pStyle w:val="Bodytextnumbered"/>
        <w:ind w:left="908" w:hanging="274"/>
        <w:jc w:val="left"/>
        <w:rPr>
          <w:rFonts w:ascii="Arial" w:hAnsi="Arial"/>
          <w:lang w:val="en-GB"/>
        </w:rPr>
      </w:pPr>
      <w:r w:rsidRPr="005B5602">
        <w:rPr>
          <w:rFonts w:ascii="Arial" w:hAnsi="Arial"/>
          <w:i/>
          <w:lang w:val="en-GB"/>
        </w:rPr>
        <w:t>Supported NAMAs –</w:t>
      </w:r>
      <w:r w:rsidRPr="005B5602">
        <w:rPr>
          <w:rFonts w:ascii="Arial" w:hAnsi="Arial"/>
          <w:lang w:val="en-GB"/>
        </w:rPr>
        <w:t xml:space="preserve"> referring to actions that require support (technology, capacity building, and financing) from developed countries in order to proceed with implementation; </w:t>
      </w:r>
    </w:p>
    <w:p w14:paraId="444C7570" w14:textId="77777777" w:rsidR="005B02B2" w:rsidRPr="005B5602" w:rsidRDefault="005B02B2" w:rsidP="003F00DD">
      <w:pPr>
        <w:pStyle w:val="Bodytextnumbered"/>
        <w:ind w:left="908" w:hanging="274"/>
        <w:jc w:val="left"/>
        <w:rPr>
          <w:rFonts w:ascii="Arial" w:hAnsi="Arial"/>
          <w:lang w:val="en-GB"/>
        </w:rPr>
      </w:pPr>
      <w:r w:rsidRPr="005B5602">
        <w:rPr>
          <w:rFonts w:ascii="Arial" w:hAnsi="Arial"/>
          <w:i/>
          <w:lang w:val="en-GB"/>
        </w:rPr>
        <w:t>Unilateral NAMAs –</w:t>
      </w:r>
      <w:r w:rsidRPr="005B5602">
        <w:rPr>
          <w:rFonts w:ascii="Arial" w:hAnsi="Arial"/>
          <w:lang w:val="en-GB"/>
        </w:rPr>
        <w:t xml:space="preserve"> actions that developing countries take without the support of developed countries; and</w:t>
      </w:r>
    </w:p>
    <w:p w14:paraId="44422B18" w14:textId="77777777" w:rsidR="005B02B2" w:rsidRPr="005B5602" w:rsidRDefault="005B02B2" w:rsidP="003F00DD">
      <w:pPr>
        <w:pStyle w:val="Bodytextnumbered"/>
        <w:ind w:left="908" w:hanging="274"/>
        <w:jc w:val="left"/>
        <w:rPr>
          <w:rFonts w:ascii="Arial" w:hAnsi="Arial"/>
          <w:lang w:val="en-GB"/>
        </w:rPr>
      </w:pPr>
      <w:r w:rsidRPr="005B5602">
        <w:rPr>
          <w:rFonts w:ascii="Arial" w:hAnsi="Arial"/>
          <w:i/>
          <w:lang w:val="en-GB"/>
        </w:rPr>
        <w:lastRenderedPageBreak/>
        <w:t>Credited NAMAs –</w:t>
      </w:r>
      <w:r w:rsidRPr="005B5602">
        <w:rPr>
          <w:rFonts w:ascii="Arial" w:hAnsi="Arial"/>
          <w:lang w:val="en-GB"/>
        </w:rPr>
        <w:t xml:space="preserve"> actions achieving quantifiable emissions reductions that can be traded and funded through the international carbon market.</w:t>
      </w:r>
    </w:p>
    <w:p w14:paraId="397C16A7" w14:textId="77777777" w:rsidR="003F00DD" w:rsidRPr="005B5602" w:rsidRDefault="005B02B2" w:rsidP="005B02B2">
      <w:pPr>
        <w:pStyle w:val="Bodynumbered"/>
      </w:pPr>
      <w:r w:rsidRPr="005B5602">
        <w:t xml:space="preserve">There is a strong increase in countries using NAMAs as building blocks in a broader national climate policy framework, taking climate and development strategies and action plans as the starting point for the prioritisation and selection of NAMAs. </w:t>
      </w:r>
    </w:p>
    <w:p w14:paraId="687DE3D3" w14:textId="77777777" w:rsidR="0025211D" w:rsidRDefault="005B02B2" w:rsidP="005B02B2">
      <w:pPr>
        <w:pStyle w:val="Bodynumbered"/>
      </w:pPr>
      <w:r w:rsidRPr="005B5602">
        <w:t xml:space="preserve">In Kazakhstan, urban NAMAs </w:t>
      </w:r>
      <w:r w:rsidR="00DE3B30">
        <w:t>appear to be</w:t>
      </w:r>
      <w:r w:rsidRPr="005B5602">
        <w:t xml:space="preserve"> </w:t>
      </w:r>
      <w:r w:rsidR="00DF0EAE">
        <w:t>an</w:t>
      </w:r>
      <w:r w:rsidRPr="005B5602">
        <w:t xml:space="preserve"> appropriate municipal institutional and financial framework </w:t>
      </w:r>
      <w:r w:rsidR="009E3469">
        <w:t>to</w:t>
      </w:r>
      <w:r w:rsidRPr="005B5602">
        <w:t xml:space="preserve"> enable cities to set-up, reach and monitor their </w:t>
      </w:r>
      <w:r w:rsidR="00662A70" w:rsidRPr="005B5602">
        <w:t>citywide</w:t>
      </w:r>
      <w:r w:rsidRPr="005B5602">
        <w:t xml:space="preserve"> emission reduction targets. </w:t>
      </w:r>
      <w:r w:rsidR="00DE3B30">
        <w:t>While the</w:t>
      </w:r>
      <w:r w:rsidR="0025211D">
        <w:t xml:space="preserve"> definition of NAMAs is still under discussion, an urban NAMA in the context of this project</w:t>
      </w:r>
      <w:r w:rsidR="002E709D">
        <w:t xml:space="preserve"> is</w:t>
      </w:r>
      <w:r w:rsidR="0025211D">
        <w:t>:</w:t>
      </w:r>
    </w:p>
    <w:p w14:paraId="409A09B7" w14:textId="77777777" w:rsidR="0025211D" w:rsidRDefault="0025211D" w:rsidP="007D6892">
      <w:pPr>
        <w:pStyle w:val="Bodynumbered"/>
        <w:numPr>
          <w:ilvl w:val="0"/>
          <w:numId w:val="41"/>
        </w:numPr>
      </w:pPr>
      <w:r>
        <w:t>A project or programme in one or more of the urban sectors given in the table below</w:t>
      </w:r>
    </w:p>
    <w:p w14:paraId="7073992E" w14:textId="77777777" w:rsidR="0025211D" w:rsidRDefault="0025211D" w:rsidP="007D6892">
      <w:pPr>
        <w:pStyle w:val="Bodynumbered"/>
        <w:numPr>
          <w:ilvl w:val="0"/>
          <w:numId w:val="41"/>
        </w:numPr>
      </w:pPr>
      <w:r>
        <w:t>Taking place in one town or city, or a group of towns or cities</w:t>
      </w:r>
    </w:p>
    <w:p w14:paraId="1DC8628A" w14:textId="77777777" w:rsidR="0025211D" w:rsidRDefault="0025211D" w:rsidP="007D6892">
      <w:pPr>
        <w:pStyle w:val="Bodynumbered"/>
        <w:numPr>
          <w:ilvl w:val="0"/>
          <w:numId w:val="41"/>
        </w:numPr>
      </w:pPr>
      <w:r>
        <w:t>With identified investments in improved urban infrastructure</w:t>
      </w:r>
    </w:p>
    <w:p w14:paraId="2B79001B" w14:textId="77777777" w:rsidR="0025211D" w:rsidRDefault="0025211D" w:rsidP="007D6892">
      <w:pPr>
        <w:pStyle w:val="Bodynumbered"/>
        <w:numPr>
          <w:ilvl w:val="0"/>
          <w:numId w:val="41"/>
        </w:numPr>
      </w:pPr>
      <w:r>
        <w:t xml:space="preserve">Resulting in </w:t>
      </w:r>
      <w:r w:rsidR="00767B1D">
        <w:t xml:space="preserve">the mitigation of </w:t>
      </w:r>
      <w:r>
        <w:t xml:space="preserve">GHG </w:t>
      </w:r>
      <w:r w:rsidR="00767B1D">
        <w:t>emissions and bringing local sustainable development benefits</w:t>
      </w:r>
      <w:r>
        <w:t xml:space="preserve"> </w:t>
      </w:r>
    </w:p>
    <w:p w14:paraId="5C05D995" w14:textId="77777777" w:rsidR="0025211D" w:rsidRDefault="00767B1D" w:rsidP="007D6892">
      <w:pPr>
        <w:pStyle w:val="Bodynumbered"/>
        <w:numPr>
          <w:ilvl w:val="0"/>
          <w:numId w:val="41"/>
        </w:numPr>
      </w:pPr>
      <w:r>
        <w:t xml:space="preserve">Usually </w:t>
      </w:r>
      <w:r w:rsidR="0025211D">
        <w:t>accompanied by enabling activities (policies, awareness, capacity building / training, financing mechanisms)</w:t>
      </w:r>
    </w:p>
    <w:p w14:paraId="677917CC" w14:textId="77777777" w:rsidR="00767B1D" w:rsidRDefault="00767B1D" w:rsidP="007D6892">
      <w:pPr>
        <w:pStyle w:val="Bodynumbered"/>
        <w:numPr>
          <w:ilvl w:val="0"/>
          <w:numId w:val="41"/>
        </w:numPr>
      </w:pPr>
      <w:r>
        <w:t>To be financed by public / private sources</w:t>
      </w:r>
    </w:p>
    <w:p w14:paraId="2B92D1D1" w14:textId="77777777" w:rsidR="0025211D" w:rsidRDefault="0025211D" w:rsidP="007D6892">
      <w:pPr>
        <w:pStyle w:val="Bodynumbered"/>
        <w:numPr>
          <w:ilvl w:val="0"/>
          <w:numId w:val="41"/>
        </w:numPr>
      </w:pPr>
      <w:r>
        <w:lastRenderedPageBreak/>
        <w:t>With monitoring, reporting and verification requirements covering carbon reductions as well as</w:t>
      </w:r>
      <w:r w:rsidR="00767B1D">
        <w:t xml:space="preserve"> sustainable development impacts.</w:t>
      </w:r>
      <w:r>
        <w:t xml:space="preserve"> </w:t>
      </w:r>
      <w:r w:rsidR="00767B1D">
        <w:t>MRV requirements will depend on the type of NAMA funding sourced.</w:t>
      </w:r>
      <w:r>
        <w:t xml:space="preserve">  </w:t>
      </w:r>
      <w:r w:rsidR="00DE3B30">
        <w:t xml:space="preserve"> </w:t>
      </w:r>
    </w:p>
    <w:p w14:paraId="3A87F733" w14:textId="77777777" w:rsidR="005B02B2" w:rsidRDefault="005B02B2" w:rsidP="002E709D">
      <w:pPr>
        <w:pStyle w:val="Bodynumbered"/>
        <w:numPr>
          <w:ilvl w:val="0"/>
          <w:numId w:val="0"/>
        </w:numPr>
        <w:ind w:left="720"/>
      </w:pPr>
      <w:r w:rsidRPr="005B5602">
        <w:t xml:space="preserve">The sectoral scope of eligible urban NAMAs is defined in </w:t>
      </w:r>
      <w:r w:rsidR="00B67A4D" w:rsidRPr="005B5602">
        <w:t>the Table below</w:t>
      </w:r>
      <w:r w:rsidR="004615EE">
        <w:t xml:space="preserve">, </w:t>
      </w:r>
      <w:r w:rsidR="005B5602">
        <w:t>and</w:t>
      </w:r>
      <w:r w:rsidRPr="005B5602">
        <w:t xml:space="preserve"> will exclude any installation or GHG emitters with emissions</w:t>
      </w:r>
      <w:r w:rsidR="004615EE">
        <w:t xml:space="preserve"> over 20,000 tCO2e/year which are</w:t>
      </w:r>
      <w:r w:rsidRPr="005B5602">
        <w:t xml:space="preserve"> alrea</w:t>
      </w:r>
      <w:r w:rsidR="005B5602">
        <w:t>dy covered under domestic ETS.</w:t>
      </w:r>
    </w:p>
    <w:p w14:paraId="0D2322D1" w14:textId="77777777" w:rsidR="004C3956" w:rsidRDefault="004C3956" w:rsidP="004C3956">
      <w:pPr>
        <w:pStyle w:val="Caption"/>
        <w:rPr>
          <w:rFonts w:ascii="Arial" w:hAnsi="Arial"/>
          <w:sz w:val="22"/>
          <w:lang w:val="en-GB"/>
        </w:rPr>
      </w:pPr>
      <w:bookmarkStart w:id="9" w:name="_Ref392512364"/>
      <w:bookmarkStart w:id="10" w:name="_Toc362384304"/>
      <w:bookmarkStart w:id="11" w:name="_Toc247945353"/>
      <w:bookmarkStart w:id="12" w:name="_Ref392512371"/>
      <w:r w:rsidRPr="005B5602">
        <w:rPr>
          <w:rFonts w:ascii="Arial" w:hAnsi="Arial"/>
          <w:sz w:val="22"/>
        </w:rPr>
        <w:t xml:space="preserve">Table </w:t>
      </w:r>
      <w:r w:rsidR="00EE1A48" w:rsidRPr="005B5602">
        <w:rPr>
          <w:rFonts w:ascii="Arial" w:hAnsi="Arial"/>
          <w:sz w:val="22"/>
        </w:rPr>
        <w:fldChar w:fldCharType="begin"/>
      </w:r>
      <w:r w:rsidRPr="005B5602">
        <w:rPr>
          <w:rFonts w:ascii="Arial" w:hAnsi="Arial"/>
          <w:sz w:val="22"/>
        </w:rPr>
        <w:instrText xml:space="preserve"> SEQ Table \* ARABIC </w:instrText>
      </w:r>
      <w:r w:rsidR="00EE1A48" w:rsidRPr="005B5602">
        <w:rPr>
          <w:rFonts w:ascii="Arial" w:hAnsi="Arial"/>
          <w:sz w:val="22"/>
        </w:rPr>
        <w:fldChar w:fldCharType="separate"/>
      </w:r>
      <w:r w:rsidR="003B3B2B">
        <w:rPr>
          <w:rFonts w:ascii="Arial" w:hAnsi="Arial"/>
          <w:noProof/>
          <w:sz w:val="22"/>
        </w:rPr>
        <w:t>1</w:t>
      </w:r>
      <w:r w:rsidR="00EE1A48" w:rsidRPr="005B5602">
        <w:rPr>
          <w:rFonts w:ascii="Arial" w:hAnsi="Arial"/>
          <w:sz w:val="22"/>
        </w:rPr>
        <w:fldChar w:fldCharType="end"/>
      </w:r>
      <w:bookmarkEnd w:id="9"/>
      <w:r w:rsidRPr="005B5602">
        <w:rPr>
          <w:rFonts w:ascii="Arial" w:hAnsi="Arial"/>
          <w:sz w:val="22"/>
        </w:rPr>
        <w:t xml:space="preserve"> </w:t>
      </w:r>
      <w:r w:rsidRPr="005B5602">
        <w:rPr>
          <w:rFonts w:ascii="Arial" w:hAnsi="Arial"/>
          <w:sz w:val="22"/>
          <w:lang w:val="en-GB"/>
        </w:rPr>
        <w:t>Urban sectors and interventions for urban NAMAs</w:t>
      </w:r>
      <w:bookmarkEnd w:id="10"/>
      <w:bookmarkEnd w:id="11"/>
      <w:r>
        <w:rPr>
          <w:rStyle w:val="FootnoteReference"/>
          <w:lang w:val="en-GB"/>
        </w:rPr>
        <w:footnoteReference w:id="3"/>
      </w:r>
      <w:bookmarkEnd w:id="12"/>
    </w:p>
    <w:tbl>
      <w:tblPr>
        <w:tblStyle w:val="TableGrid"/>
        <w:tblW w:w="0" w:type="auto"/>
        <w:tblLook w:val="04A0" w:firstRow="1" w:lastRow="0" w:firstColumn="1" w:lastColumn="0" w:noHBand="0" w:noVBand="1"/>
      </w:tblPr>
      <w:tblGrid>
        <w:gridCol w:w="3261"/>
        <w:gridCol w:w="5982"/>
      </w:tblGrid>
      <w:tr w:rsidR="004C3956" w:rsidRPr="00073A97" w14:paraId="6C6E7D67" w14:textId="77777777" w:rsidTr="004C3956">
        <w:tc>
          <w:tcPr>
            <w:tcW w:w="3261" w:type="dxa"/>
          </w:tcPr>
          <w:p w14:paraId="17FB63C0" w14:textId="77777777" w:rsidR="004C3956" w:rsidRPr="00073A97" w:rsidRDefault="004C3956" w:rsidP="0008719E">
            <w:pPr>
              <w:jc w:val="center"/>
              <w:rPr>
                <w:rFonts w:cs="Arial"/>
                <w:b/>
                <w:szCs w:val="22"/>
              </w:rPr>
            </w:pPr>
            <w:r w:rsidRPr="00073A97">
              <w:rPr>
                <w:rFonts w:cs="Arial"/>
                <w:b/>
                <w:szCs w:val="22"/>
              </w:rPr>
              <w:t>Urban sector and sub-sector</w:t>
            </w:r>
          </w:p>
        </w:tc>
        <w:tc>
          <w:tcPr>
            <w:tcW w:w="5982" w:type="dxa"/>
          </w:tcPr>
          <w:p w14:paraId="222E7C97" w14:textId="77777777" w:rsidR="004C3956" w:rsidRPr="00073A97" w:rsidRDefault="004C3956" w:rsidP="0008719E">
            <w:pPr>
              <w:jc w:val="center"/>
              <w:rPr>
                <w:rFonts w:cs="Arial"/>
                <w:b/>
                <w:szCs w:val="22"/>
              </w:rPr>
            </w:pPr>
            <w:r w:rsidRPr="00073A97">
              <w:rPr>
                <w:rFonts w:cs="Arial"/>
                <w:b/>
                <w:szCs w:val="22"/>
              </w:rPr>
              <w:t>Potential urban mitigation measures</w:t>
            </w:r>
          </w:p>
        </w:tc>
      </w:tr>
      <w:tr w:rsidR="004C3956" w:rsidRPr="00073A97" w14:paraId="20C06E57" w14:textId="77777777" w:rsidTr="004C3956">
        <w:tc>
          <w:tcPr>
            <w:tcW w:w="9243" w:type="dxa"/>
            <w:gridSpan w:val="2"/>
          </w:tcPr>
          <w:p w14:paraId="65CDBC5F" w14:textId="77777777" w:rsidR="004C3956" w:rsidRPr="00073A97" w:rsidRDefault="004C3956" w:rsidP="0008719E">
            <w:pPr>
              <w:rPr>
                <w:rFonts w:cs="Arial"/>
                <w:b/>
                <w:szCs w:val="22"/>
              </w:rPr>
            </w:pPr>
            <w:r w:rsidRPr="00073A97">
              <w:rPr>
                <w:rFonts w:cs="Arial"/>
                <w:b/>
                <w:szCs w:val="22"/>
              </w:rPr>
              <w:t>Energy Sector:</w:t>
            </w:r>
          </w:p>
        </w:tc>
      </w:tr>
      <w:tr w:rsidR="004C3956" w:rsidRPr="00073A97" w14:paraId="6C3FDBBF" w14:textId="77777777" w:rsidTr="004C3956">
        <w:tc>
          <w:tcPr>
            <w:tcW w:w="3261" w:type="dxa"/>
          </w:tcPr>
          <w:p w14:paraId="1155D3AE" w14:textId="77777777" w:rsidR="004C3956" w:rsidRPr="00073A97" w:rsidRDefault="004C3956" w:rsidP="007D6892">
            <w:pPr>
              <w:pStyle w:val="ListParagraph"/>
              <w:numPr>
                <w:ilvl w:val="0"/>
                <w:numId w:val="48"/>
              </w:numPr>
              <w:contextualSpacing/>
              <w:rPr>
                <w:rFonts w:ascii="Arial" w:hAnsi="Arial" w:cs="Arial"/>
                <w:sz w:val="22"/>
                <w:szCs w:val="22"/>
              </w:rPr>
            </w:pPr>
            <w:r w:rsidRPr="00073A97">
              <w:rPr>
                <w:rFonts w:ascii="Arial" w:hAnsi="Arial" w:cs="Arial"/>
                <w:sz w:val="22"/>
                <w:szCs w:val="22"/>
              </w:rPr>
              <w:t xml:space="preserve">Buildings/facilities </w:t>
            </w:r>
          </w:p>
        </w:tc>
        <w:tc>
          <w:tcPr>
            <w:tcW w:w="5982" w:type="dxa"/>
          </w:tcPr>
          <w:p w14:paraId="24A6660C"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 xml:space="preserve">Thermal modernization and energy efficient retrofits of residential, commercial and public buildings; </w:t>
            </w:r>
          </w:p>
          <w:p w14:paraId="1EA597CE"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Construction of new energy efficient buildings;</w:t>
            </w:r>
          </w:p>
          <w:p w14:paraId="51BD6B37"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Upgrade of electric equipment/appliances (HVAC, water pumps etc.)</w:t>
            </w:r>
          </w:p>
          <w:p w14:paraId="6AC6EB5A"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Upgrade of outdoor lighting systems, including smart lighting technologies;</w:t>
            </w:r>
          </w:p>
        </w:tc>
      </w:tr>
      <w:tr w:rsidR="004C3956" w:rsidRPr="00073A97" w14:paraId="4F6C12B1" w14:textId="77777777" w:rsidTr="004C3956">
        <w:tc>
          <w:tcPr>
            <w:tcW w:w="3261" w:type="dxa"/>
          </w:tcPr>
          <w:p w14:paraId="68DE188F" w14:textId="77777777" w:rsidR="004C3956" w:rsidRPr="00073A97" w:rsidRDefault="004C3956" w:rsidP="007D6892">
            <w:pPr>
              <w:pStyle w:val="ListParagraph"/>
              <w:numPr>
                <w:ilvl w:val="0"/>
                <w:numId w:val="48"/>
              </w:numPr>
              <w:contextualSpacing/>
              <w:rPr>
                <w:rFonts w:ascii="Arial" w:hAnsi="Arial" w:cs="Arial"/>
                <w:sz w:val="22"/>
                <w:szCs w:val="22"/>
              </w:rPr>
            </w:pPr>
            <w:r w:rsidRPr="00073A97">
              <w:rPr>
                <w:rFonts w:ascii="Arial" w:hAnsi="Arial" w:cs="Arial"/>
                <w:sz w:val="22"/>
                <w:szCs w:val="22"/>
              </w:rPr>
              <w:t xml:space="preserve">Energy production </w:t>
            </w:r>
          </w:p>
        </w:tc>
        <w:tc>
          <w:tcPr>
            <w:tcW w:w="5982" w:type="dxa"/>
          </w:tcPr>
          <w:p w14:paraId="2B610EA0"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Renewable energy (electricity, heat) generation (both distributed and utility-scale);</w:t>
            </w:r>
          </w:p>
          <w:p w14:paraId="457AE073"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Modernization, upgrade and construction of new heat supply systems and distribution networks;</w:t>
            </w:r>
          </w:p>
          <w:p w14:paraId="16016AD4"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Reducing carbon intensity of conventional energy generation (fuel switching, combustion efficiency improvements)</w:t>
            </w:r>
          </w:p>
        </w:tc>
      </w:tr>
      <w:tr w:rsidR="004C3956" w:rsidRPr="00073A97" w14:paraId="24F44B64" w14:textId="77777777" w:rsidTr="004C3956">
        <w:tc>
          <w:tcPr>
            <w:tcW w:w="3261" w:type="dxa"/>
          </w:tcPr>
          <w:p w14:paraId="0015FBAD" w14:textId="77777777" w:rsidR="004C3956" w:rsidRPr="00073A97" w:rsidRDefault="004C3956" w:rsidP="007D6892">
            <w:pPr>
              <w:pStyle w:val="ListParagraph"/>
              <w:numPr>
                <w:ilvl w:val="0"/>
                <w:numId w:val="48"/>
              </w:numPr>
              <w:contextualSpacing/>
              <w:rPr>
                <w:rFonts w:ascii="Arial" w:hAnsi="Arial" w:cs="Arial"/>
                <w:sz w:val="22"/>
                <w:szCs w:val="22"/>
              </w:rPr>
            </w:pPr>
            <w:r w:rsidRPr="00073A97">
              <w:rPr>
                <w:rFonts w:ascii="Arial" w:hAnsi="Arial" w:cs="Arial"/>
                <w:sz w:val="22"/>
                <w:szCs w:val="22"/>
              </w:rPr>
              <w:t>Industry</w:t>
            </w:r>
          </w:p>
        </w:tc>
        <w:tc>
          <w:tcPr>
            <w:tcW w:w="5982" w:type="dxa"/>
          </w:tcPr>
          <w:p w14:paraId="6664DA7C"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Improving the efficiency of electric motors, application of variable speed drives;</w:t>
            </w:r>
          </w:p>
          <w:p w14:paraId="461EC18E"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Renewable energy generation for own use;</w:t>
            </w:r>
          </w:p>
        </w:tc>
      </w:tr>
      <w:tr w:rsidR="004C3956" w:rsidRPr="00073A97" w14:paraId="320C8B9D" w14:textId="77777777" w:rsidTr="004C3956">
        <w:tc>
          <w:tcPr>
            <w:tcW w:w="3261" w:type="dxa"/>
          </w:tcPr>
          <w:p w14:paraId="4AFCF6E5" w14:textId="77777777" w:rsidR="004C3956" w:rsidRPr="00073A97" w:rsidRDefault="004C3956" w:rsidP="0008719E">
            <w:pPr>
              <w:rPr>
                <w:rFonts w:cs="Arial"/>
                <w:b/>
                <w:szCs w:val="22"/>
              </w:rPr>
            </w:pPr>
            <w:r w:rsidRPr="00073A97">
              <w:rPr>
                <w:rFonts w:cs="Arial"/>
                <w:b/>
                <w:szCs w:val="22"/>
              </w:rPr>
              <w:t>Transport Sector</w:t>
            </w:r>
          </w:p>
        </w:tc>
        <w:tc>
          <w:tcPr>
            <w:tcW w:w="5982" w:type="dxa"/>
          </w:tcPr>
          <w:p w14:paraId="6598988A"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 xml:space="preserve">Promotion and improvement of public transport; </w:t>
            </w:r>
          </w:p>
          <w:p w14:paraId="2A20CECF"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 xml:space="preserve">Promotion of walking and cycling; </w:t>
            </w:r>
          </w:p>
          <w:p w14:paraId="47AAAB86"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Improving the fuel efficiency and carbon intensity of urban transport;</w:t>
            </w:r>
          </w:p>
          <w:p w14:paraId="798302BA"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lastRenderedPageBreak/>
              <w:t>Travel demand management, including parking regulation, road tolls, congestion charges etc.</w:t>
            </w:r>
          </w:p>
        </w:tc>
      </w:tr>
      <w:tr w:rsidR="004C3956" w:rsidRPr="00073A97" w14:paraId="584A02BB" w14:textId="77777777" w:rsidTr="004C3956">
        <w:tc>
          <w:tcPr>
            <w:tcW w:w="3261" w:type="dxa"/>
          </w:tcPr>
          <w:p w14:paraId="2654CB32" w14:textId="77777777" w:rsidR="004C3956" w:rsidRPr="00073A97" w:rsidRDefault="004C3956" w:rsidP="0008719E">
            <w:pPr>
              <w:rPr>
                <w:rFonts w:cs="Arial"/>
                <w:b/>
                <w:szCs w:val="22"/>
              </w:rPr>
            </w:pPr>
            <w:r w:rsidRPr="00073A97">
              <w:rPr>
                <w:rFonts w:cs="Arial"/>
                <w:b/>
                <w:szCs w:val="22"/>
              </w:rPr>
              <w:lastRenderedPageBreak/>
              <w:t>Waste Sector</w:t>
            </w:r>
          </w:p>
        </w:tc>
        <w:tc>
          <w:tcPr>
            <w:tcW w:w="5982" w:type="dxa"/>
          </w:tcPr>
          <w:p w14:paraId="1E0409BE"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 xml:space="preserve">Waste reduction, including prevention and minimization; </w:t>
            </w:r>
          </w:p>
          <w:p w14:paraId="1BF689EE"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Waste collection, including segregation and transportation;</w:t>
            </w:r>
          </w:p>
          <w:p w14:paraId="5C162303"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 xml:space="preserve">Waste treatment, including improvements in waste recycling and reuse, wastewater management and landfilling practices </w:t>
            </w:r>
          </w:p>
        </w:tc>
      </w:tr>
      <w:tr w:rsidR="004C3956" w:rsidRPr="00073A97" w14:paraId="5708D019" w14:textId="77777777" w:rsidTr="004C3956">
        <w:tc>
          <w:tcPr>
            <w:tcW w:w="3261" w:type="dxa"/>
          </w:tcPr>
          <w:p w14:paraId="2A579534" w14:textId="77777777" w:rsidR="004C3956" w:rsidRPr="00073A97" w:rsidRDefault="004C3956" w:rsidP="0008719E">
            <w:pPr>
              <w:rPr>
                <w:rFonts w:cs="Arial"/>
                <w:b/>
                <w:szCs w:val="22"/>
              </w:rPr>
            </w:pPr>
            <w:r w:rsidRPr="00073A97">
              <w:rPr>
                <w:rFonts w:cs="Arial"/>
                <w:b/>
                <w:szCs w:val="22"/>
              </w:rPr>
              <w:t>Land-use Sector</w:t>
            </w:r>
          </w:p>
        </w:tc>
        <w:tc>
          <w:tcPr>
            <w:tcW w:w="5982" w:type="dxa"/>
          </w:tcPr>
          <w:p w14:paraId="7D03BA7D"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Promotion of "compact city" and eco-district developments;</w:t>
            </w:r>
          </w:p>
          <w:p w14:paraId="13163C02" w14:textId="77777777" w:rsidR="004C3956" w:rsidRPr="00073A97" w:rsidRDefault="004C3956" w:rsidP="007D6892">
            <w:pPr>
              <w:pStyle w:val="ListParagraph"/>
              <w:numPr>
                <w:ilvl w:val="0"/>
                <w:numId w:val="48"/>
              </w:numPr>
              <w:ind w:left="385"/>
              <w:contextualSpacing/>
              <w:rPr>
                <w:rFonts w:ascii="Arial" w:hAnsi="Arial" w:cs="Arial"/>
                <w:sz w:val="22"/>
                <w:szCs w:val="22"/>
              </w:rPr>
            </w:pPr>
            <w:r w:rsidRPr="00073A97">
              <w:rPr>
                <w:rFonts w:ascii="Arial" w:hAnsi="Arial" w:cs="Arial"/>
                <w:sz w:val="22"/>
                <w:szCs w:val="22"/>
              </w:rPr>
              <w:t>Facilitation of urban agriculture, increasing green space</w:t>
            </w:r>
          </w:p>
        </w:tc>
      </w:tr>
    </w:tbl>
    <w:p w14:paraId="082431D7" w14:textId="77777777" w:rsidR="004C3956" w:rsidRPr="005B5602" w:rsidRDefault="004C3956" w:rsidP="002E709D">
      <w:pPr>
        <w:pStyle w:val="Bodynumbered"/>
        <w:numPr>
          <w:ilvl w:val="0"/>
          <w:numId w:val="0"/>
        </w:numPr>
        <w:ind w:left="720"/>
      </w:pPr>
    </w:p>
    <w:p w14:paraId="6F98C804" w14:textId="77777777" w:rsidR="005B02B2" w:rsidRPr="005B5602" w:rsidRDefault="005B02B2" w:rsidP="00561A50">
      <w:pPr>
        <w:pStyle w:val="Heading2"/>
        <w:keepLines/>
        <w:spacing w:before="200" w:after="0" w:line="276" w:lineRule="auto"/>
        <w:jc w:val="left"/>
        <w:rPr>
          <w:rFonts w:ascii="Arial" w:hAnsi="Arial"/>
        </w:rPr>
      </w:pPr>
      <w:bookmarkStart w:id="13" w:name="_Toc362384270"/>
      <w:bookmarkStart w:id="14" w:name="_Toc393448982"/>
      <w:r w:rsidRPr="005B5602">
        <w:rPr>
          <w:rFonts w:ascii="Arial" w:hAnsi="Arial"/>
        </w:rPr>
        <w:t>Rationale for the Project</w:t>
      </w:r>
      <w:bookmarkEnd w:id="13"/>
      <w:bookmarkEnd w:id="14"/>
    </w:p>
    <w:p w14:paraId="533E2329" w14:textId="3EA2C4D6" w:rsidR="00220AA1" w:rsidRPr="005B5602" w:rsidRDefault="00220AA1" w:rsidP="007D6892">
      <w:pPr>
        <w:pStyle w:val="Bodynumbered"/>
        <w:numPr>
          <w:ilvl w:val="0"/>
          <w:numId w:val="50"/>
        </w:numPr>
        <w:rPr>
          <w:lang w:eastAsia="ru-RU"/>
        </w:rPr>
      </w:pPr>
      <w:r w:rsidRPr="005B5602">
        <w:t xml:space="preserve">The Government of Kazakhstan is requesting support for the definition, design, and implementation of NAMAs in </w:t>
      </w:r>
      <w:r>
        <w:t xml:space="preserve">the </w:t>
      </w:r>
      <w:r w:rsidRPr="005B5602">
        <w:t xml:space="preserve">urban sector with the objective of achieving the country’s voluntary GHG emission reduction target. </w:t>
      </w:r>
      <w:r w:rsidRPr="002F193A">
        <w:rPr>
          <w:rFonts w:eastAsia="Times New Roman" w:cs="Times New Roman"/>
        </w:rPr>
        <w:t xml:space="preserve">While the Kazakh Government is negotiating Kyoto Protocol Annex B inscription, the country took the voluntary quantitative commitments to reduce GHG emissions by year 2020 by 15% over a 1992 baseline. </w:t>
      </w:r>
      <w:r w:rsidR="002F193A" w:rsidRPr="002F193A">
        <w:rPr>
          <w:rFonts w:eastAsia="Times New Roman" w:cs="Times New Roman"/>
        </w:rPr>
        <w:t>Kazakhstan’s III-VI National Communication to the UNFCCC (2013) identifies the 'urban sector' consisting of district heating, buildings, waste and transport as the third priority area for national climate change mitigation (after the power generation and industry sectors) with a potential to reduce annual GHG emissions by 25MtCO2 by year 2030</w:t>
      </w:r>
      <w:r w:rsidR="002F193A">
        <w:rPr>
          <w:rFonts w:eastAsia="Times New Roman" w:cs="Times New Roman"/>
        </w:rPr>
        <w:t xml:space="preserve">. This </w:t>
      </w:r>
      <w:r w:rsidR="002F193A" w:rsidRPr="002F193A">
        <w:rPr>
          <w:rFonts w:eastAsia="Times New Roman" w:cs="Times New Roman"/>
        </w:rPr>
        <w:t>is almost 30% of the cumulative GHG abatement potential for Kazakhstan.</w:t>
      </w:r>
      <w:r w:rsidRPr="005B5602">
        <w:rPr>
          <w:lang w:eastAsia="ru-RU"/>
        </w:rPr>
        <w:t xml:space="preserve"> </w:t>
      </w:r>
      <w:r>
        <w:t>U</w:t>
      </w:r>
      <w:r w:rsidRPr="005B5602">
        <w:rPr>
          <w:lang w:eastAsia="ru-RU"/>
        </w:rPr>
        <w:t xml:space="preserve">rban </w:t>
      </w:r>
      <w:r w:rsidRPr="005B5602">
        <w:rPr>
          <w:lang w:eastAsia="ru-RU"/>
        </w:rPr>
        <w:lastRenderedPageBreak/>
        <w:t xml:space="preserve">GHG emission reductions are prioritized in this proposal because it is the sector where </w:t>
      </w:r>
      <w:r>
        <w:rPr>
          <w:lang w:eastAsia="ru-RU"/>
        </w:rPr>
        <w:t xml:space="preserve">the </w:t>
      </w:r>
      <w:r w:rsidRPr="005B5602">
        <w:rPr>
          <w:lang w:eastAsia="ru-RU"/>
        </w:rPr>
        <w:t>reduction of GHG emissions will directly result in tangible socio-economic and local environmental ben</w:t>
      </w:r>
      <w:r>
        <w:rPr>
          <w:lang w:eastAsia="ru-RU"/>
        </w:rPr>
        <w:t>efits.</w:t>
      </w:r>
    </w:p>
    <w:p w14:paraId="11D7B058" w14:textId="77777777" w:rsidR="005B02B2" w:rsidRPr="005B5602" w:rsidRDefault="005B02B2" w:rsidP="00A65199">
      <w:pPr>
        <w:pStyle w:val="Bodynumbered"/>
        <w:keepNext/>
        <w:keepLines/>
        <w:spacing w:after="240"/>
        <w:rPr>
          <w:lang w:eastAsia="ru-RU"/>
        </w:rPr>
      </w:pPr>
      <w:r w:rsidRPr="005B5602">
        <w:t xml:space="preserve">The Project reflects Government priorities to promote sustainable development and the commitment to mitigate GHG emissions under the </w:t>
      </w:r>
      <w:r w:rsidRPr="005B5602">
        <w:rPr>
          <w:rFonts w:eastAsia="Calibri"/>
        </w:rPr>
        <w:t>UNFCCC</w:t>
      </w:r>
      <w:r w:rsidRPr="005B5602">
        <w:rPr>
          <w:lang w:bidi="he-IL"/>
        </w:rPr>
        <w:t>.</w:t>
      </w:r>
      <w:r w:rsidRPr="005B5602">
        <w:t xml:space="preserve"> In 1995 Kazakhstan ratified the UNFCCC as </w:t>
      </w:r>
      <w:r w:rsidR="00A65199">
        <w:t xml:space="preserve">a </w:t>
      </w:r>
      <w:r w:rsidRPr="005B5602">
        <w:t>non-Annex I party</w:t>
      </w:r>
      <w:r w:rsidR="00A65199">
        <w:t>,</w:t>
      </w:r>
      <w:r w:rsidRPr="005B5602">
        <w:t xml:space="preserve"> and </w:t>
      </w:r>
      <w:r w:rsidR="00A65199">
        <w:t>i</w:t>
      </w:r>
      <w:r w:rsidRPr="005B5602">
        <w:t>n 1999 committed to join industrialized nations in their effort to limit GHG emissions and accept a binding and quantified emission limitation of 100% over a 1992 baseline</w:t>
      </w:r>
      <w:r w:rsidRPr="00D80E27">
        <w:t>. Further, in 2010 Kazakhstan announced and communicated to the Parties its</w:t>
      </w:r>
      <w:r w:rsidRPr="00D80E27">
        <w:rPr>
          <w:lang w:eastAsia="ru-RU"/>
        </w:rPr>
        <w:t xml:space="preserve"> additional voluntary commitments to redu</w:t>
      </w:r>
      <w:r w:rsidR="00A65199" w:rsidRPr="00D80E27">
        <w:rPr>
          <w:lang w:eastAsia="ru-RU"/>
        </w:rPr>
        <w:t>ce GHG emissions by 15% by 2020</w:t>
      </w:r>
      <w:r w:rsidRPr="00D80E27">
        <w:t xml:space="preserve"> below 1990 emissions</w:t>
      </w:r>
      <w:r w:rsidRPr="00D80E27">
        <w:rPr>
          <w:lang w:eastAsia="ru-RU"/>
        </w:rPr>
        <w:t xml:space="preserve"> and by 25% by 2050. </w:t>
      </w:r>
      <w:r w:rsidR="006E7394" w:rsidRPr="00D80E27">
        <w:t>The proposed P</w:t>
      </w:r>
      <w:r w:rsidRPr="00D80E27">
        <w:t>roject is also</w:t>
      </w:r>
      <w:r w:rsidRPr="005B5602">
        <w:t xml:space="preserve"> fully aligned with the national priorities to strengthen economic and energy independence of K</w:t>
      </w:r>
      <w:r w:rsidR="00A65199">
        <w:t>azakhstan by promoting resource</w:t>
      </w:r>
      <w:r w:rsidRPr="005B5602">
        <w:t xml:space="preserve"> </w:t>
      </w:r>
      <w:r w:rsidR="00A65199">
        <w:t>efficiency</w:t>
      </w:r>
      <w:r w:rsidRPr="005B5602">
        <w:t xml:space="preserve"> and climate resilient growth.</w:t>
      </w:r>
    </w:p>
    <w:p w14:paraId="1A94C848" w14:textId="77777777" w:rsidR="005B02B2" w:rsidRPr="005B5602" w:rsidRDefault="008F7A1D" w:rsidP="005B02B2">
      <w:pPr>
        <w:pStyle w:val="Bodynumbered"/>
        <w:rPr>
          <w:lang w:eastAsia="ru-RU"/>
        </w:rPr>
      </w:pPr>
      <w:r w:rsidRPr="005B5602">
        <w:t>The P</w:t>
      </w:r>
      <w:r w:rsidR="005B02B2" w:rsidRPr="005B5602">
        <w:t xml:space="preserve">roject is fully consistent with </w:t>
      </w:r>
      <w:r w:rsidR="00A65199">
        <w:t xml:space="preserve">the </w:t>
      </w:r>
      <w:r w:rsidR="005B02B2" w:rsidRPr="005B5602">
        <w:t xml:space="preserve">GEF-5 Climate Change Focal Area Strategy which envisages that in large, medium-income developing countries, such as Kazakhstan, the GEF will support programs and projects that will bring </w:t>
      </w:r>
      <w:r w:rsidR="005B02B2" w:rsidRPr="005B5602">
        <w:rPr>
          <w:i/>
        </w:rPr>
        <w:t>significant GHG reductions</w:t>
      </w:r>
      <w:r w:rsidR="005B02B2" w:rsidRPr="005B5602">
        <w:t>, such as market transform</w:t>
      </w:r>
      <w:r w:rsidRPr="005B5602">
        <w:t>ation in the building, industry</w:t>
      </w:r>
      <w:r w:rsidR="005B02B2" w:rsidRPr="005B5602">
        <w:t xml:space="preserve"> and transp</w:t>
      </w:r>
      <w:r w:rsidRPr="005B5602">
        <w:t>ort sectors. Specifically, the P</w:t>
      </w:r>
      <w:r w:rsidR="005B02B2" w:rsidRPr="005B5602">
        <w:t xml:space="preserve">roject will contribute to the achievement of </w:t>
      </w:r>
      <w:r w:rsidR="005B02B2" w:rsidRPr="005B5602">
        <w:rPr>
          <w:bCs/>
        </w:rPr>
        <w:t xml:space="preserve">the GEF CC </w:t>
      </w:r>
      <w:r w:rsidR="005B02B2" w:rsidRPr="00A65199">
        <w:rPr>
          <w:bCs/>
          <w:i/>
        </w:rPr>
        <w:t xml:space="preserve">Objective 6 </w:t>
      </w:r>
      <w:r w:rsidR="005B02B2" w:rsidRPr="00A65199">
        <w:rPr>
          <w:i/>
        </w:rPr>
        <w:t xml:space="preserve">“Support </w:t>
      </w:r>
      <w:r w:rsidR="005B02B2" w:rsidRPr="00A65199">
        <w:rPr>
          <w:i/>
        </w:rPr>
        <w:lastRenderedPageBreak/>
        <w:t>Enabling Activities under the Convention”</w:t>
      </w:r>
      <w:r w:rsidR="005B02B2" w:rsidRPr="005B5602">
        <w:rPr>
          <w:bCs/>
        </w:rPr>
        <w:t xml:space="preserve"> and </w:t>
      </w:r>
      <w:r w:rsidR="005B02B2" w:rsidRPr="00A65199">
        <w:rPr>
          <w:bCs/>
          <w:i/>
        </w:rPr>
        <w:t>Objective 4 “Promote energy efficient, low-carbon transport and urban systems”</w:t>
      </w:r>
      <w:r w:rsidR="005B02B2" w:rsidRPr="005B5602">
        <w:rPr>
          <w:bCs/>
        </w:rPr>
        <w:t xml:space="preserve"> by building human and institutional capacities</w:t>
      </w:r>
      <w:r w:rsidR="00A65199">
        <w:rPr>
          <w:bCs/>
        </w:rPr>
        <w:t>,</w:t>
      </w:r>
      <w:r w:rsidR="005B02B2" w:rsidRPr="005B5602">
        <w:rPr>
          <w:bCs/>
        </w:rPr>
        <w:t xml:space="preserve"> and supporting design and implementation of </w:t>
      </w:r>
      <w:r w:rsidRPr="005B5602">
        <w:rPr>
          <w:bCs/>
        </w:rPr>
        <w:t>NAMAs</w:t>
      </w:r>
      <w:r w:rsidR="005B02B2" w:rsidRPr="005B5602">
        <w:rPr>
          <w:bCs/>
        </w:rPr>
        <w:t xml:space="preserve"> in </w:t>
      </w:r>
      <w:r w:rsidR="00A65199">
        <w:rPr>
          <w:bCs/>
        </w:rPr>
        <w:t xml:space="preserve">the </w:t>
      </w:r>
      <w:r w:rsidR="005B02B2" w:rsidRPr="005B5602">
        <w:rPr>
          <w:bCs/>
        </w:rPr>
        <w:t>urban sector.</w:t>
      </w:r>
      <w:r w:rsidR="005B02B2" w:rsidRPr="005B5602">
        <w:rPr>
          <w:lang w:eastAsia="ru-RU"/>
        </w:rPr>
        <w:t xml:space="preserve"> </w:t>
      </w:r>
      <w:r w:rsidR="005B02B2" w:rsidRPr="005B5602">
        <w:t>Kazakhstan has completed its National Portfolio Formulation Exercise (NPFE) and communicated its priorities to the GEF Secretariat in 2011 (please refer to the letter from Kazakhstan OFP to GEF</w:t>
      </w:r>
      <w:r w:rsidRPr="005B5602">
        <w:t xml:space="preserve"> </w:t>
      </w:r>
      <w:r w:rsidR="005B02B2" w:rsidRPr="005B5602">
        <w:t>Sec</w:t>
      </w:r>
      <w:r w:rsidRPr="005B5602">
        <w:t>retariat</w:t>
      </w:r>
      <w:r w:rsidR="005B02B2" w:rsidRPr="005B5602">
        <w:t xml:space="preserve"> </w:t>
      </w:r>
      <w:r w:rsidRPr="005B5602">
        <w:t>dated June 2011). The P</w:t>
      </w:r>
      <w:r w:rsidR="005B02B2" w:rsidRPr="005B5602">
        <w:t xml:space="preserve">roject was identified and included in the list </w:t>
      </w:r>
      <w:r w:rsidR="00A65199">
        <w:t xml:space="preserve">of priorities </w:t>
      </w:r>
      <w:r w:rsidR="005B02B2" w:rsidRPr="005B5602">
        <w:t xml:space="preserve">under the title “Sustainable Cities Program” based on unanimous agreement of all concerned national parties and GEF Agencies consulted during </w:t>
      </w:r>
      <w:r w:rsidRPr="005B5602">
        <w:t xml:space="preserve">the </w:t>
      </w:r>
      <w:r w:rsidR="005B02B2" w:rsidRPr="005B5602">
        <w:t>NPFE.</w:t>
      </w:r>
    </w:p>
    <w:p w14:paraId="58D4415B" w14:textId="77777777" w:rsidR="005B02B2" w:rsidRPr="005B5602" w:rsidRDefault="005B02B2" w:rsidP="00A65199">
      <w:pPr>
        <w:pStyle w:val="Bodynumbered"/>
        <w:keepNext/>
        <w:keepLines/>
        <w:rPr>
          <w:rFonts w:cs="Arial"/>
          <w:bCs/>
        </w:rPr>
      </w:pPr>
      <w:r w:rsidRPr="005B5602">
        <w:t xml:space="preserve">UNDP is one of the leading agencies of the GEF to implement enabling activities and capacity development activities related to climate change mitigation in Kazakhstan. For </w:t>
      </w:r>
      <w:r w:rsidR="00357164">
        <w:t>example</w:t>
      </w:r>
      <w:r w:rsidRPr="005B5602">
        <w:t>, UNDP has supported the country in developing its First and Second National Communication to the UNFCCC and is currently supporting ME</w:t>
      </w:r>
      <w:r w:rsidR="00217B01">
        <w:t>WR</w:t>
      </w:r>
      <w:r w:rsidRPr="005B5602">
        <w:t xml:space="preserve"> for the preparation of Kazakhstan’s Third National Communication (for other baseline UNDP activities, see Section </w:t>
      </w:r>
      <w:r w:rsidR="00EE1A48" w:rsidRPr="005B5602">
        <w:fldChar w:fldCharType="begin"/>
      </w:r>
      <w:r w:rsidRPr="005B5602">
        <w:instrText xml:space="preserve"> REF _Ref362293051 \r \h </w:instrText>
      </w:r>
      <w:r w:rsidR="00EE1A48" w:rsidRPr="005B5602">
        <w:fldChar w:fldCharType="separate"/>
      </w:r>
      <w:r w:rsidR="003B3B2B">
        <w:t>1.3</w:t>
      </w:r>
      <w:r w:rsidR="00EE1A48" w:rsidRPr="005B5602">
        <w:fldChar w:fldCharType="end"/>
      </w:r>
      <w:r w:rsidR="00357164">
        <w:t>). The proposed Project is aligned</w:t>
      </w:r>
      <w:r w:rsidRPr="005B5602">
        <w:t xml:space="preserve"> </w:t>
      </w:r>
      <w:r w:rsidR="008F7A1D" w:rsidRPr="005B5602">
        <w:rPr>
          <w:rFonts w:cs="Arial"/>
          <w:bCs/>
        </w:rPr>
        <w:t>with the following UNDAF</w:t>
      </w:r>
      <w:r w:rsidRPr="005B5602">
        <w:rPr>
          <w:rFonts w:cs="Arial"/>
          <w:bCs/>
        </w:rPr>
        <w:t xml:space="preserve"> and CPAP outcomes and outputs:</w:t>
      </w:r>
    </w:p>
    <w:p w14:paraId="61DC19AC" w14:textId="77777777" w:rsidR="005B02B2" w:rsidRPr="005B5602" w:rsidRDefault="008F7A1D" w:rsidP="007D6892">
      <w:pPr>
        <w:pStyle w:val="Bodynumbered"/>
        <w:numPr>
          <w:ilvl w:val="0"/>
          <w:numId w:val="21"/>
        </w:numPr>
        <w:ind w:left="720"/>
        <w:rPr>
          <w:rFonts w:cs="Arial"/>
          <w:i/>
        </w:rPr>
      </w:pPr>
      <w:r w:rsidRPr="005B5602">
        <w:rPr>
          <w:rFonts w:cs="Arial"/>
          <w:b/>
          <w:bCs/>
        </w:rPr>
        <w:t xml:space="preserve">UNDAF Outcome for 2010-2015: </w:t>
      </w:r>
      <w:r w:rsidR="005B02B2" w:rsidRPr="005B5602">
        <w:rPr>
          <w:rFonts w:cs="Arial"/>
          <w:bCs/>
        </w:rPr>
        <w:t>Environmental Sustainability</w:t>
      </w:r>
      <w:r w:rsidR="00357164">
        <w:rPr>
          <w:rFonts w:cs="Arial"/>
        </w:rPr>
        <w:t xml:space="preserve">. </w:t>
      </w:r>
      <w:r w:rsidR="005B02B2" w:rsidRPr="005B5602">
        <w:rPr>
          <w:rFonts w:cs="Arial"/>
        </w:rPr>
        <w:t xml:space="preserve">By 2015, communities, national and local authorities use more </w:t>
      </w:r>
      <w:r w:rsidR="005B02B2" w:rsidRPr="005B5602">
        <w:rPr>
          <w:rFonts w:cs="Arial"/>
        </w:rPr>
        <w:lastRenderedPageBreak/>
        <w:t>effective mechanisms and partnerships that promote environmental sustainability and enable them to prepare, respond and recover from natural and man-made disasters.</w:t>
      </w:r>
    </w:p>
    <w:p w14:paraId="53D1BE9D" w14:textId="77777777" w:rsidR="005B02B2" w:rsidRPr="005B5602" w:rsidRDefault="005B02B2" w:rsidP="007D6892">
      <w:pPr>
        <w:pStyle w:val="Bodynumbered"/>
        <w:numPr>
          <w:ilvl w:val="0"/>
          <w:numId w:val="21"/>
        </w:numPr>
        <w:ind w:left="720"/>
      </w:pPr>
      <w:r w:rsidRPr="005B5602">
        <w:rPr>
          <w:rFonts w:cs="Arial"/>
          <w:b/>
          <w:bCs/>
        </w:rPr>
        <w:t>CPAP Outcome:</w:t>
      </w:r>
      <w:r w:rsidRPr="005B5602">
        <w:rPr>
          <w:iCs/>
        </w:rPr>
        <w:t xml:space="preserve">  The Government, industries and civil society take steps to adapt to climate change and mitigate its impact through energy efficiency measures and climate change adaptation policies.</w:t>
      </w:r>
    </w:p>
    <w:p w14:paraId="308A72CA" w14:textId="77777777" w:rsidR="002D5328" w:rsidRPr="005B5602" w:rsidRDefault="005B02B2" w:rsidP="007D6892">
      <w:pPr>
        <w:pStyle w:val="Bodynumbered"/>
        <w:numPr>
          <w:ilvl w:val="0"/>
          <w:numId w:val="21"/>
        </w:numPr>
        <w:ind w:left="720"/>
      </w:pPr>
      <w:r w:rsidRPr="005B5602">
        <w:rPr>
          <w:b/>
        </w:rPr>
        <w:t>CPAP Output</w:t>
      </w:r>
      <w:r w:rsidRPr="005B5602">
        <w:t>: Government and energy consumers are better equipped with knowledge, policies and pilot cases on energy efficiency in sectors with high carbon dioxide emission levels.</w:t>
      </w:r>
    </w:p>
    <w:p w14:paraId="4A627C7C" w14:textId="77777777" w:rsidR="005B02B2" w:rsidRDefault="005B02B2" w:rsidP="005B02B2">
      <w:pPr>
        <w:pStyle w:val="Heading2"/>
        <w:keepLines/>
        <w:spacing w:before="200" w:after="0" w:line="276" w:lineRule="auto"/>
        <w:jc w:val="left"/>
        <w:rPr>
          <w:rFonts w:ascii="Arial" w:hAnsi="Arial"/>
        </w:rPr>
      </w:pPr>
      <w:bookmarkStart w:id="15" w:name="_Ref362036265"/>
      <w:bookmarkStart w:id="16" w:name="_Ref362293051"/>
      <w:bookmarkStart w:id="17" w:name="_Ref362369682"/>
      <w:bookmarkStart w:id="18" w:name="_Toc362384271"/>
      <w:bookmarkStart w:id="19" w:name="_Toc393448983"/>
      <w:r w:rsidRPr="005B5602">
        <w:rPr>
          <w:rFonts w:ascii="Arial" w:hAnsi="Arial"/>
        </w:rPr>
        <w:t>Baseline</w:t>
      </w:r>
      <w:bookmarkEnd w:id="15"/>
      <w:bookmarkEnd w:id="16"/>
      <w:bookmarkEnd w:id="17"/>
      <w:bookmarkEnd w:id="18"/>
      <w:r w:rsidR="00976022">
        <w:rPr>
          <w:rFonts w:ascii="Arial" w:hAnsi="Arial"/>
        </w:rPr>
        <w:t xml:space="preserve"> scenario</w:t>
      </w:r>
      <w:bookmarkEnd w:id="19"/>
    </w:p>
    <w:p w14:paraId="3F4E775D" w14:textId="77777777" w:rsidR="00976022" w:rsidRPr="0005443D" w:rsidRDefault="0005443D" w:rsidP="0005443D">
      <w:pPr>
        <w:pStyle w:val="Bodynumbered"/>
        <w:numPr>
          <w:ilvl w:val="0"/>
          <w:numId w:val="0"/>
        </w:numPr>
        <w:rPr>
          <w:b/>
          <w:lang w:eastAsia="ru-RU"/>
        </w:rPr>
      </w:pPr>
      <w:r w:rsidRPr="0005443D">
        <w:rPr>
          <w:b/>
          <w:lang w:eastAsia="ru-RU"/>
        </w:rPr>
        <w:t>GHG emissions in the urban sector</w:t>
      </w:r>
    </w:p>
    <w:p w14:paraId="40460E37" w14:textId="77777777" w:rsidR="00976022" w:rsidRPr="005B5602" w:rsidRDefault="00976022" w:rsidP="00976022">
      <w:pPr>
        <w:pStyle w:val="Bodynumbered"/>
      </w:pPr>
      <w:r w:rsidRPr="005B5602">
        <w:t xml:space="preserve">Kazakhstan is by far the largest GHG emitter in Central Asia with annual emissions of </w:t>
      </w:r>
      <w:r>
        <w:t>284</w:t>
      </w:r>
      <w:r w:rsidRPr="005B5602">
        <w:t xml:space="preserve"> Mt CO</w:t>
      </w:r>
      <w:r w:rsidRPr="00951CEA">
        <w:rPr>
          <w:vertAlign w:val="subscript"/>
        </w:rPr>
        <w:t>2e</w:t>
      </w:r>
      <w:r w:rsidRPr="005B5602">
        <w:t xml:space="preserve"> in </w:t>
      </w:r>
      <w:r>
        <w:t>2012</w:t>
      </w:r>
      <w:r w:rsidRPr="005B5602">
        <w:t xml:space="preserve"> and has one of the world’s highest GHG emissions per capita (</w:t>
      </w:r>
      <w:r>
        <w:t>16.9</w:t>
      </w:r>
      <w:r w:rsidRPr="005B5602">
        <w:t xml:space="preserve"> tCO</w:t>
      </w:r>
      <w:r w:rsidRPr="00951CEA">
        <w:rPr>
          <w:vertAlign w:val="subscript"/>
        </w:rPr>
        <w:t>2</w:t>
      </w:r>
      <w:r w:rsidRPr="005B5602">
        <w:t>)</w:t>
      </w:r>
      <w:r>
        <w:rPr>
          <w:rStyle w:val="FootnoteReference"/>
        </w:rPr>
        <w:footnoteReference w:id="4"/>
      </w:r>
      <w:r w:rsidRPr="005B5602">
        <w:t>. The energy intensity of the country’s economy in 2010 – 0.68 toe per 1000 dollar of GDP – was almost six times that of Western Europe (0.11), almost triple that of the US (0.24). While Kazakhstan has substantial potential for energy and other resource efficiency improvements, GHG emissions across the sectors have been steadily rising since the early 2000s</w:t>
      </w:r>
      <w:r>
        <w:t xml:space="preserve">, when </w:t>
      </w:r>
      <w:r>
        <w:lastRenderedPageBreak/>
        <w:t>the emissions bottomed out at around 146 Mt CO</w:t>
      </w:r>
      <w:r w:rsidRPr="00951CEA">
        <w:rPr>
          <w:vertAlign w:val="subscript"/>
        </w:rPr>
        <w:t>2e</w:t>
      </w:r>
      <w:r>
        <w:t>, or 41% of the 1990 peak level of 358 Mt CO2e</w:t>
      </w:r>
      <w:r w:rsidRPr="005B5602">
        <w:t>. The main reasons for this high level of intensity are the use of outdated technologies and lack of strong in</w:t>
      </w:r>
      <w:r w:rsidR="0005443D">
        <w:t>centives for energy conservation</w:t>
      </w:r>
      <w:r w:rsidRPr="005B5602">
        <w:t xml:space="preserve">. </w:t>
      </w:r>
    </w:p>
    <w:p w14:paraId="5A9C2F3E" w14:textId="77777777" w:rsidR="00976022" w:rsidRPr="005B5602" w:rsidRDefault="0005443D" w:rsidP="00976022">
      <w:pPr>
        <w:pStyle w:val="Bodynumbered"/>
        <w:rPr>
          <w:lang w:eastAsia="ru-RU"/>
        </w:rPr>
      </w:pPr>
      <w:r>
        <w:t>Urban</w:t>
      </w:r>
      <w:r w:rsidR="00976022" w:rsidRPr="005B5602">
        <w:t xml:space="preserve"> settlements have a disproportionately </w:t>
      </w:r>
      <w:r w:rsidR="00976022">
        <w:t>larger</w:t>
      </w:r>
      <w:r w:rsidR="00976022" w:rsidRPr="005B5602">
        <w:t xml:space="preserve"> impact on the country</w:t>
      </w:r>
      <w:r w:rsidR="00976022">
        <w:t>’s</w:t>
      </w:r>
      <w:r w:rsidR="00976022" w:rsidRPr="005B5602">
        <w:t xml:space="preserve"> GHG emissions than rural population</w:t>
      </w:r>
      <w:r w:rsidR="00976022">
        <w:t>s</w:t>
      </w:r>
      <w:r w:rsidR="00976022" w:rsidRPr="005B5602">
        <w:t xml:space="preserve"> because of their higher consumption level, and more GHG-intensive lifestyle and infrastructure. </w:t>
      </w:r>
      <w:r w:rsidR="00976022">
        <w:t xml:space="preserve">With average per-capita emissions of around </w:t>
      </w:r>
      <w:r w:rsidR="002C3276">
        <w:t>12</w:t>
      </w:r>
      <w:r w:rsidR="00976022">
        <w:t xml:space="preserve"> tCO</w:t>
      </w:r>
      <w:r w:rsidR="00976022" w:rsidRPr="00951CEA">
        <w:rPr>
          <w:vertAlign w:val="subscript"/>
        </w:rPr>
        <w:t>2e</w:t>
      </w:r>
      <w:r w:rsidR="00976022">
        <w:t>/year, Kazakh urban settlements are placed among the most GHG-intensive municipalities in the world: e.g. 29.8 tCO</w:t>
      </w:r>
      <w:r w:rsidR="00976022" w:rsidRPr="00951CEA">
        <w:rPr>
          <w:vertAlign w:val="subscript"/>
        </w:rPr>
        <w:t>2</w:t>
      </w:r>
      <w:r w:rsidR="00976022">
        <w:t>/capita in Rotterdam, Netherlands, 17.7 tCO</w:t>
      </w:r>
      <w:r w:rsidR="00976022" w:rsidRPr="00951CEA">
        <w:rPr>
          <w:vertAlign w:val="subscript"/>
        </w:rPr>
        <w:t>2</w:t>
      </w:r>
      <w:r w:rsidR="00976022">
        <w:t>/capita in Calgary, Canada; compared with 7 tCO</w:t>
      </w:r>
      <w:r w:rsidR="00976022" w:rsidRPr="00951CEA">
        <w:rPr>
          <w:vertAlign w:val="subscript"/>
        </w:rPr>
        <w:t>2</w:t>
      </w:r>
      <w:r w:rsidR="00976022">
        <w:t>/capita in Prague, Czech Republic, 4.89 tCO</w:t>
      </w:r>
      <w:r w:rsidR="00976022" w:rsidRPr="00951CEA">
        <w:rPr>
          <w:vertAlign w:val="subscript"/>
        </w:rPr>
        <w:t>2</w:t>
      </w:r>
      <w:r w:rsidR="00976022">
        <w:t>/capita in Tokyo, Japan</w:t>
      </w:r>
      <w:r w:rsidR="00976022">
        <w:rPr>
          <w:rStyle w:val="FootnoteReference"/>
        </w:rPr>
        <w:footnoteReference w:id="5"/>
      </w:r>
      <w:r w:rsidR="00976022">
        <w:t>.</w:t>
      </w:r>
      <w:r w:rsidR="00976022">
        <w:rPr>
          <w:rStyle w:val="FootnoteReference"/>
        </w:rPr>
        <w:t xml:space="preserve"> </w:t>
      </w:r>
      <w:r w:rsidR="00976022" w:rsidRPr="005B5602">
        <w:t xml:space="preserve">Urban emission </w:t>
      </w:r>
      <w:r w:rsidR="002C3276">
        <w:t>patterns</w:t>
      </w:r>
      <w:r w:rsidR="002C3276" w:rsidRPr="005B5602">
        <w:t xml:space="preserve"> </w:t>
      </w:r>
      <w:r w:rsidR="00976022" w:rsidRPr="005B5602">
        <w:t>are particularly influenced by</w:t>
      </w:r>
      <w:r w:rsidR="00976022" w:rsidRPr="005B5602">
        <w:rPr>
          <w:lang w:eastAsia="ru-RU"/>
        </w:rPr>
        <w:t xml:space="preserve"> the following key trends: </w:t>
      </w:r>
    </w:p>
    <w:p w14:paraId="34CD4081" w14:textId="77777777" w:rsidR="00976022" w:rsidRPr="005B5602" w:rsidRDefault="00976022" w:rsidP="00976022">
      <w:pPr>
        <w:pStyle w:val="Bullets1st"/>
      </w:pPr>
      <w:r w:rsidRPr="005B5602">
        <w:rPr>
          <w:b/>
        </w:rPr>
        <w:t>Rapid urbanization</w:t>
      </w:r>
      <w:r w:rsidRPr="005B5602">
        <w:t>: Roughly half of Kazakhstan</w:t>
      </w:r>
      <w:r>
        <w:t>’s</w:t>
      </w:r>
      <w:r w:rsidRPr="005B5602">
        <w:t xml:space="preserve"> population </w:t>
      </w:r>
      <w:r>
        <w:t>is clustered in Almaty, Astana</w:t>
      </w:r>
      <w:r w:rsidRPr="005B5602">
        <w:t xml:space="preserve"> and a small number of other cities</w:t>
      </w:r>
      <w:r w:rsidRPr="005B5602">
        <w:rPr>
          <w:rStyle w:val="FootnoteReference"/>
        </w:rPr>
        <w:footnoteReference w:id="6"/>
      </w:r>
      <w:r w:rsidRPr="005B5602">
        <w:t>.</w:t>
      </w:r>
      <w:r w:rsidRPr="005B5602">
        <w:rPr>
          <w:b/>
        </w:rPr>
        <w:t xml:space="preserve"> </w:t>
      </w:r>
      <w:r w:rsidRPr="005B5602">
        <w:t xml:space="preserve">As Kazakhstanis increasingly migrate from villages and smaller towns to the largest cities in search of higher incomes, </w:t>
      </w:r>
      <w:r w:rsidRPr="005B5602">
        <w:lastRenderedPageBreak/>
        <w:t xml:space="preserve">better employment prospects and modern lifestyles, it is estimated that by 2030 </w:t>
      </w:r>
      <w:r>
        <w:t xml:space="preserve">up to </w:t>
      </w:r>
      <w:r w:rsidRPr="005B5602">
        <w:t>66%</w:t>
      </w:r>
      <w:r>
        <w:t xml:space="preserve"> of </w:t>
      </w:r>
      <w:r w:rsidRPr="005B5602">
        <w:t xml:space="preserve">the population will </w:t>
      </w:r>
      <w:r>
        <w:t>be urban</w:t>
      </w:r>
      <w:r w:rsidRPr="005B5602">
        <w:t>. Therefore, while Kazakhstan is vast – the world’s largest landlocked country, with an area of 2.71 million km</w:t>
      </w:r>
      <w:r w:rsidRPr="005B5602">
        <w:rPr>
          <w:vertAlign w:val="superscript"/>
        </w:rPr>
        <w:t>2</w:t>
      </w:r>
      <w:r w:rsidRPr="005B5602">
        <w:t xml:space="preserve"> and a sparsely distributed population of approximately 16 million – the country is becoming increasingly urbanised, with growth rates in Astana and Shymkent exceeding 35% between 2004</w:t>
      </w:r>
      <w:r>
        <w:t xml:space="preserve"> and </w:t>
      </w:r>
      <w:r w:rsidRPr="005B5602">
        <w:t>2009.</w:t>
      </w:r>
    </w:p>
    <w:p w14:paraId="41306CAE" w14:textId="77777777" w:rsidR="00976022" w:rsidRPr="005B5602" w:rsidRDefault="008276A4" w:rsidP="00976022">
      <w:pPr>
        <w:pStyle w:val="Bullets1st"/>
      </w:pPr>
      <w:r>
        <w:rPr>
          <w:noProof/>
          <w:lang w:val="en-US"/>
        </w:rPr>
        <mc:AlternateContent>
          <mc:Choice Requires="wps">
            <w:drawing>
              <wp:anchor distT="0" distB="0" distL="114300" distR="114300" simplePos="0" relativeHeight="251670016" behindDoc="0" locked="0" layoutInCell="1" allowOverlap="1" wp14:anchorId="6576ED39" wp14:editId="1E7780D8">
                <wp:simplePos x="0" y="0"/>
                <wp:positionH relativeFrom="column">
                  <wp:posOffset>2892425</wp:posOffset>
                </wp:positionH>
                <wp:positionV relativeFrom="paragraph">
                  <wp:posOffset>38100</wp:posOffset>
                </wp:positionV>
                <wp:extent cx="3042920" cy="4742180"/>
                <wp:effectExtent l="0" t="0" r="24130" b="2032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2920" cy="4742180"/>
                        </a:xfrm>
                        <a:prstGeom prst="rect">
                          <a:avLst/>
                        </a:prstGeom>
                        <a:solidFill>
                          <a:srgbClr val="FFFFFF"/>
                        </a:solidFill>
                        <a:ln w="9525">
                          <a:solidFill>
                            <a:srgbClr val="000000"/>
                          </a:solidFill>
                          <a:miter lim="800000"/>
                          <a:headEnd/>
                          <a:tailEnd/>
                        </a:ln>
                      </wps:spPr>
                      <wps:txbx>
                        <w:txbxContent>
                          <w:p w14:paraId="69A4AB28" w14:textId="77777777" w:rsidR="00BA2E09" w:rsidRPr="00627B86" w:rsidRDefault="00BA2E09" w:rsidP="00976022">
                            <w:pPr>
                              <w:rPr>
                                <w:b/>
                                <w:sz w:val="18"/>
                                <w:szCs w:val="18"/>
                              </w:rPr>
                            </w:pPr>
                            <w:r w:rsidRPr="00627B86">
                              <w:rPr>
                                <w:b/>
                                <w:sz w:val="18"/>
                                <w:szCs w:val="18"/>
                              </w:rPr>
                              <w:t>Box 1: Feasibility study report on the municipal heat supply in Kostanay city, Kazakhstan</w:t>
                            </w:r>
                          </w:p>
                          <w:p w14:paraId="6D470C46" w14:textId="77777777" w:rsidR="00BA2E09" w:rsidRPr="00627B86" w:rsidRDefault="00BA2E09" w:rsidP="00976022">
                            <w:pPr>
                              <w:rPr>
                                <w:sz w:val="18"/>
                                <w:szCs w:val="18"/>
                              </w:rPr>
                            </w:pPr>
                            <w:r w:rsidRPr="00627B86">
                              <w:rPr>
                                <w:sz w:val="18"/>
                                <w:szCs w:val="18"/>
                              </w:rPr>
                              <w:t>In December 2012, UNDP contracted Ramboll Denmark to conduct a feasibility study of a district heating system in Kostanay that consists of a stock of aging, obsolete and inefficient assets; a result of underinvestment over the last 30-40 years. The district heating utility, Kostanay Heat Energy Company (KTEK), is a state communal enterprise that manages the DH infrastructure of Kostanay city.  As in other parts of Kazakhstan, heat tariffs do not fully cover the costs of the district heating services. The gap is partly covered by subsidies from the Government.</w:t>
                            </w:r>
                          </w:p>
                          <w:p w14:paraId="59AEC51A" w14:textId="77777777" w:rsidR="00BA2E09" w:rsidRPr="00627B86" w:rsidRDefault="00BA2E09" w:rsidP="00976022">
                            <w:pPr>
                              <w:rPr>
                                <w:sz w:val="18"/>
                                <w:szCs w:val="18"/>
                              </w:rPr>
                            </w:pPr>
                            <w:r w:rsidRPr="00627B86">
                              <w:rPr>
                                <w:sz w:val="18"/>
                                <w:szCs w:val="18"/>
                              </w:rPr>
                              <w:t>To address these challenges, Ramboll has developed a plan for the technical and economic rehabilitation of KTEK.  The proposed plan aims to result in economic self-sustainability of KTEK by selected technical improvements on the supply side without increasing tariffs. In particular, an investment of around 14 billion KZT (USD 90 million) will result in around 20% reduction of the total heat production costs, which are sufficient to reach financial self-sustainability of KTEK. The proposed technical improvements include: a new combined cycle CHP plant, modern high-efficiency burners for boilers combined with flue gas analysers and modern automated systems of monitoring and remote control.</w:t>
                            </w:r>
                          </w:p>
                          <w:p w14:paraId="20CC5109" w14:textId="77777777" w:rsidR="00BA2E09" w:rsidRPr="00627B86" w:rsidRDefault="00BA2E09" w:rsidP="00976022">
                            <w:pPr>
                              <w:rPr>
                                <w:sz w:val="18"/>
                                <w:szCs w:val="18"/>
                              </w:rPr>
                            </w:pPr>
                            <w:r w:rsidRPr="00627B86">
                              <w:rPr>
                                <w:sz w:val="18"/>
                                <w:szCs w:val="18"/>
                              </w:rPr>
                              <w:t>The study assumes that the need for space heating in the heating season will be reduced due to the installation of heat meters and individual control equipment in buildings, and because building owners will have more focus on improving the building envelope. As a result, the space heating demand is</w:t>
                            </w:r>
                            <w:r>
                              <w:rPr>
                                <w:sz w:val="18"/>
                                <w:szCs w:val="18"/>
                              </w:rPr>
                              <w:t xml:space="preserve"> </w:t>
                            </w:r>
                            <w:r w:rsidRPr="00627B86">
                              <w:rPr>
                                <w:sz w:val="18"/>
                                <w:szCs w:val="18"/>
                              </w:rPr>
                              <w:t>expected to be reduced by around 25 % by 2020.</w:t>
                            </w:r>
                          </w:p>
                          <w:p w14:paraId="594D90E6" w14:textId="77777777" w:rsidR="00BA2E09" w:rsidRPr="00627B86" w:rsidRDefault="00BA2E09" w:rsidP="00976022">
                            <w:pPr>
                              <w:rPr>
                                <w:sz w:val="18"/>
                                <w:szCs w:val="18"/>
                              </w:rPr>
                            </w:pPr>
                          </w:p>
                          <w:p w14:paraId="0FBC9E1A" w14:textId="77777777" w:rsidR="00BA2E09" w:rsidRPr="00627B86" w:rsidRDefault="00BA2E09" w:rsidP="00976022">
                            <w:pPr>
                              <w:rPr>
                                <w:sz w:val="18"/>
                                <w:szCs w:val="18"/>
                              </w:rPr>
                            </w:pPr>
                          </w:p>
                          <w:p w14:paraId="5209F70E" w14:textId="77777777" w:rsidR="00BA2E09" w:rsidRPr="00627B86" w:rsidRDefault="00BA2E09" w:rsidP="00976022">
                            <w:pPr>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76ED39" id="Text Box 2" o:spid="_x0000_s1029" type="#_x0000_t202" style="position:absolute;left:0;text-align:left;margin-left:227.75pt;margin-top:3pt;width:239.6pt;height:373.4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">
                <v:textbox>
                  <w:txbxContent>
                    <w:p w14:paraId="69A4AB28" w14:textId="77777777" w:rsidR="00BA2E09" w:rsidRPr="00627B86" w:rsidRDefault="00BA2E09" w:rsidP="00976022">
                      <w:pPr>
                        <w:rPr>
                          <w:b/>
                          <w:sz w:val="18"/>
                          <w:szCs w:val="18"/>
                        </w:rPr>
                      </w:pPr>
                      <w:r w:rsidRPr="00627B86">
                        <w:rPr>
                          <w:b/>
                          <w:sz w:val="18"/>
                          <w:szCs w:val="18"/>
                        </w:rPr>
                        <w:t>Box 1: Feasibility study report on the municipal heat supply in Kostanay city, Kazakhstan</w:t>
                      </w:r>
                    </w:p>
                    <w:p w14:paraId="6D470C46" w14:textId="77777777" w:rsidR="00BA2E09" w:rsidRPr="00627B86" w:rsidRDefault="00BA2E09" w:rsidP="00976022">
                      <w:pPr>
                        <w:rPr>
                          <w:sz w:val="18"/>
                          <w:szCs w:val="18"/>
                        </w:rPr>
                      </w:pPr>
                      <w:r w:rsidRPr="00627B86">
                        <w:rPr>
                          <w:sz w:val="18"/>
                          <w:szCs w:val="18"/>
                        </w:rPr>
                        <w:t>In December 2012, UNDP contracted Ramboll Denmark to conduct a feasibility study of a district heating system in Kostanay that consists of a stock of aging, obsolete and inefficient assets; a result of underinvestment over the last 30-40 years. The district heating utility, Kostanay Heat Energy Company (KTEK), is a state communal enterprise that manages the DH infrastructure of Kostanay city.  As in other parts of Kazakhstan, heat tariffs do not fully cover the costs of the district heating services. The gap is partly covered by subsidies from the Government.</w:t>
                      </w:r>
                    </w:p>
                    <w:p w14:paraId="59AEC51A" w14:textId="77777777" w:rsidR="00BA2E09" w:rsidRPr="00627B86" w:rsidRDefault="00BA2E09" w:rsidP="00976022">
                      <w:pPr>
                        <w:rPr>
                          <w:sz w:val="18"/>
                          <w:szCs w:val="18"/>
                        </w:rPr>
                      </w:pPr>
                      <w:r w:rsidRPr="00627B86">
                        <w:rPr>
                          <w:sz w:val="18"/>
                          <w:szCs w:val="18"/>
                        </w:rPr>
                        <w:t>To address these challenges, Ramboll has developed a plan for the technical and economic rehabilitation of KTEK.  The proposed plan aims to result in economic self-sustainability of KTEK by selected technical improvements on the supply side without increasing tariffs. In particular, an investment of around 14 billion KZT (USD 90 million) will result in around 20% reduction of the total heat production costs, which are sufficient to reach financial self-sustainability of KTEK. The proposed technical improvements include: a new combined cycle CHP plant, modern high-efficiency burners for boilers combined with flue gas analysers and modern automated systems of monitoring and remote control.</w:t>
                      </w:r>
                    </w:p>
                    <w:p w14:paraId="20CC5109" w14:textId="77777777" w:rsidR="00BA2E09" w:rsidRPr="00627B86" w:rsidRDefault="00BA2E09" w:rsidP="00976022">
                      <w:pPr>
                        <w:rPr>
                          <w:sz w:val="18"/>
                          <w:szCs w:val="18"/>
                        </w:rPr>
                      </w:pPr>
                      <w:r w:rsidRPr="00627B86">
                        <w:rPr>
                          <w:sz w:val="18"/>
                          <w:szCs w:val="18"/>
                        </w:rPr>
                        <w:t>The study assumes that the need for space heating in the heating season will be reduced due to the installation of heat meters and individual control equipment in buildings, and because building owners will have more focus on improving the building envelope. As a result, the space heating demand is</w:t>
                      </w:r>
                      <w:r>
                        <w:rPr>
                          <w:sz w:val="18"/>
                          <w:szCs w:val="18"/>
                        </w:rPr>
                        <w:t xml:space="preserve"> </w:t>
                      </w:r>
                      <w:r w:rsidRPr="00627B86">
                        <w:rPr>
                          <w:sz w:val="18"/>
                          <w:szCs w:val="18"/>
                        </w:rPr>
                        <w:t>expected to be reduced by around 25 % by 2020.</w:t>
                      </w:r>
                    </w:p>
                    <w:p w14:paraId="594D90E6" w14:textId="77777777" w:rsidR="00BA2E09" w:rsidRPr="00627B86" w:rsidRDefault="00BA2E09" w:rsidP="00976022">
                      <w:pPr>
                        <w:rPr>
                          <w:sz w:val="18"/>
                          <w:szCs w:val="18"/>
                        </w:rPr>
                      </w:pPr>
                    </w:p>
                    <w:p w14:paraId="0FBC9E1A" w14:textId="77777777" w:rsidR="00BA2E09" w:rsidRPr="00627B86" w:rsidRDefault="00BA2E09" w:rsidP="00976022">
                      <w:pPr>
                        <w:rPr>
                          <w:sz w:val="18"/>
                          <w:szCs w:val="18"/>
                        </w:rPr>
                      </w:pPr>
                    </w:p>
                    <w:p w14:paraId="5209F70E" w14:textId="77777777" w:rsidR="00BA2E09" w:rsidRPr="00627B86" w:rsidRDefault="00BA2E09" w:rsidP="00976022">
                      <w:pPr>
                        <w:rPr>
                          <w:sz w:val="18"/>
                          <w:szCs w:val="18"/>
                        </w:rPr>
                      </w:pPr>
                    </w:p>
                  </w:txbxContent>
                </v:textbox>
                <w10:wrap type="square"/>
              </v:shape>
            </w:pict>
          </mc:Fallback>
        </mc:AlternateContent>
      </w:r>
      <w:r w:rsidR="00976022" w:rsidRPr="005B5602">
        <w:rPr>
          <w:b/>
        </w:rPr>
        <w:t>Infrastructural decay:</w:t>
      </w:r>
      <w:r w:rsidR="00976022" w:rsidRPr="005B5602">
        <w:t xml:space="preserve"> The challenges </w:t>
      </w:r>
      <w:r w:rsidR="00976022">
        <w:t xml:space="preserve">that </w:t>
      </w:r>
      <w:r w:rsidR="00976022" w:rsidRPr="005B5602">
        <w:t>most Kazakh cities increasingly face relate</w:t>
      </w:r>
      <w:r w:rsidR="00976022">
        <w:t xml:space="preserve"> </w:t>
      </w:r>
      <w:r w:rsidR="00976022" w:rsidRPr="005B5602">
        <w:t>to decaying urban infrastructure and</w:t>
      </w:r>
      <w:r w:rsidR="00976022">
        <w:t xml:space="preserve"> deteriorated communal housing, </w:t>
      </w:r>
      <w:r w:rsidR="00976022" w:rsidRPr="005B5602">
        <w:t>which are c</w:t>
      </w:r>
      <w:r w:rsidR="00976022">
        <w:t>losely related to urban poverty</w:t>
      </w:r>
      <w:r w:rsidR="00976022" w:rsidRPr="005B5602">
        <w:t xml:space="preserve">. Over 70% of multifamily apartment buildings have very low thermal performance (especially buildings constructed in 1950 </w:t>
      </w:r>
      <w:r w:rsidR="00976022">
        <w:t xml:space="preserve">to </w:t>
      </w:r>
      <w:r w:rsidR="00976022" w:rsidRPr="005B5602">
        <w:t xml:space="preserve">1980s): thermal losses account for up to 50% of heat consumption. Urban engineering systems, power, heat, water supply and sanitation are in an equally alarming state: depreciation of communal infrastructure is between 60-65% leading to high losses and inefficiencies. Technical losses are </w:t>
      </w:r>
      <w:r w:rsidR="00976022" w:rsidRPr="005B5602">
        <w:lastRenderedPageBreak/>
        <w:t>estimated to be 16% in power distribution, 20% in heat supply, and up to 60% in water supply</w:t>
      </w:r>
      <w:r w:rsidR="00976022" w:rsidRPr="005B5602">
        <w:rPr>
          <w:rStyle w:val="FootnoteReference"/>
        </w:rPr>
        <w:footnoteReference w:id="7"/>
      </w:r>
      <w:r w:rsidR="00976022" w:rsidRPr="005B5602">
        <w:t>.</w:t>
      </w:r>
    </w:p>
    <w:p w14:paraId="79C6248D" w14:textId="77777777" w:rsidR="00976022" w:rsidRPr="005B5602" w:rsidRDefault="00976022" w:rsidP="00976022">
      <w:pPr>
        <w:pStyle w:val="Bodynumbered"/>
      </w:pPr>
      <w:r w:rsidRPr="005B5602">
        <w:t xml:space="preserve">In the baseline scenario, urban GHG emissions will continue growing and will account for </w:t>
      </w:r>
      <w:r>
        <w:t>215 MtCO</w:t>
      </w:r>
      <w:r w:rsidRPr="0005443D">
        <w:rPr>
          <w:vertAlign w:val="subscript"/>
        </w:rPr>
        <w:t>2</w:t>
      </w:r>
      <w:r w:rsidR="002C3276">
        <w:rPr>
          <w:vertAlign w:val="subscript"/>
        </w:rPr>
        <w:t>e</w:t>
      </w:r>
      <w:r>
        <w:t xml:space="preserve"> or </w:t>
      </w:r>
      <w:r w:rsidRPr="005B5602">
        <w:t xml:space="preserve">over </w:t>
      </w:r>
      <w:r>
        <w:t>43</w:t>
      </w:r>
      <w:r w:rsidRPr="005B5602">
        <w:t>% of the country carbon footprint by 2030</w:t>
      </w:r>
      <w:r>
        <w:t>, while per capita urban emissions will grow to over 17 tCO</w:t>
      </w:r>
      <w:r w:rsidRPr="0005443D">
        <w:rPr>
          <w:vertAlign w:val="subscript"/>
        </w:rPr>
        <w:t>2e</w:t>
      </w:r>
      <w:r>
        <w:t>/year</w:t>
      </w:r>
      <w:r w:rsidR="0005443D">
        <w:t xml:space="preserve">. </w:t>
      </w:r>
      <w:r w:rsidRPr="005B5602">
        <w:t xml:space="preserve">This trend is best illustrated via the dynamics of GHG emissions from </w:t>
      </w:r>
      <w:r w:rsidR="0005443D">
        <w:t xml:space="preserve">the </w:t>
      </w:r>
      <w:r w:rsidRPr="005B5602">
        <w:t xml:space="preserve">municipal waste sector: it is the only </w:t>
      </w:r>
      <w:r>
        <w:t>sector</w:t>
      </w:r>
      <w:r w:rsidRPr="005B5602">
        <w:t xml:space="preserve"> in </w:t>
      </w:r>
      <w:r>
        <w:t xml:space="preserve">the </w:t>
      </w:r>
      <w:r w:rsidRPr="005B5602">
        <w:t xml:space="preserve">national GHG inventory </w:t>
      </w:r>
      <w:r>
        <w:t>that</w:t>
      </w:r>
      <w:r w:rsidRPr="005B5602">
        <w:t xml:space="preserve"> did not experience the decline in emissions throughout 1990s</w:t>
      </w:r>
      <w:r>
        <w:t>,</w:t>
      </w:r>
      <w:r w:rsidRPr="005B5602">
        <w:t xml:space="preserve"> and ha</w:t>
      </w:r>
      <w:r>
        <w:t>s</w:t>
      </w:r>
      <w:r w:rsidRPr="005B5602">
        <w:t xml:space="preserve"> grown nearly two fold between 1992 and 2005. </w:t>
      </w:r>
      <w:r w:rsidR="002C3276">
        <w:t>Further, t</w:t>
      </w:r>
      <w:r>
        <w:t>he power and heat sector has demonstrated the largest increase in absolute terms over 2000-2012 (33MtCO</w:t>
      </w:r>
      <w:r w:rsidRPr="00420C9D">
        <w:rPr>
          <w:vertAlign w:val="subscript"/>
        </w:rPr>
        <w:t>2e</w:t>
      </w:r>
      <w:r>
        <w:t>, or 158%), while the road transport the largest increase in relative terms over the same period (13MtCO</w:t>
      </w:r>
      <w:r w:rsidRPr="004C3956">
        <w:rPr>
          <w:vertAlign w:val="subscript"/>
        </w:rPr>
        <w:t>2e</w:t>
      </w:r>
      <w:r>
        <w:t>, or 311%). (see figure 1</w:t>
      </w:r>
      <w:r w:rsidR="00AD69D3">
        <w:t xml:space="preserve"> for illustration of the above GHG trends</w:t>
      </w:r>
      <w:r>
        <w:t>)</w:t>
      </w:r>
      <w:r w:rsidRPr="005B5602">
        <w:t>.</w:t>
      </w:r>
      <w:r w:rsidRPr="005B5602">
        <w:rPr>
          <w:b/>
        </w:rPr>
        <w:t xml:space="preserve"> </w:t>
      </w:r>
      <w:r w:rsidRPr="005B5602">
        <w:t>Urban building heating offers a notable low-hanging</w:t>
      </w:r>
      <w:r>
        <w:t xml:space="preserve"> fruit</w:t>
      </w:r>
      <w:r w:rsidRPr="005B5602">
        <w:t>. Heat is supplied to apartment buildings during Ka</w:t>
      </w:r>
      <w:r>
        <w:t xml:space="preserve">zakhstan's winters through, in many cases, </w:t>
      </w:r>
      <w:r w:rsidRPr="005B5602">
        <w:t xml:space="preserve">obsolete Soviet-era district heating systems. These lack building level substations to manage and monitor heat exchange with individual buildings and to allow for </w:t>
      </w:r>
      <w:r>
        <w:t>consumption-</w:t>
      </w:r>
      <w:r>
        <w:lastRenderedPageBreak/>
        <w:t xml:space="preserve">based </w:t>
      </w:r>
      <w:r w:rsidRPr="005B5602">
        <w:t>pricing</w:t>
      </w:r>
      <w:r>
        <w:t xml:space="preserve"> even at a building level</w:t>
      </w:r>
      <w:r w:rsidRPr="005B5602">
        <w:t xml:space="preserve">. </w:t>
      </w:r>
      <w:r>
        <w:t>U</w:t>
      </w:r>
      <w:r w:rsidRPr="005B5602">
        <w:t>pgrades of similar systems in Eastern Europe and Russia have reduced final heat demand by 25 to 40 percent</w:t>
      </w:r>
      <w:r>
        <w:t>, and indications from studies and practical projects implemented with UNDP-GEF support in Kazakhstan promise similar savings (see Box 1)</w:t>
      </w:r>
      <w:r w:rsidRPr="005B5602">
        <w:rPr>
          <w:rStyle w:val="FootnoteReference"/>
        </w:rPr>
        <w:footnoteReference w:id="8"/>
      </w:r>
      <w:r w:rsidRPr="005B5602">
        <w:t>.</w:t>
      </w:r>
    </w:p>
    <w:p w14:paraId="41753128" w14:textId="77777777" w:rsidR="00976022" w:rsidRDefault="00976022" w:rsidP="00976022">
      <w:pPr>
        <w:pStyle w:val="Caption"/>
        <w:jc w:val="center"/>
        <w:rPr>
          <w:rFonts w:ascii="Arial" w:hAnsi="Arial"/>
          <w:sz w:val="22"/>
        </w:rPr>
      </w:pPr>
      <w:r>
        <w:rPr>
          <w:noProof/>
        </w:rPr>
        <w:drawing>
          <wp:inline distT="0" distB="0" distL="0" distR="0" wp14:anchorId="6996AFD7" wp14:editId="54E4AEFC">
            <wp:extent cx="4629150" cy="2743200"/>
            <wp:effectExtent l="19050" t="0" r="19050" b="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bookmarkStart w:id="20" w:name="_Ref249161482"/>
      <w:bookmarkStart w:id="21" w:name="_Toc362384302"/>
      <w:bookmarkStart w:id="22" w:name="_Toc247945346"/>
    </w:p>
    <w:p w14:paraId="47EB8FCA" w14:textId="77777777" w:rsidR="00976022" w:rsidRPr="004C3956" w:rsidRDefault="00976022" w:rsidP="00976022">
      <w:pPr>
        <w:pStyle w:val="Caption"/>
        <w:jc w:val="center"/>
        <w:rPr>
          <w:rFonts w:ascii="Arial" w:hAnsi="Arial"/>
          <w:color w:val="8064A2" w:themeColor="accent4"/>
          <w:sz w:val="22"/>
          <w:lang w:val="en-GB" w:eastAsia="ru-RU"/>
        </w:rPr>
      </w:pPr>
      <w:r w:rsidRPr="005B5602">
        <w:rPr>
          <w:rFonts w:ascii="Arial" w:hAnsi="Arial"/>
          <w:sz w:val="22"/>
        </w:rPr>
        <w:t xml:space="preserve">Figure </w:t>
      </w:r>
      <w:r w:rsidR="00EE1A48" w:rsidRPr="005B5602">
        <w:rPr>
          <w:rFonts w:ascii="Arial" w:hAnsi="Arial"/>
          <w:sz w:val="22"/>
        </w:rPr>
        <w:fldChar w:fldCharType="begin"/>
      </w:r>
      <w:r w:rsidRPr="005B5602">
        <w:rPr>
          <w:rFonts w:ascii="Arial" w:hAnsi="Arial"/>
          <w:sz w:val="22"/>
        </w:rPr>
        <w:instrText xml:space="preserve"> SEQ Figure \* ARABIC </w:instrText>
      </w:r>
      <w:r w:rsidR="00EE1A48" w:rsidRPr="005B5602">
        <w:rPr>
          <w:rFonts w:ascii="Arial" w:hAnsi="Arial"/>
          <w:sz w:val="22"/>
        </w:rPr>
        <w:fldChar w:fldCharType="separate"/>
      </w:r>
      <w:r w:rsidR="003B3B2B">
        <w:rPr>
          <w:rFonts w:ascii="Arial" w:hAnsi="Arial"/>
          <w:noProof/>
          <w:sz w:val="22"/>
        </w:rPr>
        <w:t>1</w:t>
      </w:r>
      <w:r w:rsidR="00EE1A48" w:rsidRPr="005B5602">
        <w:rPr>
          <w:rFonts w:ascii="Arial" w:hAnsi="Arial"/>
          <w:sz w:val="22"/>
        </w:rPr>
        <w:fldChar w:fldCharType="end"/>
      </w:r>
      <w:bookmarkEnd w:id="20"/>
      <w:r w:rsidRPr="005B5602">
        <w:rPr>
          <w:rFonts w:ascii="Arial" w:hAnsi="Arial"/>
          <w:sz w:val="22"/>
        </w:rPr>
        <w:t xml:space="preserve">. </w:t>
      </w:r>
      <w:bookmarkEnd w:id="21"/>
      <w:bookmarkEnd w:id="22"/>
      <w:r w:rsidR="004C3956" w:rsidRPr="004C3956">
        <w:rPr>
          <w:rFonts w:ascii="Arial" w:hAnsi="Arial"/>
          <w:sz w:val="22"/>
        </w:rPr>
        <w:t>Sources of urban GHG emissions in Kazakhstan</w:t>
      </w:r>
    </w:p>
    <w:p w14:paraId="32F8246E" w14:textId="77777777" w:rsidR="00976022" w:rsidRPr="00976022" w:rsidRDefault="00976022" w:rsidP="00976022"/>
    <w:p w14:paraId="749A66F3" w14:textId="77777777" w:rsidR="00165F70" w:rsidRPr="00165F70" w:rsidRDefault="001C7564" w:rsidP="00165F70">
      <w:pPr>
        <w:pStyle w:val="Bodynumbered"/>
        <w:numPr>
          <w:ilvl w:val="0"/>
          <w:numId w:val="0"/>
        </w:numPr>
        <w:rPr>
          <w:b/>
          <w:lang w:eastAsia="ru-RU"/>
        </w:rPr>
      </w:pPr>
      <w:r>
        <w:rPr>
          <w:b/>
          <w:lang w:eastAsia="ru-RU"/>
        </w:rPr>
        <w:t xml:space="preserve">Legislation on </w:t>
      </w:r>
      <w:r w:rsidR="00165F70" w:rsidRPr="00165F70">
        <w:rPr>
          <w:b/>
          <w:lang w:eastAsia="ru-RU"/>
        </w:rPr>
        <w:t>Low-Carbon Urban Development</w:t>
      </w:r>
    </w:p>
    <w:p w14:paraId="626C740F" w14:textId="77777777" w:rsidR="00165F70" w:rsidRPr="00EC3EB4" w:rsidRDefault="00165F70" w:rsidP="00165F70">
      <w:pPr>
        <w:pStyle w:val="Bodynumbered"/>
        <w:rPr>
          <w:lang w:eastAsia="ru-RU"/>
        </w:rPr>
      </w:pPr>
      <w:r w:rsidRPr="00EC3EB4">
        <w:rPr>
          <w:lang w:eastAsia="ru-RU"/>
        </w:rPr>
        <w:t xml:space="preserve">In recent years, the Government of Kazakhstan has put increasing attention </w:t>
      </w:r>
      <w:r>
        <w:rPr>
          <w:lang w:eastAsia="ru-RU"/>
        </w:rPr>
        <w:t xml:space="preserve">on </w:t>
      </w:r>
      <w:r w:rsidRPr="00EC3EB4">
        <w:rPr>
          <w:lang w:eastAsia="ru-RU"/>
        </w:rPr>
        <w:t>energy and resources saving and climate change mitigation across all economic sectors. The most relevant national policies with a particular emphasis on urban sector</w:t>
      </w:r>
      <w:r w:rsidR="00DE0086" w:rsidRPr="00DE0086">
        <w:rPr>
          <w:lang w:eastAsia="ru-RU"/>
        </w:rPr>
        <w:t xml:space="preserve"> </w:t>
      </w:r>
      <w:r w:rsidR="00DE0086" w:rsidRPr="00EC3EB4">
        <w:rPr>
          <w:lang w:eastAsia="ru-RU"/>
        </w:rPr>
        <w:t>are summarized below</w:t>
      </w:r>
      <w:r w:rsidRPr="00EC3EB4">
        <w:rPr>
          <w:lang w:eastAsia="ru-RU"/>
        </w:rPr>
        <w:t>.</w:t>
      </w:r>
    </w:p>
    <w:p w14:paraId="75AD3FFC" w14:textId="77777777" w:rsidR="003B091E" w:rsidRPr="00B35CC3" w:rsidRDefault="005B02B2" w:rsidP="007D6892">
      <w:pPr>
        <w:pStyle w:val="ListParagraph"/>
        <w:numPr>
          <w:ilvl w:val="0"/>
          <w:numId w:val="35"/>
        </w:numPr>
        <w:spacing w:line="276" w:lineRule="auto"/>
        <w:rPr>
          <w:rFonts w:cs="Arial"/>
          <w:szCs w:val="22"/>
        </w:rPr>
      </w:pPr>
      <w:r w:rsidRPr="0078397E">
        <w:rPr>
          <w:rFonts w:ascii="Arial" w:hAnsi="Arial" w:cs="Arial"/>
          <w:sz w:val="22"/>
          <w:szCs w:val="22"/>
        </w:rPr>
        <w:lastRenderedPageBreak/>
        <w:t xml:space="preserve">The </w:t>
      </w:r>
      <w:r w:rsidRPr="0078397E">
        <w:rPr>
          <w:rFonts w:ascii="Arial" w:hAnsi="Arial" w:cs="Arial"/>
          <w:b/>
          <w:sz w:val="22"/>
          <w:szCs w:val="22"/>
        </w:rPr>
        <w:t>Law on Energy Saving and Energy Efficiency</w:t>
      </w:r>
      <w:r w:rsidR="00165F70" w:rsidRPr="00DE0086">
        <w:rPr>
          <w:rFonts w:ascii="Arial" w:hAnsi="Arial" w:cs="Arial"/>
          <w:sz w:val="22"/>
          <w:szCs w:val="22"/>
        </w:rPr>
        <w:t xml:space="preserve">, </w:t>
      </w:r>
      <w:r w:rsidR="00165F70">
        <w:rPr>
          <w:rFonts w:ascii="Arial" w:hAnsi="Arial" w:cs="Arial"/>
          <w:sz w:val="22"/>
          <w:szCs w:val="22"/>
        </w:rPr>
        <w:t xml:space="preserve">which came into force in June </w:t>
      </w:r>
      <w:r w:rsidR="00165F70" w:rsidRPr="00DE0086">
        <w:rPr>
          <w:rFonts w:ascii="Arial" w:hAnsi="Arial" w:cs="Arial"/>
          <w:b/>
          <w:sz w:val="22"/>
          <w:szCs w:val="22"/>
        </w:rPr>
        <w:t>2012</w:t>
      </w:r>
      <w:r w:rsidRPr="00165F70">
        <w:rPr>
          <w:rFonts w:ascii="Arial" w:hAnsi="Arial" w:cs="Arial"/>
          <w:sz w:val="22"/>
          <w:szCs w:val="22"/>
        </w:rPr>
        <w:t xml:space="preserve"> </w:t>
      </w:r>
      <w:r w:rsidRPr="0078397E">
        <w:rPr>
          <w:rFonts w:ascii="Arial" w:hAnsi="Arial" w:cs="Arial"/>
          <w:sz w:val="22"/>
          <w:szCs w:val="22"/>
        </w:rPr>
        <w:t xml:space="preserve">includes provisions for </w:t>
      </w:r>
      <w:r w:rsidRPr="0078397E">
        <w:rPr>
          <w:rStyle w:val="hps"/>
          <w:rFonts w:ascii="Arial" w:hAnsi="Arial" w:cs="Arial"/>
          <w:sz w:val="22"/>
          <w:szCs w:val="22"/>
        </w:rPr>
        <w:t>funding</w:t>
      </w:r>
      <w:r w:rsidRPr="0078397E">
        <w:rPr>
          <w:rFonts w:ascii="Arial" w:hAnsi="Arial" w:cs="Arial"/>
          <w:sz w:val="22"/>
          <w:szCs w:val="22"/>
        </w:rPr>
        <w:t xml:space="preserve"> energy saving measures from </w:t>
      </w:r>
      <w:r w:rsidRPr="0078397E">
        <w:rPr>
          <w:rStyle w:val="hps"/>
          <w:rFonts w:ascii="Arial" w:hAnsi="Arial" w:cs="Arial"/>
          <w:sz w:val="22"/>
          <w:szCs w:val="22"/>
        </w:rPr>
        <w:t>the state budgets</w:t>
      </w:r>
      <w:r w:rsidRPr="0078397E">
        <w:rPr>
          <w:rFonts w:ascii="Arial" w:hAnsi="Arial" w:cs="Arial"/>
          <w:sz w:val="22"/>
          <w:szCs w:val="22"/>
        </w:rPr>
        <w:t xml:space="preserve"> </w:t>
      </w:r>
      <w:r w:rsidRPr="0078397E">
        <w:rPr>
          <w:rStyle w:val="hps"/>
          <w:rFonts w:ascii="Arial" w:hAnsi="Arial" w:cs="Arial"/>
          <w:sz w:val="22"/>
          <w:szCs w:val="22"/>
        </w:rPr>
        <w:t>of all levels</w:t>
      </w:r>
      <w:r w:rsidRPr="0078397E">
        <w:rPr>
          <w:rFonts w:ascii="Arial" w:hAnsi="Arial" w:cs="Arial"/>
          <w:sz w:val="22"/>
          <w:szCs w:val="22"/>
        </w:rPr>
        <w:t xml:space="preserve"> </w:t>
      </w:r>
      <w:r w:rsidRPr="0078397E">
        <w:rPr>
          <w:rStyle w:val="hps"/>
          <w:rFonts w:ascii="Arial" w:hAnsi="Arial" w:cs="Arial"/>
          <w:sz w:val="22"/>
          <w:szCs w:val="22"/>
        </w:rPr>
        <w:t>and establish</w:t>
      </w:r>
      <w:r w:rsidR="005A2DC8" w:rsidRPr="0078397E">
        <w:rPr>
          <w:rStyle w:val="hps"/>
          <w:rFonts w:ascii="Arial" w:hAnsi="Arial" w:cs="Arial"/>
          <w:sz w:val="22"/>
          <w:szCs w:val="22"/>
        </w:rPr>
        <w:t>ing</w:t>
      </w:r>
      <w:r w:rsidRPr="0078397E">
        <w:rPr>
          <w:rStyle w:val="hps"/>
          <w:rFonts w:ascii="Arial" w:hAnsi="Arial" w:cs="Arial"/>
          <w:sz w:val="22"/>
          <w:szCs w:val="22"/>
        </w:rPr>
        <w:t xml:space="preserve"> the State Energy</w:t>
      </w:r>
      <w:r w:rsidRPr="0078397E">
        <w:rPr>
          <w:rFonts w:ascii="Arial" w:hAnsi="Arial" w:cs="Arial"/>
          <w:sz w:val="22"/>
          <w:szCs w:val="22"/>
        </w:rPr>
        <w:t xml:space="preserve"> </w:t>
      </w:r>
      <w:r w:rsidRPr="0078397E">
        <w:rPr>
          <w:rStyle w:val="hps"/>
          <w:rFonts w:ascii="Arial" w:hAnsi="Arial" w:cs="Arial"/>
          <w:sz w:val="22"/>
          <w:szCs w:val="22"/>
        </w:rPr>
        <w:t>Register, mandatory</w:t>
      </w:r>
      <w:r w:rsidRPr="0078397E">
        <w:rPr>
          <w:rFonts w:ascii="Arial" w:hAnsi="Arial" w:cs="Arial"/>
          <w:sz w:val="22"/>
          <w:szCs w:val="22"/>
        </w:rPr>
        <w:t xml:space="preserve"> </w:t>
      </w:r>
      <w:r w:rsidRPr="0078397E">
        <w:rPr>
          <w:rStyle w:val="hps"/>
          <w:rFonts w:ascii="Arial" w:hAnsi="Arial" w:cs="Arial"/>
          <w:sz w:val="22"/>
          <w:szCs w:val="22"/>
        </w:rPr>
        <w:t>energy audit</w:t>
      </w:r>
      <w:r w:rsidRPr="0078397E">
        <w:rPr>
          <w:rFonts w:ascii="Arial" w:hAnsi="Arial" w:cs="Arial"/>
          <w:sz w:val="22"/>
          <w:szCs w:val="22"/>
        </w:rPr>
        <w:t xml:space="preserve"> of the </w:t>
      </w:r>
      <w:r w:rsidRPr="0078397E">
        <w:rPr>
          <w:rStyle w:val="hps"/>
          <w:rFonts w:ascii="Arial" w:hAnsi="Arial" w:cs="Arial"/>
          <w:sz w:val="22"/>
          <w:szCs w:val="22"/>
        </w:rPr>
        <w:t>companies consuming</w:t>
      </w:r>
      <w:r w:rsidRPr="0078397E">
        <w:rPr>
          <w:rFonts w:ascii="Arial" w:hAnsi="Arial" w:cs="Arial"/>
          <w:sz w:val="22"/>
          <w:szCs w:val="22"/>
        </w:rPr>
        <w:t xml:space="preserve"> </w:t>
      </w:r>
      <w:r w:rsidRPr="0078397E">
        <w:rPr>
          <w:rStyle w:val="hps"/>
          <w:rFonts w:ascii="Arial" w:hAnsi="Arial" w:cs="Arial"/>
          <w:sz w:val="22"/>
          <w:szCs w:val="22"/>
        </w:rPr>
        <w:t>more than 1</w:t>
      </w:r>
      <w:r w:rsidR="00896DB6">
        <w:rPr>
          <w:rStyle w:val="hps"/>
          <w:rFonts w:ascii="Arial" w:hAnsi="Arial" w:cs="Arial"/>
          <w:sz w:val="22"/>
          <w:szCs w:val="22"/>
        </w:rPr>
        <w:t>,</w:t>
      </w:r>
      <w:r w:rsidRPr="0078397E">
        <w:rPr>
          <w:rStyle w:val="hps"/>
          <w:rFonts w:ascii="Arial" w:hAnsi="Arial" w:cs="Arial"/>
          <w:sz w:val="22"/>
          <w:szCs w:val="22"/>
        </w:rPr>
        <w:t>5</w:t>
      </w:r>
      <w:r w:rsidR="00896DB6">
        <w:rPr>
          <w:rStyle w:val="hps"/>
          <w:rFonts w:ascii="Arial" w:hAnsi="Arial" w:cs="Arial"/>
          <w:sz w:val="22"/>
          <w:szCs w:val="22"/>
        </w:rPr>
        <w:t>00</w:t>
      </w:r>
      <w:r w:rsidRPr="0078397E">
        <w:rPr>
          <w:rFonts w:ascii="Arial" w:hAnsi="Arial" w:cs="Arial"/>
          <w:sz w:val="22"/>
          <w:szCs w:val="22"/>
        </w:rPr>
        <w:t xml:space="preserve"> </w:t>
      </w:r>
      <w:r w:rsidRPr="0078397E">
        <w:rPr>
          <w:rStyle w:val="hps"/>
          <w:rFonts w:ascii="Arial" w:hAnsi="Arial" w:cs="Arial"/>
          <w:sz w:val="22"/>
          <w:szCs w:val="22"/>
        </w:rPr>
        <w:t>toe</w:t>
      </w:r>
      <w:r w:rsidRPr="0078397E">
        <w:rPr>
          <w:rFonts w:ascii="Arial" w:hAnsi="Arial" w:cs="Arial"/>
          <w:sz w:val="22"/>
          <w:szCs w:val="22"/>
        </w:rPr>
        <w:t xml:space="preserve"> </w:t>
      </w:r>
      <w:r w:rsidRPr="0078397E">
        <w:rPr>
          <w:rStyle w:val="hps"/>
          <w:rFonts w:ascii="Arial" w:hAnsi="Arial" w:cs="Arial"/>
          <w:sz w:val="22"/>
          <w:szCs w:val="22"/>
        </w:rPr>
        <w:t xml:space="preserve">per year, </w:t>
      </w:r>
      <w:r w:rsidR="005A2DC8" w:rsidRPr="0078397E">
        <w:rPr>
          <w:rStyle w:val="hps"/>
          <w:rFonts w:ascii="Arial" w:hAnsi="Arial" w:cs="Arial"/>
          <w:sz w:val="22"/>
          <w:szCs w:val="22"/>
        </w:rPr>
        <w:t>and</w:t>
      </w:r>
      <w:r w:rsidRPr="0078397E">
        <w:rPr>
          <w:rFonts w:ascii="Arial" w:hAnsi="Arial" w:cs="Arial"/>
          <w:sz w:val="22"/>
          <w:szCs w:val="22"/>
        </w:rPr>
        <w:t xml:space="preserve"> the </w:t>
      </w:r>
      <w:r w:rsidRPr="0078397E">
        <w:rPr>
          <w:rStyle w:val="hps"/>
          <w:rFonts w:ascii="Arial" w:hAnsi="Arial" w:cs="Arial"/>
          <w:sz w:val="22"/>
          <w:szCs w:val="22"/>
        </w:rPr>
        <w:t>introduction of</w:t>
      </w:r>
      <w:r w:rsidRPr="0078397E">
        <w:rPr>
          <w:rFonts w:ascii="Arial" w:hAnsi="Arial" w:cs="Arial"/>
          <w:sz w:val="22"/>
          <w:szCs w:val="22"/>
        </w:rPr>
        <w:t xml:space="preserve"> </w:t>
      </w:r>
      <w:r w:rsidRPr="0078397E">
        <w:rPr>
          <w:rStyle w:val="hps"/>
          <w:rFonts w:ascii="Arial" w:hAnsi="Arial" w:cs="Arial"/>
          <w:sz w:val="22"/>
          <w:szCs w:val="22"/>
        </w:rPr>
        <w:t>the responsibility for</w:t>
      </w:r>
      <w:r w:rsidRPr="0078397E">
        <w:rPr>
          <w:rFonts w:ascii="Arial" w:hAnsi="Arial" w:cs="Arial"/>
          <w:sz w:val="22"/>
          <w:szCs w:val="22"/>
        </w:rPr>
        <w:t xml:space="preserve"> </w:t>
      </w:r>
      <w:r w:rsidRPr="0078397E">
        <w:rPr>
          <w:rStyle w:val="hps"/>
          <w:rFonts w:ascii="Arial" w:hAnsi="Arial" w:cs="Arial"/>
          <w:sz w:val="22"/>
          <w:szCs w:val="22"/>
        </w:rPr>
        <w:t xml:space="preserve">complying with the Law. </w:t>
      </w:r>
      <w:r w:rsidRPr="0078397E">
        <w:rPr>
          <w:rFonts w:ascii="Arial" w:eastAsia="Cambria" w:hAnsi="Arial" w:cs="Arial"/>
          <w:sz w:val="22"/>
          <w:szCs w:val="22"/>
        </w:rPr>
        <w:t xml:space="preserve">The Law </w:t>
      </w:r>
      <w:r w:rsidRPr="0078397E">
        <w:rPr>
          <w:rFonts w:ascii="Arial" w:hAnsi="Arial" w:cs="Arial"/>
          <w:sz w:val="22"/>
          <w:szCs w:val="22"/>
        </w:rPr>
        <w:t>require</w:t>
      </w:r>
      <w:r w:rsidR="005A2DC8" w:rsidRPr="0078397E">
        <w:rPr>
          <w:rFonts w:ascii="Arial" w:hAnsi="Arial" w:cs="Arial"/>
          <w:sz w:val="22"/>
          <w:szCs w:val="22"/>
        </w:rPr>
        <w:t>s</w:t>
      </w:r>
      <w:r w:rsidRPr="0078397E">
        <w:rPr>
          <w:rFonts w:ascii="Arial" w:hAnsi="Arial" w:cs="Arial"/>
          <w:sz w:val="22"/>
          <w:szCs w:val="22"/>
        </w:rPr>
        <w:t xml:space="preserve"> the </w:t>
      </w:r>
      <w:r w:rsidRPr="0078397E">
        <w:rPr>
          <w:rFonts w:ascii="Arial" w:eastAsia="Cambria" w:hAnsi="Arial" w:cs="Arial"/>
          <w:sz w:val="22"/>
          <w:szCs w:val="22"/>
        </w:rPr>
        <w:t>adoption of at least 22 identified subordinate regulatory acts that establish</w:t>
      </w:r>
      <w:r w:rsidR="00DE0086">
        <w:rPr>
          <w:rFonts w:ascii="Arial" w:eastAsia="Cambria" w:hAnsi="Arial" w:cs="Arial"/>
          <w:sz w:val="22"/>
          <w:szCs w:val="22"/>
        </w:rPr>
        <w:t>es</w:t>
      </w:r>
      <w:r w:rsidRPr="0078397E">
        <w:rPr>
          <w:rFonts w:ascii="Arial" w:eastAsia="Cambria" w:hAnsi="Arial" w:cs="Arial"/>
          <w:sz w:val="22"/>
          <w:szCs w:val="22"/>
        </w:rPr>
        <w:t xml:space="preserve"> the requirements of energy efficiency for buildings, vehicles, electric motors, energy saving accreditation, energy audits, and energy efficiency expertise. </w:t>
      </w:r>
      <w:r w:rsidR="00C04A12" w:rsidRPr="0078397E">
        <w:rPr>
          <w:rFonts w:ascii="Arial" w:eastAsia="Cambria" w:hAnsi="Arial" w:cs="Arial"/>
          <w:sz w:val="22"/>
          <w:szCs w:val="22"/>
        </w:rPr>
        <w:t xml:space="preserve">The Law on Energy Saving and Energy Efficiency also includes the establishment of the </w:t>
      </w:r>
      <w:r w:rsidR="003B091E" w:rsidRPr="0078397E">
        <w:rPr>
          <w:rFonts w:ascii="Arial" w:hAnsi="Arial" w:cs="Arial"/>
          <w:sz w:val="22"/>
          <w:szCs w:val="22"/>
        </w:rPr>
        <w:t>State Energy Register (Article 9 of the Law)</w:t>
      </w:r>
      <w:r w:rsidR="00C04A12" w:rsidRPr="0078397E">
        <w:rPr>
          <w:rFonts w:ascii="Arial" w:hAnsi="Arial" w:cs="Arial"/>
          <w:sz w:val="22"/>
          <w:szCs w:val="22"/>
        </w:rPr>
        <w:t xml:space="preserve"> that </w:t>
      </w:r>
      <w:r w:rsidR="00C04A12" w:rsidRPr="0078397E">
        <w:rPr>
          <w:rFonts w:ascii="Arial" w:eastAsia="Cambria" w:hAnsi="Arial" w:cs="Arial"/>
          <w:sz w:val="22"/>
          <w:szCs w:val="22"/>
        </w:rPr>
        <w:t>serves as the principal mechanism for ensuring the delivery of Government ambitions through monitoring the energy use of energy consuming entities including government agencies, major industrial enterprises and other large consumers.</w:t>
      </w:r>
      <w:r w:rsidR="00724E39">
        <w:rPr>
          <w:rFonts w:ascii="Arial" w:eastAsia="Cambria" w:hAnsi="Arial" w:cs="Arial"/>
          <w:sz w:val="22"/>
          <w:szCs w:val="22"/>
        </w:rPr>
        <w:t xml:space="preserve"> </w:t>
      </w:r>
      <w:r w:rsidR="00DE0086">
        <w:rPr>
          <w:rFonts w:ascii="Arial" w:eastAsia="Cambria" w:hAnsi="Arial" w:cs="Arial"/>
          <w:sz w:val="22"/>
          <w:szCs w:val="22"/>
        </w:rPr>
        <w:t>The p</w:t>
      </w:r>
      <w:r w:rsidR="00724E39">
        <w:rPr>
          <w:rFonts w:ascii="Arial" w:eastAsia="Cambria" w:hAnsi="Arial" w:cs="Arial"/>
          <w:sz w:val="22"/>
          <w:szCs w:val="22"/>
        </w:rPr>
        <w:t xml:space="preserve">rocedure for the creation and maintenance of </w:t>
      </w:r>
      <w:r w:rsidR="00DE0086">
        <w:rPr>
          <w:rFonts w:ascii="Arial" w:eastAsia="Cambria" w:hAnsi="Arial" w:cs="Arial"/>
          <w:sz w:val="22"/>
          <w:szCs w:val="22"/>
        </w:rPr>
        <w:t xml:space="preserve">the </w:t>
      </w:r>
      <w:r w:rsidR="00724E39">
        <w:rPr>
          <w:rFonts w:ascii="Arial" w:eastAsia="Cambria" w:hAnsi="Arial" w:cs="Arial"/>
          <w:sz w:val="22"/>
          <w:szCs w:val="22"/>
        </w:rPr>
        <w:t xml:space="preserve">SER is stipulated by the Rules for creation and maintenance of the State Energy Register approved by governmental decree #143 dd 18 February 2013. </w:t>
      </w:r>
      <w:r w:rsidR="00C04A12" w:rsidRPr="0078397E">
        <w:rPr>
          <w:rFonts w:ascii="Arial" w:eastAsia="Cambria" w:hAnsi="Arial" w:cs="Arial"/>
          <w:sz w:val="22"/>
          <w:szCs w:val="22"/>
        </w:rPr>
        <w:t xml:space="preserve"> The SER </w:t>
      </w:r>
      <w:r w:rsidR="00C04A12" w:rsidRPr="0078397E">
        <w:rPr>
          <w:rFonts w:ascii="Arial" w:hAnsi="Arial" w:cs="Arial"/>
          <w:sz w:val="22"/>
          <w:szCs w:val="22"/>
        </w:rPr>
        <w:t>includes:</w:t>
      </w:r>
    </w:p>
    <w:p w14:paraId="127C8CE7" w14:textId="77777777" w:rsidR="003B091E" w:rsidRPr="00C04A12" w:rsidRDefault="003B091E" w:rsidP="007D6892">
      <w:pPr>
        <w:pStyle w:val="ListParagraph"/>
        <w:numPr>
          <w:ilvl w:val="0"/>
          <w:numId w:val="34"/>
        </w:numPr>
        <w:spacing w:line="276" w:lineRule="auto"/>
        <w:contextualSpacing/>
        <w:rPr>
          <w:rFonts w:ascii="Arial" w:hAnsi="Arial" w:cs="Arial"/>
          <w:sz w:val="22"/>
          <w:szCs w:val="22"/>
        </w:rPr>
      </w:pPr>
      <w:r w:rsidRPr="00C04A12">
        <w:rPr>
          <w:rFonts w:ascii="Arial" w:hAnsi="Arial" w:cs="Arial"/>
          <w:sz w:val="22"/>
          <w:szCs w:val="22"/>
        </w:rPr>
        <w:t>Name, address and main type of activity of an entity of SER</w:t>
      </w:r>
    </w:p>
    <w:p w14:paraId="4F363230" w14:textId="77777777" w:rsidR="003B091E" w:rsidRPr="00F3405C" w:rsidRDefault="003B091E" w:rsidP="007D6892">
      <w:pPr>
        <w:pStyle w:val="ListParagraph"/>
        <w:numPr>
          <w:ilvl w:val="0"/>
          <w:numId w:val="34"/>
        </w:numPr>
        <w:spacing w:line="276" w:lineRule="auto"/>
        <w:contextualSpacing/>
        <w:rPr>
          <w:rFonts w:ascii="Arial" w:hAnsi="Arial" w:cs="Arial"/>
          <w:sz w:val="22"/>
          <w:szCs w:val="22"/>
        </w:rPr>
      </w:pPr>
      <w:r w:rsidRPr="00C04A12">
        <w:rPr>
          <w:rFonts w:ascii="Arial" w:hAnsi="Arial" w:cs="Arial"/>
          <w:sz w:val="22"/>
          <w:szCs w:val="22"/>
        </w:rPr>
        <w:lastRenderedPageBreak/>
        <w:t>Total volume of extraction, generation, use, transportation and losses of energy resources and water</w:t>
      </w:r>
      <w:r w:rsidRPr="00F3405C">
        <w:rPr>
          <w:rFonts w:ascii="Arial" w:hAnsi="Arial" w:cs="Arial"/>
          <w:sz w:val="22"/>
          <w:szCs w:val="22"/>
        </w:rPr>
        <w:t xml:space="preserve"> and its monetary equivalent during one calendar year;</w:t>
      </w:r>
    </w:p>
    <w:p w14:paraId="6D304515" w14:textId="77777777" w:rsidR="003B091E" w:rsidRPr="00F3405C" w:rsidRDefault="003B091E" w:rsidP="007D6892">
      <w:pPr>
        <w:pStyle w:val="ListParagraph"/>
        <w:numPr>
          <w:ilvl w:val="0"/>
          <w:numId w:val="34"/>
        </w:numPr>
        <w:spacing w:line="276" w:lineRule="auto"/>
        <w:contextualSpacing/>
        <w:rPr>
          <w:rFonts w:ascii="Arial" w:hAnsi="Arial" w:cs="Arial"/>
          <w:sz w:val="22"/>
          <w:szCs w:val="22"/>
        </w:rPr>
      </w:pPr>
      <w:r w:rsidRPr="00F3405C">
        <w:rPr>
          <w:rFonts w:ascii="Arial" w:hAnsi="Arial" w:cs="Arial"/>
          <w:sz w:val="22"/>
          <w:szCs w:val="22"/>
        </w:rPr>
        <w:t>Energy saving and EE Plan developed by the entity of SER following the energy audit as well as any amendments to the Plan;</w:t>
      </w:r>
    </w:p>
    <w:p w14:paraId="6FD73B2D" w14:textId="77777777" w:rsidR="003B091E" w:rsidRPr="00F3405C" w:rsidRDefault="003B091E" w:rsidP="007D6892">
      <w:pPr>
        <w:pStyle w:val="ListParagraph"/>
        <w:numPr>
          <w:ilvl w:val="0"/>
          <w:numId w:val="34"/>
        </w:numPr>
        <w:spacing w:line="276" w:lineRule="auto"/>
        <w:contextualSpacing/>
        <w:rPr>
          <w:rFonts w:ascii="Arial" w:hAnsi="Arial" w:cs="Arial"/>
          <w:sz w:val="22"/>
          <w:szCs w:val="22"/>
        </w:rPr>
      </w:pPr>
      <w:r w:rsidRPr="00F3405C">
        <w:rPr>
          <w:rFonts w:ascii="Arial" w:hAnsi="Arial" w:cs="Arial"/>
          <w:sz w:val="22"/>
          <w:szCs w:val="22"/>
        </w:rPr>
        <w:t>Achieved results of the Energy saving and EE Plan developed by the entity of SER following the energy audit during the reporting period;</w:t>
      </w:r>
    </w:p>
    <w:p w14:paraId="2F0613A0" w14:textId="77777777" w:rsidR="003B091E" w:rsidRPr="00F3405C" w:rsidRDefault="003B091E" w:rsidP="007D6892">
      <w:pPr>
        <w:pStyle w:val="ListParagraph"/>
        <w:numPr>
          <w:ilvl w:val="0"/>
          <w:numId w:val="34"/>
        </w:numPr>
        <w:spacing w:line="276" w:lineRule="auto"/>
        <w:contextualSpacing/>
        <w:rPr>
          <w:rFonts w:ascii="Arial" w:hAnsi="Arial" w:cs="Arial"/>
          <w:sz w:val="22"/>
          <w:szCs w:val="22"/>
        </w:rPr>
      </w:pPr>
      <w:r w:rsidRPr="00F3405C">
        <w:rPr>
          <w:rFonts w:ascii="Arial" w:hAnsi="Arial" w:cs="Arial"/>
          <w:sz w:val="22"/>
          <w:szCs w:val="22"/>
        </w:rPr>
        <w:t>Actual energy use per unit of production and/or use of energy resources for heating per unit of area of buildings/facilities;</w:t>
      </w:r>
    </w:p>
    <w:p w14:paraId="172BB8B8" w14:textId="77777777" w:rsidR="003B091E" w:rsidRPr="00F3405C" w:rsidRDefault="003B091E" w:rsidP="007D6892">
      <w:pPr>
        <w:pStyle w:val="ListParagraph"/>
        <w:numPr>
          <w:ilvl w:val="0"/>
          <w:numId w:val="34"/>
        </w:numPr>
        <w:spacing w:line="276" w:lineRule="auto"/>
        <w:contextualSpacing/>
        <w:rPr>
          <w:rFonts w:ascii="Arial" w:hAnsi="Arial" w:cs="Arial"/>
          <w:sz w:val="22"/>
          <w:szCs w:val="22"/>
        </w:rPr>
      </w:pPr>
      <w:r w:rsidRPr="00F3405C">
        <w:rPr>
          <w:rFonts w:ascii="Arial" w:hAnsi="Arial" w:cs="Arial"/>
          <w:sz w:val="22"/>
          <w:szCs w:val="22"/>
        </w:rPr>
        <w:t>A copy of energy audit;</w:t>
      </w:r>
    </w:p>
    <w:p w14:paraId="035A2B49" w14:textId="77777777" w:rsidR="003B091E" w:rsidRPr="00F3405C" w:rsidRDefault="003B091E" w:rsidP="007D6892">
      <w:pPr>
        <w:pStyle w:val="ListParagraph"/>
        <w:numPr>
          <w:ilvl w:val="0"/>
          <w:numId w:val="34"/>
        </w:numPr>
        <w:spacing w:line="276" w:lineRule="auto"/>
        <w:contextualSpacing/>
        <w:rPr>
          <w:rFonts w:ascii="Arial" w:hAnsi="Arial" w:cs="Arial"/>
          <w:sz w:val="22"/>
          <w:szCs w:val="22"/>
        </w:rPr>
      </w:pPr>
      <w:r w:rsidRPr="00F3405C">
        <w:rPr>
          <w:rFonts w:ascii="Arial" w:hAnsi="Arial" w:cs="Arial"/>
          <w:sz w:val="22"/>
          <w:szCs w:val="22"/>
        </w:rPr>
        <w:t>A note on the coverage by automated metering devices of energy use</w:t>
      </w:r>
    </w:p>
    <w:p w14:paraId="353B4B17" w14:textId="77777777" w:rsidR="00382814" w:rsidRDefault="00382814" w:rsidP="00905B58">
      <w:pPr>
        <w:spacing w:line="276" w:lineRule="auto"/>
        <w:ind w:left="720"/>
        <w:rPr>
          <w:rFonts w:cs="Arial"/>
          <w:szCs w:val="22"/>
        </w:rPr>
      </w:pPr>
    </w:p>
    <w:p w14:paraId="3EBC7457" w14:textId="77777777" w:rsidR="003B091E" w:rsidRDefault="000F3C84" w:rsidP="004C3956">
      <w:pPr>
        <w:spacing w:line="276" w:lineRule="auto"/>
        <w:ind w:left="720"/>
        <w:jc w:val="left"/>
        <w:rPr>
          <w:rFonts w:cs="Arial"/>
          <w:szCs w:val="22"/>
        </w:rPr>
      </w:pPr>
      <w:r w:rsidRPr="000F3C84">
        <w:rPr>
          <w:rFonts w:cs="Arial"/>
          <w:szCs w:val="22"/>
        </w:rPr>
        <w:t>C</w:t>
      </w:r>
      <w:r w:rsidR="00DE0086">
        <w:rPr>
          <w:rFonts w:cs="Arial"/>
          <w:szCs w:val="22"/>
        </w:rPr>
        <w:t>ombined Heat and Power systems</w:t>
      </w:r>
      <w:r w:rsidRPr="000F3C84">
        <w:rPr>
          <w:rFonts w:cs="Arial"/>
          <w:szCs w:val="22"/>
        </w:rPr>
        <w:t xml:space="preserve"> and large boilers located in cities are also covered by the registry</w:t>
      </w:r>
      <w:r w:rsidR="00DE0086">
        <w:rPr>
          <w:rFonts w:cs="Arial"/>
          <w:szCs w:val="22"/>
        </w:rPr>
        <w:t xml:space="preserve"> in addition to </w:t>
      </w:r>
      <w:r w:rsidR="00DE0086" w:rsidRPr="000F3C84">
        <w:rPr>
          <w:rFonts w:cs="Arial"/>
          <w:szCs w:val="22"/>
        </w:rPr>
        <w:t>industrial enterprises and plants such as metallurgical, chemical, cement</w:t>
      </w:r>
      <w:r w:rsidRPr="000F3C84">
        <w:rPr>
          <w:rFonts w:cs="Arial"/>
          <w:szCs w:val="22"/>
        </w:rPr>
        <w:t xml:space="preserve">. </w:t>
      </w:r>
      <w:r w:rsidR="00DE0086">
        <w:rPr>
          <w:rFonts w:cs="Arial"/>
          <w:szCs w:val="22"/>
        </w:rPr>
        <w:t>Small</w:t>
      </w:r>
      <w:r w:rsidRPr="000F3C84">
        <w:rPr>
          <w:rFonts w:cs="Arial"/>
          <w:szCs w:val="22"/>
        </w:rPr>
        <w:t xml:space="preserve"> boilers, if they are part of </w:t>
      </w:r>
      <w:r w:rsidR="00DE0086">
        <w:rPr>
          <w:rFonts w:cs="Arial"/>
          <w:szCs w:val="22"/>
        </w:rPr>
        <w:t xml:space="preserve">a larger </w:t>
      </w:r>
      <w:r w:rsidRPr="000F3C84">
        <w:rPr>
          <w:rFonts w:cs="Arial"/>
          <w:szCs w:val="22"/>
        </w:rPr>
        <w:t>city network</w:t>
      </w:r>
      <w:r w:rsidR="00DE0086">
        <w:rPr>
          <w:rFonts w:cs="Arial"/>
          <w:szCs w:val="22"/>
        </w:rPr>
        <w:t xml:space="preserve"> that exceeds the </w:t>
      </w:r>
      <w:r w:rsidR="00DE0086" w:rsidRPr="0078397E">
        <w:rPr>
          <w:rStyle w:val="hps"/>
          <w:rFonts w:cs="Arial"/>
          <w:szCs w:val="22"/>
        </w:rPr>
        <w:t>1</w:t>
      </w:r>
      <w:r w:rsidR="00DE0086">
        <w:rPr>
          <w:rStyle w:val="hps"/>
          <w:rFonts w:cs="Arial"/>
          <w:szCs w:val="22"/>
        </w:rPr>
        <w:t>,</w:t>
      </w:r>
      <w:r w:rsidR="00DE0086" w:rsidRPr="0078397E">
        <w:rPr>
          <w:rStyle w:val="hps"/>
          <w:rFonts w:cs="Arial"/>
          <w:szCs w:val="22"/>
        </w:rPr>
        <w:t>5</w:t>
      </w:r>
      <w:r w:rsidR="00DE0086">
        <w:rPr>
          <w:rStyle w:val="hps"/>
          <w:rFonts w:cs="Arial"/>
          <w:szCs w:val="22"/>
        </w:rPr>
        <w:t>00</w:t>
      </w:r>
      <w:r w:rsidR="00DE0086" w:rsidRPr="0078397E">
        <w:rPr>
          <w:rFonts w:cs="Arial"/>
          <w:szCs w:val="22"/>
        </w:rPr>
        <w:t xml:space="preserve"> </w:t>
      </w:r>
      <w:r w:rsidR="00DE0086" w:rsidRPr="0078397E">
        <w:rPr>
          <w:rStyle w:val="hps"/>
          <w:rFonts w:cs="Arial"/>
          <w:szCs w:val="22"/>
        </w:rPr>
        <w:t>toe</w:t>
      </w:r>
      <w:r w:rsidR="00DE0086" w:rsidRPr="0078397E">
        <w:rPr>
          <w:rFonts w:cs="Arial"/>
          <w:szCs w:val="22"/>
        </w:rPr>
        <w:t xml:space="preserve"> </w:t>
      </w:r>
      <w:r w:rsidR="00DE0086" w:rsidRPr="0078397E">
        <w:rPr>
          <w:rStyle w:val="hps"/>
          <w:rFonts w:cs="Arial"/>
          <w:szCs w:val="22"/>
        </w:rPr>
        <w:t>per year</w:t>
      </w:r>
      <w:r w:rsidR="00DE0086">
        <w:rPr>
          <w:rStyle w:val="hps"/>
          <w:rFonts w:cs="Arial"/>
          <w:szCs w:val="22"/>
        </w:rPr>
        <w:t xml:space="preserve"> threshold</w:t>
      </w:r>
      <w:r>
        <w:rPr>
          <w:rFonts w:cs="Arial"/>
          <w:szCs w:val="22"/>
        </w:rPr>
        <w:t xml:space="preserve"> </w:t>
      </w:r>
      <w:r w:rsidR="00DE0086">
        <w:rPr>
          <w:rFonts w:cs="Arial"/>
          <w:szCs w:val="22"/>
        </w:rPr>
        <w:t>-</w:t>
      </w:r>
      <w:r>
        <w:rPr>
          <w:rFonts w:cs="Arial"/>
          <w:szCs w:val="22"/>
        </w:rPr>
        <w:t xml:space="preserve"> </w:t>
      </w:r>
      <w:r w:rsidRPr="000F3C84">
        <w:rPr>
          <w:rFonts w:cs="Arial"/>
          <w:szCs w:val="22"/>
        </w:rPr>
        <w:t xml:space="preserve">even </w:t>
      </w:r>
      <w:r>
        <w:rPr>
          <w:rFonts w:cs="Arial"/>
          <w:szCs w:val="22"/>
        </w:rPr>
        <w:t>if they are</w:t>
      </w:r>
      <w:r w:rsidRPr="000F3C84">
        <w:rPr>
          <w:rFonts w:cs="Arial"/>
          <w:szCs w:val="22"/>
        </w:rPr>
        <w:t xml:space="preserve"> not connected to the city’s central network</w:t>
      </w:r>
      <w:r w:rsidR="00DE0086">
        <w:rPr>
          <w:rFonts w:cs="Arial"/>
          <w:szCs w:val="22"/>
        </w:rPr>
        <w:t xml:space="preserve"> – are</w:t>
      </w:r>
      <w:r w:rsidRPr="000F3C84">
        <w:rPr>
          <w:rFonts w:cs="Arial"/>
          <w:szCs w:val="22"/>
        </w:rPr>
        <w:t xml:space="preserve"> also subject to monitoring and reporting under SER and are regarded as part of the city’s heat supply network. This is true for all cities and towns. </w:t>
      </w:r>
      <w:r>
        <w:rPr>
          <w:rFonts w:cs="Arial"/>
          <w:szCs w:val="22"/>
        </w:rPr>
        <w:t xml:space="preserve">The </w:t>
      </w:r>
      <w:r w:rsidRPr="000F3C84">
        <w:rPr>
          <w:rFonts w:cs="Arial"/>
          <w:szCs w:val="22"/>
        </w:rPr>
        <w:t>SER covers urban level power</w:t>
      </w:r>
      <w:r w:rsidR="007910E4">
        <w:rPr>
          <w:rFonts w:cs="Arial"/>
          <w:szCs w:val="22"/>
        </w:rPr>
        <w:t xml:space="preserve"> and heat</w:t>
      </w:r>
      <w:r w:rsidRPr="000F3C84">
        <w:rPr>
          <w:rFonts w:cs="Arial"/>
          <w:szCs w:val="22"/>
        </w:rPr>
        <w:t xml:space="preserve"> generating </w:t>
      </w:r>
      <w:r w:rsidRPr="000F3C84">
        <w:rPr>
          <w:rFonts w:cs="Arial"/>
          <w:szCs w:val="22"/>
        </w:rPr>
        <w:lastRenderedPageBreak/>
        <w:t>facilities, which partially overlaps with the project’s scope.  Urban transport, waste management and water sectors are not subject to SER. In addition to major industries, SER includes public entities like government buildings, schools, hospitals, etc. for the purpose of energy audits and energy saving plans</w:t>
      </w:r>
      <w:r>
        <w:rPr>
          <w:rFonts w:cs="Arial"/>
          <w:szCs w:val="22"/>
        </w:rPr>
        <w:t xml:space="preserve">. </w:t>
      </w:r>
      <w:r w:rsidR="003B091E" w:rsidRPr="00F3405C">
        <w:rPr>
          <w:rFonts w:cs="Arial"/>
          <w:szCs w:val="22"/>
        </w:rPr>
        <w:t xml:space="preserve">As of December 2013, </w:t>
      </w:r>
      <w:r w:rsidR="00C04A12">
        <w:rPr>
          <w:rFonts w:cs="Arial"/>
          <w:szCs w:val="22"/>
        </w:rPr>
        <w:t xml:space="preserve">the </w:t>
      </w:r>
      <w:r w:rsidR="003B091E" w:rsidRPr="00F3405C">
        <w:rPr>
          <w:rFonts w:cs="Arial"/>
          <w:szCs w:val="22"/>
        </w:rPr>
        <w:t>SER include</w:t>
      </w:r>
      <w:r w:rsidR="00C04A12">
        <w:rPr>
          <w:rFonts w:cs="Arial"/>
          <w:szCs w:val="22"/>
        </w:rPr>
        <w:t>d</w:t>
      </w:r>
      <w:r w:rsidR="003B091E" w:rsidRPr="00F3405C">
        <w:rPr>
          <w:rFonts w:cs="Arial"/>
          <w:szCs w:val="22"/>
        </w:rPr>
        <w:t xml:space="preserve"> 11,802 entities</w:t>
      </w:r>
      <w:r w:rsidR="00DE0086">
        <w:rPr>
          <w:rFonts w:cs="Arial"/>
          <w:szCs w:val="22"/>
        </w:rPr>
        <w:t>.</w:t>
      </w:r>
      <w:r w:rsidR="003B091E" w:rsidRPr="00F3405C">
        <w:rPr>
          <w:rFonts w:cs="Arial"/>
          <w:szCs w:val="22"/>
        </w:rPr>
        <w:t xml:space="preserve"> Based on the data of the SER, the authorized body (</w:t>
      </w:r>
      <w:r w:rsidR="00DE0086">
        <w:rPr>
          <w:rFonts w:cs="Arial"/>
          <w:szCs w:val="22"/>
        </w:rPr>
        <w:t xml:space="preserve">the </w:t>
      </w:r>
      <w:r w:rsidR="003B091E" w:rsidRPr="00F3405C">
        <w:rPr>
          <w:rFonts w:cs="Arial"/>
          <w:szCs w:val="22"/>
        </w:rPr>
        <w:t>Ministry of Industry and Trade) provides an analysis and forecast of energy intensity of the Gross Domestic Product and efficiency of energy use in the Republic of Kazakhstan.</w:t>
      </w:r>
    </w:p>
    <w:p w14:paraId="5EC81647" w14:textId="77777777" w:rsidR="0090681D" w:rsidRPr="005B5602" w:rsidRDefault="000F3C84" w:rsidP="00E22E93">
      <w:pPr>
        <w:pStyle w:val="Bullets1st"/>
        <w:numPr>
          <w:ilvl w:val="0"/>
          <w:numId w:val="0"/>
        </w:numPr>
        <w:ind w:left="720"/>
      </w:pPr>
      <w:r>
        <w:rPr>
          <w:lang w:val="en-AU"/>
        </w:rPr>
        <w:t xml:space="preserve">Bylaws under the </w:t>
      </w:r>
      <w:r w:rsidR="0090681D" w:rsidRPr="005B5602">
        <w:rPr>
          <w:lang w:val="en-AU"/>
        </w:rPr>
        <w:t xml:space="preserve">Law </w:t>
      </w:r>
      <w:r>
        <w:rPr>
          <w:lang w:val="en-AU"/>
        </w:rPr>
        <w:t xml:space="preserve">on Energy Saving </w:t>
      </w:r>
      <w:r>
        <w:t>mandate municipalities to develop energy saving plans as part of city-level development plans</w:t>
      </w:r>
      <w:r w:rsidR="006765DE" w:rsidRPr="005B5602">
        <w:rPr>
          <w:rStyle w:val="FootnoteReference"/>
          <w:lang w:val="en-AU"/>
        </w:rPr>
        <w:footnoteReference w:id="9"/>
      </w:r>
      <w:r w:rsidR="0090681D" w:rsidRPr="005B5602">
        <w:rPr>
          <w:lang w:val="en-AU"/>
        </w:rPr>
        <w:t xml:space="preserve">, </w:t>
      </w:r>
      <w:r>
        <w:rPr>
          <w:lang w:val="en-AU"/>
        </w:rPr>
        <w:t>and</w:t>
      </w:r>
      <w:r w:rsidR="0090681D" w:rsidRPr="005B5602">
        <w:rPr>
          <w:lang w:val="en-AU"/>
        </w:rPr>
        <w:t xml:space="preserve">, under this Law </w:t>
      </w:r>
      <w:r w:rsidR="0090681D">
        <w:rPr>
          <w:lang w:val="en-AU"/>
        </w:rPr>
        <w:t>a</w:t>
      </w:r>
      <w:r w:rsidR="0090681D" w:rsidRPr="005B5602">
        <w:rPr>
          <w:lang w:val="en-AU"/>
        </w:rPr>
        <w:t xml:space="preserve"> Governmental Decree was adopted on 15 August 2012, which establishes the mechanism for evaluating the activities of the local authorities in the field of energy efficiency and savings. The local authorities are </w:t>
      </w:r>
      <w:r w:rsidR="0090681D" w:rsidRPr="005B5602">
        <w:rPr>
          <w:lang w:val="en-AU"/>
        </w:rPr>
        <w:lastRenderedPageBreak/>
        <w:t xml:space="preserve">obliged </w:t>
      </w:r>
      <w:r w:rsidR="00DE0086">
        <w:rPr>
          <w:lang w:val="en-AU"/>
        </w:rPr>
        <w:t xml:space="preserve">under this law </w:t>
      </w:r>
      <w:r w:rsidR="0090681D" w:rsidRPr="005B5602">
        <w:rPr>
          <w:lang w:val="en-AU"/>
        </w:rPr>
        <w:t xml:space="preserve">to submit </w:t>
      </w:r>
      <w:r w:rsidR="00DE0086">
        <w:rPr>
          <w:lang w:val="en-AU"/>
        </w:rPr>
        <w:t xml:space="preserve">an </w:t>
      </w:r>
      <w:r w:rsidR="0090681D" w:rsidRPr="005B5602">
        <w:rPr>
          <w:lang w:val="en-AU"/>
        </w:rPr>
        <w:t>annual report for 8 determined criteria (</w:t>
      </w:r>
      <w:r w:rsidR="00DE0086">
        <w:rPr>
          <w:lang w:val="en-AU"/>
        </w:rPr>
        <w:t>i.e.</w:t>
      </w:r>
      <w:r w:rsidR="0090681D" w:rsidRPr="005B5602">
        <w:rPr>
          <w:lang w:val="en-AU"/>
        </w:rPr>
        <w:t xml:space="preserve"> policies in the field of energy efficiency, amount of energy meters purchased and installed, energy audits for public buildings, thermal modernisation of buildings, modernisation of street lighting, etc.)</w:t>
      </w:r>
      <w:r w:rsidR="004C3956">
        <w:rPr>
          <w:lang w:val="en-AU"/>
        </w:rPr>
        <w:t>.</w:t>
      </w:r>
    </w:p>
    <w:p w14:paraId="3D0B987B" w14:textId="77777777" w:rsidR="00185667" w:rsidRDefault="007D60EA" w:rsidP="007D6892">
      <w:pPr>
        <w:pStyle w:val="ListParagraph"/>
        <w:numPr>
          <w:ilvl w:val="0"/>
          <w:numId w:val="35"/>
        </w:numPr>
        <w:spacing w:line="276" w:lineRule="auto"/>
        <w:rPr>
          <w:rFonts w:ascii="Arial" w:hAnsi="Arial" w:cs="Arial"/>
          <w:sz w:val="22"/>
          <w:szCs w:val="22"/>
        </w:rPr>
      </w:pPr>
      <w:r w:rsidRPr="00053BC5">
        <w:rPr>
          <w:rFonts w:ascii="Arial" w:hAnsi="Arial" w:cs="Arial"/>
          <w:b/>
          <w:sz w:val="22"/>
          <w:szCs w:val="22"/>
        </w:rPr>
        <w:t>Law on Renewable Energy Sources (RES Law):</w:t>
      </w:r>
      <w:r w:rsidRPr="00053BC5">
        <w:rPr>
          <w:rFonts w:ascii="Arial" w:hAnsi="Arial" w:cs="Arial"/>
          <w:sz w:val="22"/>
          <w:szCs w:val="22"/>
        </w:rPr>
        <w:t xml:space="preserve"> Adopted in 2009, the RES Law is another important element of the national climate change mitigation policy in Kazakhstan. The Law has a number of provisions specifically aimed at promoting the use of RES in cities, and their integration in urban development plans and strategies. First, the Law requires that urban development plans take into consideration the use of RES resources for power and heat supply and specifically calls for the development of programs aimed at RES-based electrification of remote urban settlements where centralized grid supply is not economically feasible. Also, according to the Law, local authorities are responsible for approval of the construction of RES plants with overall capacity below 25MW and RES-based district heating facilities.</w:t>
      </w:r>
    </w:p>
    <w:p w14:paraId="00E575BD" w14:textId="00CBFBC8" w:rsidR="00220AA1" w:rsidRPr="000B41D7" w:rsidRDefault="00220AA1" w:rsidP="007D6892">
      <w:pPr>
        <w:pStyle w:val="ListParagraph"/>
        <w:numPr>
          <w:ilvl w:val="0"/>
          <w:numId w:val="35"/>
        </w:numPr>
        <w:spacing w:line="276" w:lineRule="auto"/>
        <w:rPr>
          <w:rFonts w:ascii="Arial" w:hAnsi="Arial" w:cs="Arial"/>
          <w:sz w:val="22"/>
          <w:szCs w:val="22"/>
        </w:rPr>
      </w:pPr>
      <w:r w:rsidRPr="000B41D7">
        <w:rPr>
          <w:rFonts w:ascii="Arial" w:hAnsi="Arial" w:cs="Arial"/>
          <w:sz w:val="22"/>
          <w:szCs w:val="22"/>
        </w:rPr>
        <w:t>Concerning transport infrastructure and management</w:t>
      </w:r>
      <w:r w:rsidRPr="00471560">
        <w:rPr>
          <w:rFonts w:ascii="Arial" w:hAnsi="Arial" w:cs="Arial"/>
          <w:b/>
          <w:sz w:val="22"/>
          <w:szCs w:val="22"/>
        </w:rPr>
        <w:t>, the Law on Transport dd 21</w:t>
      </w:r>
      <w:r w:rsidRPr="000B41D7">
        <w:rPr>
          <w:rFonts w:ascii="Arial" w:hAnsi="Arial" w:cs="Arial"/>
          <w:b/>
          <w:sz w:val="22"/>
          <w:szCs w:val="22"/>
        </w:rPr>
        <w:t xml:space="preserve"> September 1994 № 156-XIII (with changes and amendments as of 12 January 2012)</w:t>
      </w:r>
      <w:r w:rsidRPr="00A42AEC">
        <w:rPr>
          <w:rFonts w:ascii="Arial" w:hAnsi="Arial" w:cs="Arial"/>
          <w:sz w:val="22"/>
          <w:szCs w:val="22"/>
        </w:rPr>
        <w:t xml:space="preserve">, sets forth </w:t>
      </w:r>
      <w:r>
        <w:rPr>
          <w:rFonts w:ascii="Arial" w:hAnsi="Arial" w:cs="Arial"/>
          <w:sz w:val="22"/>
          <w:szCs w:val="22"/>
        </w:rPr>
        <w:t xml:space="preserve">the legal, economic and institutional framework that covers all types of transport including urban transport. In particular, the </w:t>
      </w:r>
      <w:r>
        <w:rPr>
          <w:rFonts w:ascii="Arial" w:hAnsi="Arial" w:cs="Arial"/>
          <w:sz w:val="22"/>
          <w:szCs w:val="22"/>
        </w:rPr>
        <w:lastRenderedPageBreak/>
        <w:t xml:space="preserve">law determines responsibilities of city and oblast akimats in regard to public transport, rules and conditions for transport service provision, responsibilities of transport companies, transport safety requirements, tariff policies, rights of passengers, state regulation and transport oversight. Also, relevant transport regulations include the Law on road traffic safety </w:t>
      </w:r>
      <w:r w:rsidRPr="00637121">
        <w:rPr>
          <w:rFonts w:ascii="Arial" w:hAnsi="Arial" w:cs="Arial"/>
          <w:sz w:val="22"/>
          <w:szCs w:val="22"/>
          <w:lang w:val="en-GB"/>
        </w:rPr>
        <w:t>№</w:t>
      </w:r>
      <w:r>
        <w:rPr>
          <w:rFonts w:ascii="Arial" w:hAnsi="Arial" w:cs="Arial"/>
          <w:sz w:val="22"/>
          <w:szCs w:val="22"/>
        </w:rPr>
        <w:t xml:space="preserve">29 (dd 15 July 1996) and the Law on automobile transport </w:t>
      </w:r>
      <w:r w:rsidRPr="00FF0AAE">
        <w:rPr>
          <w:rFonts w:ascii="Arial" w:hAnsi="Arial" w:cs="Arial"/>
          <w:sz w:val="22"/>
          <w:szCs w:val="22"/>
        </w:rPr>
        <w:t xml:space="preserve">№ 476-I </w:t>
      </w:r>
      <w:r>
        <w:rPr>
          <w:rFonts w:ascii="Arial" w:hAnsi="Arial" w:cs="Arial"/>
          <w:sz w:val="22"/>
          <w:szCs w:val="22"/>
        </w:rPr>
        <w:t>(dd 04 July 2013 with changes and amendments as of 15 July 2011).</w:t>
      </w:r>
    </w:p>
    <w:p w14:paraId="7DE278F9" w14:textId="77777777" w:rsidR="00654F52" w:rsidRDefault="00654F52" w:rsidP="007D6892">
      <w:pPr>
        <w:pStyle w:val="ListParagraph"/>
        <w:numPr>
          <w:ilvl w:val="0"/>
          <w:numId w:val="44"/>
        </w:numPr>
        <w:spacing w:line="276" w:lineRule="auto"/>
        <w:contextualSpacing/>
        <w:rPr>
          <w:rFonts w:ascii="Arial" w:hAnsi="Arial" w:cs="Arial"/>
          <w:sz w:val="22"/>
          <w:szCs w:val="22"/>
        </w:rPr>
      </w:pPr>
      <w:r w:rsidRPr="00654F52">
        <w:rPr>
          <w:rFonts w:ascii="Arial" w:hAnsi="Arial" w:cs="Arial"/>
          <w:sz w:val="22"/>
          <w:szCs w:val="22"/>
        </w:rPr>
        <w:t xml:space="preserve">Concerning solid waste management, the </w:t>
      </w:r>
      <w:r w:rsidRPr="00654F52">
        <w:rPr>
          <w:rFonts w:ascii="Arial" w:hAnsi="Arial" w:cs="Arial"/>
          <w:b/>
          <w:sz w:val="22"/>
          <w:szCs w:val="22"/>
        </w:rPr>
        <w:t xml:space="preserve">Environmental Code of the Republic of Kazakhstan dd 09 Jan 2007 </w:t>
      </w:r>
      <w:r w:rsidRPr="00654F52">
        <w:rPr>
          <w:rFonts w:ascii="Arial" w:hAnsi="Arial" w:cs="Arial"/>
          <w:b/>
          <w:sz w:val="22"/>
          <w:szCs w:val="22"/>
          <w:lang w:val="en-GB"/>
        </w:rPr>
        <w:t xml:space="preserve">№ </w:t>
      </w:r>
      <w:r w:rsidRPr="00654F52">
        <w:rPr>
          <w:rFonts w:ascii="Arial" w:hAnsi="Arial" w:cs="Arial"/>
          <w:b/>
          <w:sz w:val="22"/>
          <w:szCs w:val="22"/>
        </w:rPr>
        <w:t>212-III (with changes and amendments as of 11 April 2014)</w:t>
      </w:r>
      <w:r w:rsidRPr="00654F52">
        <w:rPr>
          <w:rFonts w:ascii="Arial" w:hAnsi="Arial" w:cs="Arial"/>
          <w:sz w:val="22"/>
          <w:szCs w:val="22"/>
        </w:rPr>
        <w:t>, sets out Institutional aspects of municipal solid waste management (Chapter 41, article 292), in particular describ</w:t>
      </w:r>
      <w:r>
        <w:rPr>
          <w:rFonts w:ascii="Arial" w:hAnsi="Arial" w:cs="Arial"/>
          <w:sz w:val="22"/>
          <w:szCs w:val="22"/>
        </w:rPr>
        <w:t>ing</w:t>
      </w:r>
      <w:r w:rsidRPr="00654F52">
        <w:rPr>
          <w:rFonts w:ascii="Arial" w:hAnsi="Arial" w:cs="Arial"/>
          <w:sz w:val="22"/>
          <w:szCs w:val="22"/>
        </w:rPr>
        <w:t xml:space="preserve"> responsibilities of local governments</w:t>
      </w:r>
      <w:r>
        <w:rPr>
          <w:rFonts w:ascii="Arial" w:hAnsi="Arial" w:cs="Arial"/>
          <w:sz w:val="22"/>
          <w:szCs w:val="22"/>
        </w:rPr>
        <w:t>, and the r</w:t>
      </w:r>
      <w:r w:rsidRPr="00654F52">
        <w:rPr>
          <w:rFonts w:ascii="Arial" w:hAnsi="Arial" w:cs="Arial"/>
          <w:sz w:val="22"/>
          <w:szCs w:val="22"/>
        </w:rPr>
        <w:t xml:space="preserve">esponsibilities and rights of waste producers </w:t>
      </w:r>
      <w:r>
        <w:rPr>
          <w:rFonts w:ascii="Arial" w:hAnsi="Arial" w:cs="Arial"/>
          <w:sz w:val="22"/>
          <w:szCs w:val="22"/>
        </w:rPr>
        <w:t>(</w:t>
      </w:r>
      <w:r w:rsidRPr="00654F52">
        <w:rPr>
          <w:rFonts w:ascii="Arial" w:hAnsi="Arial" w:cs="Arial"/>
          <w:sz w:val="22"/>
          <w:szCs w:val="22"/>
        </w:rPr>
        <w:t>article 283</w:t>
      </w:r>
      <w:r>
        <w:rPr>
          <w:rFonts w:ascii="Arial" w:hAnsi="Arial" w:cs="Arial"/>
          <w:sz w:val="22"/>
          <w:szCs w:val="22"/>
        </w:rPr>
        <w:t xml:space="preserve">). The Code, together with the </w:t>
      </w:r>
      <w:r w:rsidRPr="00654F52">
        <w:rPr>
          <w:rFonts w:ascii="Arial" w:hAnsi="Arial" w:cs="Arial"/>
          <w:sz w:val="22"/>
          <w:szCs w:val="22"/>
        </w:rPr>
        <w:t xml:space="preserve">Law on Self-Governance determine umbrella competences. The </w:t>
      </w:r>
      <w:r w:rsidR="00F32236">
        <w:rPr>
          <w:rFonts w:ascii="Arial" w:hAnsi="Arial" w:cs="Arial"/>
          <w:sz w:val="22"/>
          <w:szCs w:val="22"/>
        </w:rPr>
        <w:t>Minicipalities (</w:t>
      </w:r>
      <w:r w:rsidRPr="00654F52">
        <w:rPr>
          <w:rFonts w:ascii="Arial" w:hAnsi="Arial" w:cs="Arial"/>
          <w:sz w:val="22"/>
          <w:szCs w:val="22"/>
        </w:rPr>
        <w:t>Akimats</w:t>
      </w:r>
      <w:r w:rsidR="00F32236">
        <w:rPr>
          <w:rFonts w:ascii="Arial" w:hAnsi="Arial" w:cs="Arial"/>
          <w:sz w:val="22"/>
          <w:szCs w:val="22"/>
        </w:rPr>
        <w:t>)</w:t>
      </w:r>
      <w:r w:rsidRPr="00654F52">
        <w:rPr>
          <w:rFonts w:ascii="Arial" w:hAnsi="Arial" w:cs="Arial"/>
          <w:sz w:val="22"/>
          <w:szCs w:val="22"/>
        </w:rPr>
        <w:t>, for example, are empowered to enact legislation (regulations) and are obliged to monitor the companies providing waste collection services</w:t>
      </w:r>
      <w:r w:rsidR="00F32236">
        <w:rPr>
          <w:rFonts w:ascii="Arial" w:hAnsi="Arial" w:cs="Arial"/>
          <w:sz w:val="22"/>
          <w:szCs w:val="22"/>
        </w:rPr>
        <w:t xml:space="preserve">, although </w:t>
      </w:r>
      <w:r w:rsidR="00F32236" w:rsidRPr="00F32236">
        <w:rPr>
          <w:rFonts w:ascii="Arial" w:hAnsi="Arial" w:cs="Arial"/>
          <w:sz w:val="22"/>
          <w:szCs w:val="22"/>
        </w:rPr>
        <w:t>it has no contractual relationships with any of the waste collection companies</w:t>
      </w:r>
      <w:r w:rsidRPr="00654F52">
        <w:rPr>
          <w:rFonts w:ascii="Arial" w:hAnsi="Arial" w:cs="Arial"/>
          <w:sz w:val="22"/>
          <w:szCs w:val="22"/>
        </w:rPr>
        <w:t>.</w:t>
      </w:r>
      <w:r w:rsidR="00F32236">
        <w:rPr>
          <w:rFonts w:ascii="Arial" w:hAnsi="Arial" w:cs="Arial"/>
          <w:sz w:val="22"/>
          <w:szCs w:val="22"/>
        </w:rPr>
        <w:t xml:space="preserve"> </w:t>
      </w:r>
      <w:r w:rsidR="00F32236" w:rsidRPr="00F32236">
        <w:rPr>
          <w:rFonts w:ascii="Arial" w:hAnsi="Arial" w:cs="Arial"/>
          <w:sz w:val="22"/>
          <w:szCs w:val="22"/>
        </w:rPr>
        <w:t xml:space="preserve">Municipal administrations bear the overall responsibility for organising the waste management services, under the control of regulatory institutions. The Natural Resource and Ecology Administration is the focal point for waste management, </w:t>
      </w:r>
      <w:r w:rsidR="00F32236" w:rsidRPr="00F32236">
        <w:rPr>
          <w:rFonts w:ascii="Arial" w:hAnsi="Arial" w:cs="Arial"/>
          <w:sz w:val="22"/>
          <w:szCs w:val="22"/>
        </w:rPr>
        <w:lastRenderedPageBreak/>
        <w:t>being often the owner of the public waste collection companies and the landfill sites (like in Astana where Astana Akimat is the owner of Gorkommunkhoz). Akimats are actively involved in the planning and strategic decisions concerning landfill operations and waste collection services provided by public companies.</w:t>
      </w:r>
    </w:p>
    <w:p w14:paraId="7447D3D4" w14:textId="77777777" w:rsidR="00F32236" w:rsidRPr="004C3956" w:rsidRDefault="00F32236" w:rsidP="004C3956">
      <w:pPr>
        <w:contextualSpacing/>
        <w:rPr>
          <w:rFonts w:cs="Arial"/>
          <w:szCs w:val="22"/>
        </w:rPr>
      </w:pPr>
    </w:p>
    <w:p w14:paraId="02965CA3" w14:textId="77777777" w:rsidR="001C7564" w:rsidRPr="001C7564" w:rsidRDefault="001C7564" w:rsidP="001C7564">
      <w:pPr>
        <w:pStyle w:val="Bodynumbered"/>
        <w:numPr>
          <w:ilvl w:val="0"/>
          <w:numId w:val="0"/>
        </w:numPr>
        <w:rPr>
          <w:b/>
          <w:lang w:eastAsia="ru-RU"/>
        </w:rPr>
      </w:pPr>
      <w:r>
        <w:rPr>
          <w:b/>
          <w:lang w:eastAsia="ru-RU"/>
        </w:rPr>
        <w:t xml:space="preserve">National programs </w:t>
      </w:r>
      <w:r w:rsidRPr="001C7564">
        <w:rPr>
          <w:b/>
          <w:lang w:eastAsia="ru-RU"/>
        </w:rPr>
        <w:t>on Low-Carbon Urban Development</w:t>
      </w:r>
    </w:p>
    <w:p w14:paraId="5D6C8CFD" w14:textId="77777777" w:rsidR="001C7564" w:rsidRPr="001176E9" w:rsidRDefault="0005443D" w:rsidP="006765DE">
      <w:pPr>
        <w:pStyle w:val="Bodynumbered"/>
        <w:rPr>
          <w:lang w:eastAsia="ru-RU"/>
        </w:rPr>
      </w:pPr>
      <w:r w:rsidRPr="001176E9">
        <w:rPr>
          <w:lang w:eastAsia="ru-RU"/>
        </w:rPr>
        <w:t>A number of relevant national programs contribute to the project baseline. These include:</w:t>
      </w:r>
    </w:p>
    <w:p w14:paraId="2869B376" w14:textId="77777777" w:rsidR="0090681D" w:rsidRPr="00053BC5" w:rsidRDefault="0090681D" w:rsidP="001C7564">
      <w:pPr>
        <w:pStyle w:val="Bullets1st"/>
        <w:rPr>
          <w:lang w:eastAsia="ru-RU"/>
        </w:rPr>
      </w:pPr>
      <w:r w:rsidRPr="0090681D">
        <w:rPr>
          <w:b/>
          <w:lang w:eastAsia="ru-RU"/>
        </w:rPr>
        <w:t xml:space="preserve">The </w:t>
      </w:r>
      <w:r w:rsidRPr="00FF3C5A">
        <w:rPr>
          <w:b/>
          <w:lang w:eastAsia="ru-RU"/>
        </w:rPr>
        <w:t>Energy Saving Program-2020</w:t>
      </w:r>
      <w:r w:rsidRPr="0090681D">
        <w:rPr>
          <w:b/>
          <w:lang w:eastAsia="ru-RU"/>
        </w:rPr>
        <w:t xml:space="preserve"> (Program 2020)</w:t>
      </w:r>
      <w:r w:rsidRPr="0005443D">
        <w:rPr>
          <w:lang w:eastAsia="ru-RU"/>
        </w:rPr>
        <w:t xml:space="preserve"> </w:t>
      </w:r>
      <w:r w:rsidR="0005443D" w:rsidRPr="0005443D">
        <w:rPr>
          <w:lang w:eastAsia="ru-RU"/>
        </w:rPr>
        <w:t xml:space="preserve">which </w:t>
      </w:r>
      <w:r w:rsidRPr="00053BC5">
        <w:rPr>
          <w:lang w:eastAsia="ru-RU"/>
        </w:rPr>
        <w:t>aims to mobilize US$ 6,570 million for energy savings consisting of US$ 0.8 million from the Republican Budget, US$ 27 million from local budgets and US$ 6,500 million from private sources</w:t>
      </w:r>
      <w:r w:rsidR="00905B58">
        <w:rPr>
          <w:lang w:eastAsia="ru-RU"/>
        </w:rPr>
        <w:t>.</w:t>
      </w:r>
      <w:r w:rsidRPr="00053BC5">
        <w:rPr>
          <w:lang w:eastAsia="ru-RU"/>
        </w:rPr>
        <w:t xml:space="preserve"> The program aims at reducing energy intensity of the Gross Domestic Product in the Republic of Kazakhstan and increasing energy efficiency through the reduced energy use and inefficient use of fuel and energy resources. Specifically concerning sustainable urban development, the Program 2020 targets (i) large-scale public awareness on energy efficiency issues, (ii) development and use of economic and non-economic mechanisms to motivate energy saving and energy efficiency, (iii) development of mechanisms for ESCO operation in the </w:t>
      </w:r>
      <w:r w:rsidRPr="00053BC5">
        <w:rPr>
          <w:lang w:eastAsia="ru-RU"/>
        </w:rPr>
        <w:lastRenderedPageBreak/>
        <w:t>country; (iv) personnel training on energy saving and energy efficiency; (v) reduced energy use by the transport sector; (vi) reduced per unit costs for generation of 1 kWh, 1 Gcal of heat and heat use per 1 m2 in the housing sector. The Program-2020 aims to reduce average energy consumption per 1 m2 by 30% and losses in the district heating network by 3.6%. In construction, it plans to ensure 100% of energy efficient construction starting 2015. In the transport sector, the Program has an indicator of reduced fuel use by 30%. In the public sector, the Program sets a target of reduced energy use by 25%. Efficiency in lighting is to be achieved through (i) reduced utility costs for electricity by 60%</w:t>
      </w:r>
      <w:r w:rsidR="000F3C84" w:rsidRPr="00905B58">
        <w:rPr>
          <w:vertAlign w:val="superscript"/>
        </w:rPr>
        <w:footnoteReference w:id="10"/>
      </w:r>
      <w:r w:rsidR="007A7744" w:rsidRPr="00053BC5">
        <w:rPr>
          <w:lang w:eastAsia="ru-RU"/>
        </w:rPr>
        <w:t xml:space="preserve"> </w:t>
      </w:r>
      <w:r w:rsidRPr="00053BC5">
        <w:rPr>
          <w:lang w:eastAsia="ru-RU"/>
        </w:rPr>
        <w:t>and (ii) 100% use of energy saving lamps. Also, the Program envisages the creation of 20 training centers for continuing education in energy conservation and efficiency.</w:t>
      </w:r>
    </w:p>
    <w:p w14:paraId="7A166F69" w14:textId="77777777" w:rsidR="0090681D" w:rsidRPr="00053BC5" w:rsidRDefault="0090681D" w:rsidP="0090681D">
      <w:pPr>
        <w:pStyle w:val="Bullets1st"/>
        <w:numPr>
          <w:ilvl w:val="0"/>
          <w:numId w:val="0"/>
        </w:numPr>
        <w:ind w:left="720"/>
      </w:pPr>
      <w:r w:rsidRPr="00053BC5">
        <w:t xml:space="preserve">A. On the </w:t>
      </w:r>
      <w:r w:rsidRPr="00053BC5">
        <w:rPr>
          <w:b/>
        </w:rPr>
        <w:t>energy efficient housing and utility sector</w:t>
      </w:r>
      <w:r w:rsidRPr="00053BC5">
        <w:t xml:space="preserve">, the Program focuses on the successful completion of thermal upgrade of residential buildings and rehabilitation of the engineering infrastructure. For this particular matter, the National Modernization Fund will be used as a financial mechanism for loans </w:t>
      </w:r>
      <w:r w:rsidRPr="00053BC5">
        <w:lastRenderedPageBreak/>
        <w:t>and leasing. The Fund will provide reimbursable loans and redemption leasing to utilities and the utility sector in general; attract private investments; assist with financial recovery of unprofitable enterprises and conduct a financial monitoring of investment projects.</w:t>
      </w:r>
    </w:p>
    <w:p w14:paraId="49BCFC2A" w14:textId="77777777" w:rsidR="0090681D" w:rsidRDefault="0090681D" w:rsidP="0090681D">
      <w:pPr>
        <w:pStyle w:val="Bullets1st"/>
        <w:numPr>
          <w:ilvl w:val="0"/>
          <w:numId w:val="0"/>
        </w:numPr>
        <w:ind w:left="720"/>
      </w:pPr>
      <w:r>
        <w:t xml:space="preserve">B. On </w:t>
      </w:r>
      <w:r>
        <w:rPr>
          <w:b/>
        </w:rPr>
        <w:t>energy efficient construction</w:t>
      </w:r>
      <w:r>
        <w:t>, the Program aims at making construction standards more stringent and introducing measures on green construction. Such measures include the revision of norms for energy use for newly constructed buildings, an inventory of energy efficient construction materials, goods and equipment to be used during the design of projects for construction of buildings and engineering infrastructure, promotion of class A and B buildings.</w:t>
      </w:r>
    </w:p>
    <w:p w14:paraId="7222BC2F" w14:textId="77777777" w:rsidR="0090681D" w:rsidRDefault="0090681D" w:rsidP="0090681D">
      <w:pPr>
        <w:pStyle w:val="Bullets1st"/>
        <w:numPr>
          <w:ilvl w:val="0"/>
          <w:numId w:val="0"/>
        </w:numPr>
        <w:ind w:left="720"/>
      </w:pPr>
      <w:r>
        <w:t xml:space="preserve">C. Among measures in achieving </w:t>
      </w:r>
      <w:r>
        <w:rPr>
          <w:b/>
        </w:rPr>
        <w:t>energy efficiency in the transport sector</w:t>
      </w:r>
      <w:r>
        <w:t>, the Program calls for (i) including elements of energy efficient transport infrastructure development into Regional Development Programs and (ii) developing financial incentives for consumers to buy fuel-efficient cars.</w:t>
      </w:r>
    </w:p>
    <w:p w14:paraId="399A4A9D" w14:textId="77777777" w:rsidR="0090681D" w:rsidRDefault="0090681D" w:rsidP="0090681D">
      <w:pPr>
        <w:pStyle w:val="Bullets1st"/>
        <w:numPr>
          <w:ilvl w:val="0"/>
          <w:numId w:val="0"/>
        </w:numPr>
        <w:ind w:left="720"/>
      </w:pPr>
      <w:r>
        <w:t xml:space="preserve">D. In the </w:t>
      </w:r>
      <w:r>
        <w:rPr>
          <w:b/>
        </w:rPr>
        <w:t>public sector</w:t>
      </w:r>
      <w:r>
        <w:t xml:space="preserve">, the key focus is to create favorable conditions for ESCO creation and operations. Also, the Program lists a number of mandatory activities that should be implemented by municipalities to achieve energy efficiency in the public sector: (i) phase-in energy audits of public buildings; (ii) </w:t>
      </w:r>
      <w:r>
        <w:lastRenderedPageBreak/>
        <w:t xml:space="preserve">development and implementation of standard (off-the-shelf) energy saving measures for public organizations; (iii) development of norms for heat and electric energy use for public institutions by types of construction and use of buildings. Public institutions can access financial resources of the National Modernization Fund and use this revolving mechanism to finance energy saving measures.  </w:t>
      </w:r>
    </w:p>
    <w:p w14:paraId="6F2D4678" w14:textId="77777777" w:rsidR="0090681D" w:rsidRDefault="0090681D" w:rsidP="0090681D">
      <w:pPr>
        <w:pStyle w:val="Bullets1st"/>
        <w:numPr>
          <w:ilvl w:val="0"/>
          <w:numId w:val="0"/>
        </w:numPr>
        <w:ind w:left="720"/>
      </w:pPr>
      <w:r>
        <w:t xml:space="preserve">E. On </w:t>
      </w:r>
      <w:r>
        <w:rPr>
          <w:b/>
        </w:rPr>
        <w:t>efficient lighting</w:t>
      </w:r>
      <w:r>
        <w:t>, the Law on Energy Saving and Energy Efficiency introduces a phase-in ban on the use of incandescent lamps. Given favourable price changes for LED lamps and pertaining problems related to disposal of mercury containing lamps, the Program-2020 proposes to replace incandescent lamps with LED lamps. More specific measures include the following: (i) upgrade of indoor lighting in public buildings, (ii) upgrade of street lighting in towns and settlements; (iii) proposals for energy efficient labeling for lighting products; (iv) demonstration projects on energy efficient lighting; (v) proposals for amending standards (SNiPs) for lighting; (vi) proposal for setting limits on production and sale of mercury containing lamps; (vii) upgrade of electric lighting and power supply systems in multi-apartment buildings; (viii) utilization of mercury containing lamps.</w:t>
      </w:r>
    </w:p>
    <w:p w14:paraId="36F556D7" w14:textId="77777777" w:rsidR="0090681D" w:rsidRDefault="0090681D" w:rsidP="0090681D">
      <w:pPr>
        <w:pStyle w:val="Bullets1st"/>
        <w:numPr>
          <w:ilvl w:val="0"/>
          <w:numId w:val="0"/>
        </w:numPr>
        <w:ind w:left="720"/>
      </w:pPr>
      <w:r>
        <w:t xml:space="preserve">As part of the Program’s implementation, the Kazakhstan association of energy audits has been created and now includes 13 </w:t>
      </w:r>
      <w:r>
        <w:lastRenderedPageBreak/>
        <w:t>organizations and 6 training centers for continuing education in energy auditing and/or assessment of realized energy saving and improved energy efficiency, and creation and operationalization of an energy management system. Related, the Committee of Technical Regulation and Metrology of the Ministry of Industries and New Technologies of RK adopted a standard ISO 50001-2012 “Energy management systems. Requirements and application guideline” and developed a methodology for energy audits in buildings.</w:t>
      </w:r>
    </w:p>
    <w:p w14:paraId="7D1149A6" w14:textId="77777777" w:rsidR="0090681D" w:rsidRPr="0090681D" w:rsidRDefault="0090681D" w:rsidP="0090681D">
      <w:pPr>
        <w:pStyle w:val="Bullets1st"/>
        <w:rPr>
          <w:lang w:eastAsia="ru-RU"/>
        </w:rPr>
      </w:pPr>
      <w:r w:rsidRPr="0090681D">
        <w:rPr>
          <w:b/>
          <w:lang w:eastAsia="ru-RU"/>
        </w:rPr>
        <w:t xml:space="preserve">The Comprehensive Energy Saving Plan for 2012-2015 </w:t>
      </w:r>
      <w:r w:rsidRPr="0090681D">
        <w:rPr>
          <w:lang w:eastAsia="ru-RU"/>
        </w:rPr>
        <w:t xml:space="preserve">was developed by the Ministry of Industry and New Technologies </w:t>
      </w:r>
      <w:r w:rsidR="0005443D">
        <w:rPr>
          <w:lang w:eastAsia="ru-RU"/>
        </w:rPr>
        <w:t xml:space="preserve">(MINT) </w:t>
      </w:r>
      <w:r w:rsidRPr="0090681D">
        <w:rPr>
          <w:lang w:eastAsia="ru-RU"/>
        </w:rPr>
        <w:t xml:space="preserve">as a working mechanism for implementation of the Energy Saving Program-2020. The Comprehensive Energy Saving Plan consists of 47 measures, including 25 inter-sectoral measures, 5 pilot projects, and 24 measures in the spheres of industry, electricity and heat generation, and housing and utility services. In particular, the Plan includes development of EE and thermal modernization indicators for major repair works in public buildings; design of a financing mechanism for EE projects and incentives for attracting private investments </w:t>
      </w:r>
      <w:r w:rsidR="00896DB6">
        <w:rPr>
          <w:lang w:eastAsia="ru-RU"/>
        </w:rPr>
        <w:t>for</w:t>
      </w:r>
      <w:r w:rsidRPr="0090681D">
        <w:rPr>
          <w:lang w:eastAsia="ru-RU"/>
        </w:rPr>
        <w:t xml:space="preserve"> installation of automated systems of heat supply and regulation and thermal repairs in multi-apartment buildings; creation of a position of an energy manager in Oblast Akimats and Akimats of Almaty and Astana. </w:t>
      </w:r>
    </w:p>
    <w:p w14:paraId="1B435374" w14:textId="77777777" w:rsidR="00414F03" w:rsidRDefault="0090681D" w:rsidP="0005443D">
      <w:pPr>
        <w:pStyle w:val="Bullets1st"/>
        <w:numPr>
          <w:ilvl w:val="0"/>
          <w:numId w:val="0"/>
        </w:numPr>
        <w:ind w:left="720"/>
      </w:pPr>
      <w:r>
        <w:lastRenderedPageBreak/>
        <w:t xml:space="preserve">As part of the Comprehensive Energy Saving Plan, </w:t>
      </w:r>
      <w:r w:rsidR="0005443D">
        <w:t>MINT</w:t>
      </w:r>
      <w:r>
        <w:t xml:space="preserve"> developed a methodology for development of comprehensive energy saving plans and sent it out to akimats in the regions for follow up. </w:t>
      </w:r>
      <w:r w:rsidR="007D60EA">
        <w:t>To date</w:t>
      </w:r>
      <w:r>
        <w:t xml:space="preserve">, 16 regional and 5 sectoral energy saving plans have been developed and are being implemented. Also, 11 training centers have been opened and over 1,000 experts have been trained and a Kazakhstan-German energy efficiency centre is now operational. </w:t>
      </w:r>
    </w:p>
    <w:p w14:paraId="00E53D38" w14:textId="77777777" w:rsidR="00C20A4F" w:rsidRPr="00C20A4F" w:rsidRDefault="00C20A4F" w:rsidP="00C20A4F">
      <w:pPr>
        <w:pStyle w:val="Bullets1st"/>
      </w:pPr>
      <w:r w:rsidRPr="00C20A4F">
        <w:t xml:space="preserve">The </w:t>
      </w:r>
      <w:r w:rsidRPr="00C20A4F">
        <w:rPr>
          <w:b/>
        </w:rPr>
        <w:t>Ministry of Regional Development</w:t>
      </w:r>
      <w:r w:rsidRPr="00C20A4F">
        <w:t xml:space="preserve"> currently oversees implementation of five government program</w:t>
      </w:r>
      <w:r>
        <w:t>me</w:t>
      </w:r>
      <w:r w:rsidRPr="00C20A4F">
        <w:t>s: Affordable Housing 2020, Program</w:t>
      </w:r>
      <w:r>
        <w:t>me</w:t>
      </w:r>
      <w:r w:rsidRPr="00C20A4F">
        <w:t xml:space="preserve"> on Modernization of Housing and Utility Sector for 2011-2020, Ak Bulak Program</w:t>
      </w:r>
      <w:r>
        <w:t>me</w:t>
      </w:r>
      <w:r w:rsidRPr="00C20A4F">
        <w:t xml:space="preserve"> 2011-2020 (Drinking water program for rural settlements), Regional Development Program</w:t>
      </w:r>
      <w:r>
        <w:t>me</w:t>
      </w:r>
      <w:r w:rsidRPr="00C20A4F">
        <w:t xml:space="preserve"> till 2020, Program</w:t>
      </w:r>
      <w:r>
        <w:t>me</w:t>
      </w:r>
      <w:r w:rsidRPr="00C20A4F">
        <w:t xml:space="preserve"> of Monotowns (single-industry cities) Development 2012-2020. These program</w:t>
      </w:r>
      <w:r>
        <w:t>me</w:t>
      </w:r>
      <w:r w:rsidRPr="00C20A4F">
        <w:t>s have been compiled into a single comprehensive program</w:t>
      </w:r>
      <w:r>
        <w:t>me</w:t>
      </w:r>
      <w:r w:rsidRPr="00C20A4F">
        <w:t xml:space="preserve"> of regional development that includes all the above as components.</w:t>
      </w:r>
      <w:r>
        <w:t xml:space="preserve"> </w:t>
      </w:r>
      <w:r w:rsidRPr="00C20A4F">
        <w:t>Economic development and self-sufficiency of regions is of primary focus for the government. In the first phase, the government will focus on development of an agglomerate of four cities  - Astana, Almaty, Shymkent and Aktobe. The subsequent phases of the joint program will focus on economi</w:t>
      </w:r>
      <w:r>
        <w:t>c development of 14 oblast cent</w:t>
      </w:r>
      <w:r w:rsidRPr="00C20A4F">
        <w:t>r</w:t>
      </w:r>
      <w:r>
        <w:t>e</w:t>
      </w:r>
      <w:r w:rsidRPr="00C20A4F">
        <w:t>s, monotowns and small towns, and rural areas.</w:t>
      </w:r>
    </w:p>
    <w:p w14:paraId="756A4A08" w14:textId="77777777" w:rsidR="00C85428" w:rsidRDefault="00C642DA" w:rsidP="00C85428">
      <w:pPr>
        <w:pStyle w:val="Bullets1st"/>
      </w:pPr>
      <w:r w:rsidRPr="005B5602">
        <w:lastRenderedPageBreak/>
        <w:t>To</w:t>
      </w:r>
      <w:r w:rsidR="005B02B2" w:rsidRPr="005B5602">
        <w:t xml:space="preserve"> address the challenges with urban infrastructure described above, the Government of Kazakhstan </w:t>
      </w:r>
      <w:r w:rsidR="00C20A4F">
        <w:t xml:space="preserve">has </w:t>
      </w:r>
      <w:r w:rsidR="005B02B2" w:rsidRPr="005B5602">
        <w:t xml:space="preserve">adopted </w:t>
      </w:r>
      <w:r w:rsidR="00C20A4F">
        <w:t xml:space="preserve">a </w:t>
      </w:r>
      <w:r w:rsidR="00C20A4F" w:rsidRPr="00C20A4F">
        <w:rPr>
          <w:b/>
        </w:rPr>
        <w:t>National Program for Modernization (NPM)</w:t>
      </w:r>
      <w:r w:rsidR="005B02B2" w:rsidRPr="005B5602">
        <w:t xml:space="preserve"> </w:t>
      </w:r>
      <w:r w:rsidRPr="005B5602">
        <w:t>for</w:t>
      </w:r>
      <w:r w:rsidR="005B02B2" w:rsidRPr="005B5602">
        <w:t xml:space="preserve"> Residential and Communal Sector for 2011-2020</w:t>
      </w:r>
      <w:r w:rsidR="005B02B2" w:rsidRPr="005B5602">
        <w:rPr>
          <w:rStyle w:val="FootnoteReference"/>
        </w:rPr>
        <w:footnoteReference w:id="11"/>
      </w:r>
      <w:r w:rsidR="005B02B2" w:rsidRPr="005B5602">
        <w:t xml:space="preserve">. Program goals are to </w:t>
      </w:r>
      <w:r w:rsidRPr="005B5602">
        <w:t>(</w:t>
      </w:r>
      <w:r w:rsidR="005B02B2" w:rsidRPr="005B5602">
        <w:t>a) decrease the share of buildings in need of capital renovation from current 32% down to 22% by 2015</w:t>
      </w:r>
      <w:r w:rsidRPr="005B5602">
        <w:t>;</w:t>
      </w:r>
      <w:r w:rsidR="005B02B2" w:rsidRPr="005B5602">
        <w:t xml:space="preserve"> and </w:t>
      </w:r>
      <w:r w:rsidRPr="005B5602">
        <w:t>(</w:t>
      </w:r>
      <w:r w:rsidR="005B02B2" w:rsidRPr="005B5602">
        <w:t>b) upgrade/refurbish 24,400 km of communal networks (heat and hot water supply, electricity, and gas) to minimize resource losses in the system. All envisaged investments in building retrofit and infrastructure upgrade under NMP will comply with energy efficiency regulations and standards as mandated by the new EE Law.</w:t>
      </w:r>
      <w:r w:rsidR="005D48A1">
        <w:t xml:space="preserve"> </w:t>
      </w:r>
    </w:p>
    <w:p w14:paraId="09A71A0F" w14:textId="77777777" w:rsidR="00C85428" w:rsidRDefault="00C85428" w:rsidP="00C85428">
      <w:pPr>
        <w:pStyle w:val="Bullets1st"/>
      </w:pPr>
      <w:r>
        <w:t xml:space="preserve">To operationalize the National Program for Modernization of Residential and Communal Sector for 2011-2020, in 2013 the Government established a </w:t>
      </w:r>
      <w:r w:rsidRPr="00C85428">
        <w:rPr>
          <w:b/>
        </w:rPr>
        <w:t>National Fund for Urban Modernization</w:t>
      </w:r>
      <w:r>
        <w:t xml:space="preserve"> to act as a mediator between the government, apartment owners and service companies.  The Fund is still in its infancy but is designed to operate on a revolving basis by providing long-term (up to 7 years) low interest loans to BMCs and </w:t>
      </w:r>
      <w:r>
        <w:lastRenderedPageBreak/>
        <w:t xml:space="preserve">Associations of Apartment Owners (AAOs) , utility service companies and ESCOs for implementation of priority urban infrastructure upgrade projects, jointly defined by BMCs/AAOs, residents and municipalities. Sources of financing include three types of financing: government, private sector and development institutes. The target level of capitalization is set at 75 billion tenge or US$ 415 million, of which investment projects in the utility sector are expected to comprise 62% or US$ 260 million; interest-free loans for thermal renovations of residential buildings will account for 16% or US$ 66 million and installation of automated heat points  - 22% or US$ 89 million. At the moment, one person from the Ministry of Regional Development officially works as NMF staff. In 2014, the Fund received 8 billion tenge or about US$ 44 million as part of the government’s contribution to the Fund to provide loans to energy providers or heat supply companies to invest in the purchase and installation of automated heat points.  Though initial capitalization of the Fund is being mobilized from the Government (via NMP), the target is to secure at least 50% of fund’s resources from extra-budgetary sources. The Government has requested UNDP-GEF support for designing and implementing the revolving scheme, including the strategy on funding diversification. Also, during the PIF development stage, the Eurasian Development </w:t>
      </w:r>
      <w:r>
        <w:lastRenderedPageBreak/>
        <w:t>Bank (EADB) expressed interest in joining these efforts and establishing a dedicated credit line for municipal energy efficiency and renewable energy projects with initial allocation of US$ 25 million. CCHCA of MRD (former ACHCA) has established the Center for Utilities Modernization and Development as the principal body in charge of the implementation of NMP, and the designated entity for operation and management of the National Fund for Urban Modernization. The MRD and its Center therefore plays a critical role in directing NMP funding to priority climate change mitigation actions in cities and ensuring that the public funding can serve to catalyse investment from the private sector.</w:t>
      </w:r>
    </w:p>
    <w:p w14:paraId="6A9F67EB" w14:textId="77777777" w:rsidR="007D60EA" w:rsidRDefault="00C85428" w:rsidP="00C85428">
      <w:pPr>
        <w:pStyle w:val="Bullets1st"/>
      </w:pPr>
      <w:r>
        <w:t>Under the NMP, the Government will support the establishment of and capacity building for Building Management Companies (BMCs) on a PPP basis, which is the main mechanism to bring in private actors in urban sector management. The goal is to increase private investment in the sector from the current 19% up to 50%. Via CCHCA, the Government aims to provide technical assistance to BMCs, such as for business planning, training of staff, development and signature of public service contracts with municipal authorities, preparation of bankable investment projects. BMCs will adopt an ESCO model for implementation of energy efficiency measures under Energy Perfor</w:t>
      </w:r>
      <w:r>
        <w:lastRenderedPageBreak/>
        <w:t>mance Contracts (EPCs) with residents and/or public authorities. Such a model has been piloted in Astana, where Astana-Kyzmet (with 50% private sector participation) has implemented an energy efficiency retrofit of a nine-floor residential building based on an EPC signed with Association of building’s Apartment Owners. At the moment, Astana-Kyzmet manages six (6) residential buildings and its operational budget is about US$ 2,800 per month (AK charges 14 cents/m</w:t>
      </w:r>
      <w:r w:rsidRPr="004E2B11">
        <w:rPr>
          <w:vertAlign w:val="superscript"/>
        </w:rPr>
        <w:t>2</w:t>
      </w:r>
      <w:r>
        <w:t xml:space="preserve"> for its services) which is just enough to cover costs of a manager, an accountant, some technical services (e.g. an electrician, a plumber) . Under the NMP Program, the government established another MMC--Managing Company Karaganda-Kyzmet, Ltd.--in Karaganda but at present there is no operational activity. The plan is to have MMCs established in all key cities across Kazakhstan, i.e. 10-15 companies by 2015. Their primary objective is to implement priority urban modernization projects and thus ensure adequate management, upgrade and maintenance of municipal infrastructure and provision of quality and reliable services to urban residents (e.g. waste management, building management, heat and hot water supply, public lighting). Two construction companies in Astana—StroyInvest and Berekele-Shanyrak—created affiliated companies in the form of limited partnerships for managing several newly constructed residential buildings during the warranty period. After its expiration, </w:t>
      </w:r>
      <w:r>
        <w:lastRenderedPageBreak/>
        <w:t>management responsibilities will be shifted to condominiums or AAOs/CAOs (whichever type residents will opt for).</w:t>
      </w:r>
      <w:r w:rsidR="00B616FC">
        <w:t xml:space="preserve"> </w:t>
      </w:r>
    </w:p>
    <w:p w14:paraId="0062A49A" w14:textId="77777777" w:rsidR="00C85428" w:rsidRDefault="007D60EA" w:rsidP="007D60EA">
      <w:pPr>
        <w:pStyle w:val="Bullets1st"/>
        <w:numPr>
          <w:ilvl w:val="0"/>
          <w:numId w:val="0"/>
        </w:numPr>
        <w:ind w:left="720"/>
      </w:pPr>
      <w:r>
        <w:t xml:space="preserve">During 2012-2013, 935 residential buildings underwent thermal modernization, over 900 energy passports were developed, over 131 km of district heating network, 517 km of power lines, 520 km of gas pipelines and 14 boiler houses were repaired. In the public sector, 2.6% (or 580 buildings) of total public buildings were renovated with some elements of thermal modernization. Automated heat exchangers were installed in 1,214 buildings. </w:t>
      </w:r>
    </w:p>
    <w:p w14:paraId="63514F95" w14:textId="77777777" w:rsidR="00870DB4" w:rsidRPr="009A1254" w:rsidRDefault="005B02B2" w:rsidP="00870DB4">
      <w:pPr>
        <w:pStyle w:val="Bullets1st"/>
      </w:pPr>
      <w:bookmarkStart w:id="23" w:name="_Ref249345625"/>
      <w:r w:rsidRPr="009A1254">
        <w:t xml:space="preserve">The </w:t>
      </w:r>
      <w:r w:rsidRPr="009A1254">
        <w:rPr>
          <w:i/>
        </w:rPr>
        <w:t xml:space="preserve">Ministry of </w:t>
      </w:r>
      <w:r w:rsidR="00826B14" w:rsidRPr="009A1254">
        <w:rPr>
          <w:i/>
        </w:rPr>
        <w:t xml:space="preserve">Environment and Water Resources (MEWR) </w:t>
      </w:r>
      <w:r w:rsidRPr="009A1254">
        <w:t>is the governing body and policy maker for climate change management at the national level. It oversees</w:t>
      </w:r>
      <w:r w:rsidR="009A1254" w:rsidRPr="009A1254">
        <w:t xml:space="preserve"> the </w:t>
      </w:r>
      <w:r w:rsidRPr="009A1254">
        <w:t xml:space="preserve">preparation of </w:t>
      </w:r>
      <w:r w:rsidRPr="009A1254">
        <w:rPr>
          <w:b/>
        </w:rPr>
        <w:t>national GHG inventory</w:t>
      </w:r>
      <w:r w:rsidRPr="009A1254">
        <w:t xml:space="preserve">, the </w:t>
      </w:r>
      <w:r w:rsidR="00826B14" w:rsidRPr="009A1254">
        <w:t xml:space="preserve">implementation </w:t>
      </w:r>
      <w:r w:rsidRPr="009A1254">
        <w:t>of the</w:t>
      </w:r>
      <w:r w:rsidRPr="009A1254">
        <w:rPr>
          <w:b/>
        </w:rPr>
        <w:t xml:space="preserve"> national Emission </w:t>
      </w:r>
      <w:r w:rsidR="005C20FE" w:rsidRPr="009A1254">
        <w:rPr>
          <w:b/>
        </w:rPr>
        <w:t>T</w:t>
      </w:r>
      <w:r w:rsidRPr="009A1254">
        <w:rPr>
          <w:b/>
        </w:rPr>
        <w:t>rading Scheme (ETS)</w:t>
      </w:r>
      <w:r w:rsidRPr="009A1254">
        <w:t xml:space="preserve">, including the establishment and monitoring of national emission reduction targets and the </w:t>
      </w:r>
      <w:r w:rsidR="00EB6FBE" w:rsidRPr="009A1254">
        <w:t xml:space="preserve">implementation </w:t>
      </w:r>
      <w:r w:rsidRPr="009A1254">
        <w:t xml:space="preserve">of the </w:t>
      </w:r>
      <w:r w:rsidR="00EB6FBE" w:rsidRPr="009A1254">
        <w:rPr>
          <w:b/>
        </w:rPr>
        <w:t>Concept for Transition of the Republic of Kazakhstan to Green Economy</w:t>
      </w:r>
      <w:bookmarkEnd w:id="23"/>
      <w:r w:rsidR="009A1254">
        <w:rPr>
          <w:b/>
        </w:rPr>
        <w:t>.</w:t>
      </w:r>
      <w:r w:rsidR="009A1254" w:rsidRPr="009A1254">
        <w:t xml:space="preserve"> These three </w:t>
      </w:r>
      <w:r w:rsidR="009A1254">
        <w:t>responsibilities are discussed in more detail below:</w:t>
      </w:r>
    </w:p>
    <w:p w14:paraId="4166E457" w14:textId="77777777" w:rsidR="005B02B2" w:rsidRPr="009A1254" w:rsidRDefault="005B02B2" w:rsidP="007D6892">
      <w:pPr>
        <w:pStyle w:val="Bullets1st"/>
        <w:numPr>
          <w:ilvl w:val="0"/>
          <w:numId w:val="25"/>
        </w:numPr>
        <w:ind w:left="720"/>
        <w:rPr>
          <w:lang w:val="en-US"/>
        </w:rPr>
      </w:pPr>
      <w:r w:rsidRPr="005B5602">
        <w:rPr>
          <w:b/>
          <w:lang w:eastAsia="ru-RU"/>
        </w:rPr>
        <w:t>National GHG accounting:</w:t>
      </w:r>
      <w:r w:rsidRPr="005B5602">
        <w:t xml:space="preserve"> the </w:t>
      </w:r>
      <w:r w:rsidR="009A1254">
        <w:t>MEWR</w:t>
      </w:r>
      <w:r w:rsidRPr="005B5602">
        <w:t xml:space="preserve"> </w:t>
      </w:r>
      <w:r w:rsidR="009A1254">
        <w:t>oversees regular (annual) inventories</w:t>
      </w:r>
      <w:r w:rsidRPr="005B5602">
        <w:t xml:space="preserve"> of GHG emissions to track the achievement of national emission </w:t>
      </w:r>
      <w:r w:rsidRPr="009A1254">
        <w:t>reduction target</w:t>
      </w:r>
      <w:r w:rsidR="009A1254">
        <w:t>s</w:t>
      </w:r>
      <w:r w:rsidRPr="009A1254">
        <w:t xml:space="preserve">. </w:t>
      </w:r>
      <w:r w:rsidR="00826B14" w:rsidRPr="009A1254">
        <w:t>W</w:t>
      </w:r>
      <w:r w:rsidRPr="009A1254">
        <w:t>hile there are in</w:t>
      </w:r>
      <w:r w:rsidRPr="009A1254">
        <w:lastRenderedPageBreak/>
        <w:t>tentions to conduct a nation-wide assessment of the abatement potential of the urban sector</w:t>
      </w:r>
      <w:r w:rsidR="00826B14" w:rsidRPr="009A1254">
        <w:t xml:space="preserve"> as a whole</w:t>
      </w:r>
      <w:r w:rsidRPr="009A1254">
        <w:t>, there are no plans to undertake urban inventories</w:t>
      </w:r>
      <w:r w:rsidR="007D4B28" w:rsidRPr="009A1254">
        <w:t xml:space="preserve"> or GHG accounting</w:t>
      </w:r>
      <w:r w:rsidRPr="009A1254">
        <w:t xml:space="preserve"> at the individual urban settlement level, or to set-up city-wide targets.</w:t>
      </w:r>
    </w:p>
    <w:p w14:paraId="2352C456" w14:textId="77777777" w:rsidR="005B02B2" w:rsidRPr="007201AA" w:rsidRDefault="003B091E" w:rsidP="007D6892">
      <w:pPr>
        <w:pStyle w:val="ListParagraph"/>
        <w:numPr>
          <w:ilvl w:val="0"/>
          <w:numId w:val="25"/>
        </w:numPr>
        <w:spacing w:line="276" w:lineRule="auto"/>
        <w:ind w:left="720"/>
        <w:rPr>
          <w:rFonts w:ascii="Arial" w:hAnsi="Arial" w:cs="Arial"/>
          <w:sz w:val="22"/>
          <w:szCs w:val="22"/>
        </w:rPr>
      </w:pPr>
      <w:r w:rsidRPr="003B091E">
        <w:rPr>
          <w:rFonts w:ascii="Arial" w:eastAsia="Calibri" w:hAnsi="Arial" w:cs="Arial"/>
          <w:b/>
          <w:sz w:val="22"/>
          <w:szCs w:val="22"/>
          <w:lang w:eastAsia="ru-RU"/>
        </w:rPr>
        <w:t>National ETS:</w:t>
      </w:r>
      <w:r w:rsidRPr="003B091E">
        <w:rPr>
          <w:rFonts w:ascii="Arial" w:eastAsia="Calibri" w:hAnsi="Arial" w:cs="Arial"/>
          <w:sz w:val="22"/>
          <w:szCs w:val="22"/>
          <w:lang w:eastAsia="ru-RU"/>
        </w:rPr>
        <w:t xml:space="preserve"> As part of its national efforts to meet voluntary GHG emission reduction obligations, the Government </w:t>
      </w:r>
      <w:r w:rsidR="009A1254">
        <w:rPr>
          <w:rFonts w:ascii="Arial" w:eastAsia="Calibri" w:hAnsi="Arial" w:cs="Arial"/>
          <w:sz w:val="22"/>
          <w:szCs w:val="22"/>
          <w:lang w:eastAsia="ru-RU"/>
        </w:rPr>
        <w:t xml:space="preserve">has </w:t>
      </w:r>
      <w:r w:rsidRPr="007201AA">
        <w:rPr>
          <w:rFonts w:ascii="Arial" w:eastAsia="Calibri" w:hAnsi="Arial" w:cs="Arial"/>
          <w:sz w:val="22"/>
          <w:szCs w:val="22"/>
          <w:lang w:eastAsia="ru-RU"/>
        </w:rPr>
        <w:t xml:space="preserve">introduced </w:t>
      </w:r>
      <w:r w:rsidR="009A1254" w:rsidRPr="007201AA">
        <w:rPr>
          <w:rFonts w:ascii="Arial" w:eastAsia="Calibri" w:hAnsi="Arial" w:cs="Arial"/>
          <w:sz w:val="22"/>
          <w:szCs w:val="22"/>
          <w:lang w:eastAsia="ru-RU"/>
        </w:rPr>
        <w:t xml:space="preserve">a </w:t>
      </w:r>
      <w:r w:rsidRPr="007201AA">
        <w:rPr>
          <w:rFonts w:ascii="Arial" w:eastAsia="Calibri" w:hAnsi="Arial" w:cs="Arial"/>
          <w:sz w:val="22"/>
          <w:szCs w:val="22"/>
          <w:lang w:eastAsia="ru-RU"/>
        </w:rPr>
        <w:t xml:space="preserve">domestic ETS </w:t>
      </w:r>
      <w:r w:rsidRPr="007201AA">
        <w:rPr>
          <w:rFonts w:ascii="Arial" w:hAnsi="Arial" w:cs="Arial"/>
          <w:sz w:val="22"/>
          <w:szCs w:val="22"/>
        </w:rPr>
        <w:t>for stationary</w:t>
      </w:r>
      <w:r w:rsidRPr="003B091E">
        <w:rPr>
          <w:rFonts w:ascii="Arial" w:hAnsi="Arial" w:cs="Arial"/>
          <w:sz w:val="22"/>
          <w:szCs w:val="22"/>
        </w:rPr>
        <w:t xml:space="preserve"> sources with annual carbon dioxide emissions exceeding 20,000 t CO</w:t>
      </w:r>
      <w:r w:rsidRPr="003B091E">
        <w:rPr>
          <w:rFonts w:ascii="Arial" w:hAnsi="Arial" w:cs="Arial"/>
          <w:sz w:val="22"/>
          <w:szCs w:val="22"/>
          <w:vertAlign w:val="subscript"/>
        </w:rPr>
        <w:t>2</w:t>
      </w:r>
      <w:r w:rsidRPr="003B091E">
        <w:rPr>
          <w:rFonts w:ascii="Arial" w:hAnsi="Arial" w:cs="Arial"/>
          <w:sz w:val="22"/>
          <w:szCs w:val="22"/>
        </w:rPr>
        <w:t xml:space="preserve">/a. </w:t>
      </w:r>
      <w:r w:rsidRPr="003B091E">
        <w:rPr>
          <w:rFonts w:ascii="Arial" w:eastAsia="Calibri" w:hAnsi="Arial" w:cs="Arial"/>
          <w:sz w:val="22"/>
          <w:szCs w:val="22"/>
          <w:lang w:eastAsia="ru-RU"/>
        </w:rPr>
        <w:t>The pilot phase of ETS cover</w:t>
      </w:r>
      <w:r w:rsidR="009E7FDA">
        <w:rPr>
          <w:rFonts w:ascii="Arial" w:eastAsia="Calibri" w:hAnsi="Arial" w:cs="Arial"/>
          <w:sz w:val="22"/>
          <w:szCs w:val="22"/>
          <w:lang w:eastAsia="ru-RU"/>
        </w:rPr>
        <w:t>s</w:t>
      </w:r>
      <w:r w:rsidRPr="003B091E">
        <w:rPr>
          <w:rFonts w:ascii="Arial" w:eastAsia="Calibri" w:hAnsi="Arial" w:cs="Arial"/>
          <w:sz w:val="22"/>
          <w:szCs w:val="22"/>
          <w:lang w:eastAsia="ru-RU"/>
        </w:rPr>
        <w:t xml:space="preserve"> approximately 45% of Kazakhstan’s overall CO</w:t>
      </w:r>
      <w:r w:rsidRPr="003B091E">
        <w:rPr>
          <w:rFonts w:ascii="Arial" w:eastAsia="Calibri" w:hAnsi="Arial" w:cs="Arial"/>
          <w:sz w:val="22"/>
          <w:szCs w:val="22"/>
          <w:vertAlign w:val="subscript"/>
          <w:lang w:eastAsia="ru-RU"/>
        </w:rPr>
        <w:t>2</w:t>
      </w:r>
      <w:r w:rsidRPr="003B091E">
        <w:rPr>
          <w:rFonts w:ascii="Arial" w:eastAsia="Calibri" w:hAnsi="Arial" w:cs="Arial"/>
          <w:sz w:val="22"/>
          <w:szCs w:val="22"/>
          <w:lang w:eastAsia="ru-RU"/>
        </w:rPr>
        <w:t xml:space="preserve"> emissions. </w:t>
      </w:r>
      <w:r w:rsidRPr="003B091E">
        <w:rPr>
          <w:rFonts w:ascii="Arial" w:hAnsi="Arial" w:cs="Arial"/>
          <w:sz w:val="22"/>
          <w:szCs w:val="22"/>
        </w:rPr>
        <w:t>The total amount of allocated GHG emission allowances in 2013 is 147</w:t>
      </w:r>
      <w:r w:rsidR="00230A7B">
        <w:rPr>
          <w:rFonts w:ascii="Arial" w:hAnsi="Arial" w:cs="Arial"/>
          <w:sz w:val="22"/>
          <w:szCs w:val="22"/>
        </w:rPr>
        <w:t xml:space="preserve"> million</w:t>
      </w:r>
      <w:r w:rsidRPr="003B091E">
        <w:rPr>
          <w:rFonts w:ascii="Arial" w:hAnsi="Arial" w:cs="Arial"/>
          <w:sz w:val="22"/>
          <w:szCs w:val="22"/>
        </w:rPr>
        <w:t xml:space="preserve"> tCO</w:t>
      </w:r>
      <w:r w:rsidRPr="003B091E">
        <w:rPr>
          <w:rFonts w:ascii="Arial" w:hAnsi="Arial" w:cs="Arial"/>
          <w:sz w:val="22"/>
          <w:szCs w:val="22"/>
          <w:vertAlign w:val="subscript"/>
        </w:rPr>
        <w:t>2e</w:t>
      </w:r>
      <w:r w:rsidRPr="003B091E">
        <w:rPr>
          <w:rFonts w:ascii="Arial" w:eastAsia="Calibri" w:hAnsi="Arial" w:cs="Arial"/>
          <w:sz w:val="22"/>
          <w:szCs w:val="22"/>
          <w:vertAlign w:val="subscript"/>
          <w:lang w:eastAsia="ru-RU"/>
        </w:rPr>
        <w:t xml:space="preserve"> </w:t>
      </w:r>
      <w:r w:rsidRPr="003B091E">
        <w:rPr>
          <w:rFonts w:ascii="Arial" w:eastAsia="Calibri" w:hAnsi="Arial" w:cs="Arial"/>
          <w:sz w:val="22"/>
          <w:szCs w:val="22"/>
          <w:lang w:eastAsia="ru-RU"/>
        </w:rPr>
        <w:t>among 178 stationary sources that emit over 20,000 tCO</w:t>
      </w:r>
      <w:r w:rsidRPr="003B091E">
        <w:rPr>
          <w:rFonts w:ascii="Arial" w:eastAsia="Calibri" w:hAnsi="Arial" w:cs="Arial"/>
          <w:sz w:val="22"/>
          <w:szCs w:val="22"/>
          <w:vertAlign w:val="subscript"/>
          <w:lang w:eastAsia="ru-RU"/>
        </w:rPr>
        <w:t>2</w:t>
      </w:r>
      <w:r w:rsidRPr="003B091E">
        <w:rPr>
          <w:rFonts w:ascii="Arial" w:eastAsia="Calibri" w:hAnsi="Arial" w:cs="Arial"/>
          <w:sz w:val="22"/>
          <w:szCs w:val="22"/>
          <w:lang w:eastAsia="ru-RU"/>
        </w:rPr>
        <w:t>/year and operate in</w:t>
      </w:r>
      <w:r w:rsidRPr="003B091E">
        <w:rPr>
          <w:rFonts w:ascii="Arial" w:hAnsi="Arial" w:cs="Arial"/>
          <w:sz w:val="22"/>
          <w:szCs w:val="22"/>
        </w:rPr>
        <w:t xml:space="preserve"> energy generation, coal mining, oil and gas production, and other industrial enterprises (cement and paper production, chemical industries, etc)</w:t>
      </w:r>
      <w:r w:rsidRPr="003B091E">
        <w:rPr>
          <w:rFonts w:ascii="Arial" w:eastAsia="Calibri" w:hAnsi="Arial" w:cs="Arial"/>
          <w:sz w:val="22"/>
          <w:szCs w:val="22"/>
          <w:lang w:eastAsia="ru-RU"/>
        </w:rPr>
        <w:t xml:space="preserve">. </w:t>
      </w:r>
      <w:r w:rsidRPr="003B091E">
        <w:rPr>
          <w:rFonts w:ascii="Arial" w:hAnsi="Arial" w:cs="Arial"/>
          <w:sz w:val="22"/>
          <w:szCs w:val="22"/>
        </w:rPr>
        <w:t>The National Allocation Plan of Allowances stems from the Government’s Decree No. 158810 dd 13 December 2012, and Article 94-5, sub point 1 of the amended Environmental Code of the Republic of Kazakhstan. The reserve of allowances for 2013 amounts to 20,633,635 t CO</w:t>
      </w:r>
      <w:r w:rsidRPr="003B091E">
        <w:rPr>
          <w:rFonts w:ascii="Arial" w:hAnsi="Arial" w:cs="Arial"/>
          <w:sz w:val="22"/>
          <w:szCs w:val="22"/>
          <w:vertAlign w:val="subscript"/>
        </w:rPr>
        <w:t xml:space="preserve">2e </w:t>
      </w:r>
      <w:r w:rsidRPr="003B091E">
        <w:rPr>
          <w:rFonts w:ascii="Arial" w:hAnsi="Arial" w:cs="Arial"/>
          <w:sz w:val="22"/>
          <w:szCs w:val="22"/>
        </w:rPr>
        <w:t xml:space="preserve">to account for the possible expansion of existing </w:t>
      </w:r>
      <w:r w:rsidR="00EB6FBE">
        <w:rPr>
          <w:rFonts w:ascii="Arial" w:hAnsi="Arial" w:cs="Arial"/>
          <w:sz w:val="22"/>
          <w:szCs w:val="22"/>
        </w:rPr>
        <w:t>sources</w:t>
      </w:r>
      <w:r w:rsidR="00EB6FBE" w:rsidRPr="003B091E">
        <w:rPr>
          <w:rFonts w:ascii="Arial" w:hAnsi="Arial" w:cs="Arial"/>
          <w:sz w:val="22"/>
          <w:szCs w:val="22"/>
        </w:rPr>
        <w:t xml:space="preserve"> </w:t>
      </w:r>
      <w:r w:rsidRPr="003B091E">
        <w:rPr>
          <w:rFonts w:ascii="Arial" w:hAnsi="Arial" w:cs="Arial"/>
          <w:sz w:val="22"/>
          <w:szCs w:val="22"/>
        </w:rPr>
        <w:t xml:space="preserve">and new entrants. </w:t>
      </w:r>
      <w:r w:rsidRPr="003B091E">
        <w:rPr>
          <w:rFonts w:ascii="Arial" w:eastAsia="Calibri" w:hAnsi="Arial" w:cs="Arial"/>
          <w:sz w:val="22"/>
          <w:szCs w:val="22"/>
        </w:rPr>
        <w:t xml:space="preserve">Allowances during the pilot phase are allocated based on historical non-verified data submitted by stationary sources in 2010. However in the future an MRV scheme will be </w:t>
      </w:r>
      <w:r w:rsidRPr="003B091E">
        <w:rPr>
          <w:rFonts w:ascii="Arial" w:eastAsia="Calibri" w:hAnsi="Arial" w:cs="Arial"/>
          <w:sz w:val="22"/>
          <w:szCs w:val="22"/>
        </w:rPr>
        <w:lastRenderedPageBreak/>
        <w:t>developed (with assistance from bilateral donors, German Government and potentially USAID) and introduced, which will be based on (and potentially linked to) the EU ETS. JSC Zhasyl Damu (former KazNIIEK or Kazakhstan Research Institute for Climate Change), the authorized operator of the ETS register</w:t>
      </w:r>
      <w:r w:rsidR="00EB6FBE">
        <w:rPr>
          <w:rFonts w:ascii="Arial" w:eastAsia="Calibri" w:hAnsi="Arial" w:cs="Arial"/>
          <w:sz w:val="22"/>
          <w:szCs w:val="22"/>
        </w:rPr>
        <w:t>,</w:t>
      </w:r>
      <w:r w:rsidRPr="003B091E">
        <w:rPr>
          <w:rFonts w:ascii="Arial" w:eastAsia="Calibri" w:hAnsi="Arial" w:cs="Arial"/>
          <w:sz w:val="22"/>
          <w:szCs w:val="22"/>
        </w:rPr>
        <w:t xml:space="preserve"> and JSC Caspi Exchange Trading Marketplace (ETM) signed an agreement by which the latter provides a platform for trading carbon credits. In March 2013, the Caspi ETM registered the first four transactions of carbon units trading of total volume of 32,094 t CO</w:t>
      </w:r>
      <w:r w:rsidRPr="007201AA">
        <w:rPr>
          <w:rFonts w:ascii="Arial" w:eastAsia="Calibri" w:hAnsi="Arial" w:cs="Arial"/>
          <w:sz w:val="22"/>
          <w:szCs w:val="22"/>
          <w:vertAlign w:val="subscript"/>
        </w:rPr>
        <w:t>2e</w:t>
      </w:r>
      <w:r w:rsidRPr="003B091E">
        <w:rPr>
          <w:rFonts w:ascii="Arial" w:eastAsia="Calibri" w:hAnsi="Arial" w:cs="Arial"/>
          <w:sz w:val="22"/>
          <w:szCs w:val="22"/>
        </w:rPr>
        <w:t xml:space="preserve"> at a price of US</w:t>
      </w:r>
      <w:r w:rsidR="007201AA">
        <w:rPr>
          <w:rFonts w:ascii="Arial" w:eastAsia="Calibri" w:hAnsi="Arial" w:cs="Arial"/>
          <w:sz w:val="22"/>
          <w:szCs w:val="22"/>
        </w:rPr>
        <w:t>D</w:t>
      </w:r>
      <w:r w:rsidRPr="003B091E">
        <w:rPr>
          <w:rFonts w:ascii="Arial" w:eastAsia="Calibri" w:hAnsi="Arial" w:cs="Arial"/>
          <w:sz w:val="22"/>
          <w:szCs w:val="22"/>
        </w:rPr>
        <w:t xml:space="preserve"> 2.50 per tonne</w:t>
      </w:r>
      <w:r w:rsidRPr="003B091E">
        <w:rPr>
          <w:rStyle w:val="FootnoteReference"/>
          <w:rFonts w:eastAsia="Calibri" w:cs="Arial"/>
          <w:sz w:val="22"/>
          <w:szCs w:val="22"/>
        </w:rPr>
        <w:footnoteReference w:id="12"/>
      </w:r>
      <w:r w:rsidRPr="003B091E">
        <w:rPr>
          <w:rFonts w:ascii="Arial" w:eastAsia="Calibri" w:hAnsi="Arial" w:cs="Arial"/>
          <w:sz w:val="22"/>
          <w:szCs w:val="22"/>
        </w:rPr>
        <w:t xml:space="preserve">. </w:t>
      </w:r>
      <w:r w:rsidRPr="003B091E">
        <w:rPr>
          <w:rFonts w:ascii="Arial" w:eastAsia="Calibri" w:hAnsi="Arial"/>
          <w:sz w:val="22"/>
          <w:szCs w:val="22"/>
          <w:lang w:val="en-GB"/>
        </w:rPr>
        <w:t>An assessment of the “market readiness” of the Kazakh ETS with respect to policy/political readiness suggests that the scheme is well advanced with respect to its scope and coverage.</w:t>
      </w:r>
      <w:r>
        <w:rPr>
          <w:rFonts w:ascii="Arial" w:eastAsia="Calibri" w:hAnsi="Arial"/>
          <w:sz w:val="22"/>
          <w:szCs w:val="22"/>
          <w:lang w:val="en-GB"/>
        </w:rPr>
        <w:t xml:space="preserve"> </w:t>
      </w:r>
      <w:r w:rsidR="005B02B2" w:rsidRPr="007201AA">
        <w:rPr>
          <w:rFonts w:ascii="Arial" w:hAnsi="Arial" w:cs="Arial"/>
          <w:sz w:val="22"/>
          <w:szCs w:val="22"/>
        </w:rPr>
        <w:t xml:space="preserve">However, the urban sector </w:t>
      </w:r>
      <w:r w:rsidRPr="007201AA">
        <w:rPr>
          <w:rFonts w:ascii="Arial" w:hAnsi="Arial" w:cs="Arial"/>
          <w:sz w:val="22"/>
          <w:szCs w:val="22"/>
        </w:rPr>
        <w:t>is not</w:t>
      </w:r>
      <w:r w:rsidR="005B02B2" w:rsidRPr="007201AA">
        <w:rPr>
          <w:rFonts w:ascii="Arial" w:hAnsi="Arial" w:cs="Arial"/>
          <w:sz w:val="22"/>
          <w:szCs w:val="22"/>
        </w:rPr>
        <w:t xml:space="preserve"> covered by the ETS (with the exception of </w:t>
      </w:r>
      <w:r w:rsidR="006C45C1" w:rsidRPr="007201AA">
        <w:rPr>
          <w:rFonts w:ascii="Arial" w:hAnsi="Arial" w:cs="Arial"/>
          <w:sz w:val="22"/>
          <w:szCs w:val="22"/>
        </w:rPr>
        <w:t>few large</w:t>
      </w:r>
      <w:r w:rsidR="005B02B2" w:rsidRPr="007201AA">
        <w:rPr>
          <w:rFonts w:ascii="Arial" w:hAnsi="Arial" w:cs="Arial"/>
          <w:sz w:val="22"/>
          <w:szCs w:val="22"/>
        </w:rPr>
        <w:t xml:space="preserve"> district heating plans in Astana and Almaty), and will thus neither be subject of a </w:t>
      </w:r>
      <w:r w:rsidR="00080091" w:rsidRPr="007201AA">
        <w:rPr>
          <w:rFonts w:ascii="Arial" w:hAnsi="Arial" w:cs="Arial"/>
          <w:sz w:val="22"/>
          <w:szCs w:val="22"/>
        </w:rPr>
        <w:t>mandatory cap</w:t>
      </w:r>
      <w:r w:rsidR="005B02B2" w:rsidRPr="007201AA">
        <w:rPr>
          <w:rFonts w:ascii="Arial" w:hAnsi="Arial" w:cs="Arial"/>
          <w:sz w:val="22"/>
          <w:szCs w:val="22"/>
        </w:rPr>
        <w:t xml:space="preserve"> nor be able to benefit from trading and demand for emission reductions</w:t>
      </w:r>
      <w:r w:rsidR="00943BA3" w:rsidRPr="007201AA">
        <w:rPr>
          <w:rFonts w:ascii="Arial" w:hAnsi="Arial" w:cs="Arial"/>
          <w:sz w:val="22"/>
          <w:szCs w:val="22"/>
        </w:rPr>
        <w:t xml:space="preserve"> and will be excluded from assistance for setting up MRV systems</w:t>
      </w:r>
      <w:r w:rsidR="005B02B2" w:rsidRPr="007201AA">
        <w:rPr>
          <w:rFonts w:ascii="Arial" w:hAnsi="Arial" w:cs="Arial"/>
          <w:sz w:val="22"/>
          <w:szCs w:val="22"/>
        </w:rPr>
        <w:t>.</w:t>
      </w:r>
    </w:p>
    <w:p w14:paraId="3942CBD8" w14:textId="77777777" w:rsidR="00C47642" w:rsidRDefault="005B02B2" w:rsidP="007D6892">
      <w:pPr>
        <w:pStyle w:val="Bullets1st"/>
        <w:numPr>
          <w:ilvl w:val="0"/>
          <w:numId w:val="25"/>
        </w:numPr>
        <w:ind w:left="720"/>
        <w:rPr>
          <w:lang w:eastAsia="ru-RU"/>
        </w:rPr>
      </w:pPr>
      <w:r w:rsidRPr="007201AA">
        <w:rPr>
          <w:lang w:eastAsia="ru-RU"/>
        </w:rPr>
        <w:t>ME</w:t>
      </w:r>
      <w:r w:rsidR="00EB6FBE" w:rsidRPr="007201AA">
        <w:rPr>
          <w:lang w:eastAsia="ru-RU"/>
        </w:rPr>
        <w:t xml:space="preserve">WR is also undertaking the implementation of the </w:t>
      </w:r>
      <w:r w:rsidR="008C5C73" w:rsidRPr="007201AA">
        <w:rPr>
          <w:lang w:eastAsia="ru-RU"/>
        </w:rPr>
        <w:t>Concept</w:t>
      </w:r>
      <w:r w:rsidR="007201AA">
        <w:rPr>
          <w:rStyle w:val="FootnoteReference"/>
          <w:lang w:eastAsia="ru-RU"/>
        </w:rPr>
        <w:footnoteReference w:id="13"/>
      </w:r>
      <w:r w:rsidR="008C5C73" w:rsidRPr="007201AA">
        <w:rPr>
          <w:lang w:eastAsia="ru-RU"/>
        </w:rPr>
        <w:t xml:space="preserve"> for </w:t>
      </w:r>
      <w:r w:rsidR="008C5C73" w:rsidRPr="007201AA">
        <w:rPr>
          <w:b/>
          <w:lang w:eastAsia="ru-RU"/>
        </w:rPr>
        <w:t>Transition of the Republic of Kazakhstan to Green Economy</w:t>
      </w:r>
      <w:r w:rsidR="00EB6FBE" w:rsidRPr="007201AA">
        <w:rPr>
          <w:lang w:eastAsia="ru-RU"/>
        </w:rPr>
        <w:t xml:space="preserve"> that lays out goals and targets and general approaches </w:t>
      </w:r>
      <w:r w:rsidR="00EB6FBE" w:rsidRPr="007201AA">
        <w:rPr>
          <w:lang w:eastAsia="ru-RU"/>
        </w:rPr>
        <w:lastRenderedPageBreak/>
        <w:t xml:space="preserve">for achieving sustainable development in the country.  </w:t>
      </w:r>
      <w:r w:rsidR="00CA0591" w:rsidRPr="007201AA">
        <w:rPr>
          <w:lang w:eastAsia="ru-RU"/>
        </w:rPr>
        <w:t>The Concept identifies seven key areas in which to undertake sustainable-development initiatives: water resource management, sustainable agriculture, energy efficiency, power sector development, waste management, air pollution reduction, and ecosystem management.  Fundamental to Transition to Green Economy is the idea that in addressing the sustainability of key sectors, there will be synergies found across a variety of cross-cutting issues, including climate change, good governance, environmental sustainability, gender equality, and human rights</w:t>
      </w:r>
      <w:r w:rsidR="00DA085F" w:rsidRPr="007201AA">
        <w:rPr>
          <w:lang w:eastAsia="ru-RU"/>
        </w:rPr>
        <w:t>.</w:t>
      </w:r>
      <w:r w:rsidR="00CA0591" w:rsidRPr="007201AA">
        <w:rPr>
          <w:lang w:eastAsia="ru-RU"/>
        </w:rPr>
        <w:t xml:space="preserve"> </w:t>
      </w:r>
      <w:r w:rsidR="00EB6FBE" w:rsidRPr="007201AA">
        <w:rPr>
          <w:lang w:eastAsia="ru-RU"/>
        </w:rPr>
        <w:t>The Concept was approved in May 2013, and the follow up Action Plan was approved by the Government in August 2013</w:t>
      </w:r>
      <w:r w:rsidR="0009371A" w:rsidRPr="007201AA">
        <w:rPr>
          <w:lang w:eastAsia="ru-RU"/>
        </w:rPr>
        <w:t xml:space="preserve">. </w:t>
      </w:r>
      <w:r w:rsidR="00CA0591" w:rsidRPr="007201AA">
        <w:rPr>
          <w:lang w:eastAsia="ru-RU"/>
        </w:rPr>
        <w:t xml:space="preserve">Please refer to Annex </w:t>
      </w:r>
      <w:r w:rsidR="00654F52" w:rsidRPr="007201AA">
        <w:rPr>
          <w:lang w:eastAsia="ru-RU"/>
        </w:rPr>
        <w:t>D</w:t>
      </w:r>
      <w:r w:rsidR="00CA0591" w:rsidRPr="007201AA">
        <w:rPr>
          <w:lang w:eastAsia="ru-RU"/>
        </w:rPr>
        <w:t xml:space="preserve"> for details on the Concept.</w:t>
      </w:r>
    </w:p>
    <w:p w14:paraId="5292E493" w14:textId="4394F529" w:rsidR="00220AA1" w:rsidRPr="007201AA" w:rsidRDefault="00220AA1" w:rsidP="007D6892">
      <w:pPr>
        <w:pStyle w:val="Bullets1st"/>
        <w:numPr>
          <w:ilvl w:val="0"/>
          <w:numId w:val="25"/>
        </w:numPr>
        <w:ind w:left="720"/>
        <w:rPr>
          <w:lang w:eastAsia="ru-RU"/>
        </w:rPr>
      </w:pPr>
      <w:r w:rsidRPr="00FB3A94">
        <w:rPr>
          <w:rFonts w:cs="Arial"/>
          <w:lang w:eastAsia="ru-RU"/>
        </w:rPr>
        <w:t xml:space="preserve">MEWR just recently approved a </w:t>
      </w:r>
      <w:r w:rsidRPr="00FB3A94">
        <w:rPr>
          <w:rFonts w:cs="Arial"/>
        </w:rPr>
        <w:t>N</w:t>
      </w:r>
      <w:r>
        <w:rPr>
          <w:rFonts w:cs="Arial"/>
        </w:rPr>
        <w:t>ational Program for Solid Waste</w:t>
      </w:r>
      <w:r w:rsidRPr="00FB3A94">
        <w:rPr>
          <w:rFonts w:cs="Arial"/>
        </w:rPr>
        <w:t xml:space="preserve"> Management for 2014 – 2050 dd 09 June 2014 № 634. It is an important strategic document that sets a national policy framework for regulating solid waste management issues. The Program aims to improve effectiveness and reliability, environ</w:t>
      </w:r>
      <w:r w:rsidRPr="00FB3A94">
        <w:rPr>
          <w:rFonts w:cs="Arial"/>
        </w:rPr>
        <w:lastRenderedPageBreak/>
        <w:t xml:space="preserve">mental and social acceptability of solid waste management services including collection, transport, recycling and disposal. In particular, the program targets the following aspects of SWM: (i) introduction and expansion of SW recycling; (ii) modernization of collection and transport of SW; (iii) introduction of country-wide separate waste collection; (iv) widespread introduction of separate collection of domestic hazardous waste and improvement of waste handling system for this type of waste;  (v) improvement of a waste handling system for other types of domestic waste;(vi) improvement of a system for recycling car tires. The </w:t>
      </w:r>
      <w:r w:rsidRPr="00637121">
        <w:rPr>
          <w:rFonts w:eastAsia="Times New Roman" w:cs="Arial"/>
        </w:rPr>
        <w:t>program mandates development of the National Action Plan and 16 regional action plans to start implementation of the Program</w:t>
      </w:r>
      <w:r w:rsidR="006B36B9">
        <w:rPr>
          <w:rFonts w:eastAsia="Times New Roman" w:cs="Arial"/>
        </w:rPr>
        <w:t>. This work on the action plans provides a basis for the integrated city level municipal plans to be developed under this project.</w:t>
      </w:r>
    </w:p>
    <w:p w14:paraId="6857C3B3" w14:textId="4BFBFFC0" w:rsidR="005B02B2" w:rsidRDefault="005B02B2" w:rsidP="007D6892">
      <w:pPr>
        <w:pStyle w:val="Bullets1st"/>
        <w:numPr>
          <w:ilvl w:val="0"/>
          <w:numId w:val="25"/>
        </w:numPr>
        <w:ind w:left="709"/>
      </w:pPr>
      <w:r w:rsidRPr="005B5602">
        <w:t xml:space="preserve">The Government with UNDP </w:t>
      </w:r>
      <w:r w:rsidR="00D2490E">
        <w:t>is</w:t>
      </w:r>
      <w:r w:rsidR="00D2490E" w:rsidRPr="005B5602">
        <w:t xml:space="preserve"> </w:t>
      </w:r>
      <w:r w:rsidRPr="005B5602">
        <w:t>implement</w:t>
      </w:r>
      <w:r w:rsidR="00D2490E">
        <w:t>ing</w:t>
      </w:r>
      <w:r w:rsidRPr="005B5602">
        <w:t xml:space="preserve"> a </w:t>
      </w:r>
      <w:r w:rsidRPr="005B5602">
        <w:rPr>
          <w:b/>
        </w:rPr>
        <w:t xml:space="preserve">pilot urban modernization project </w:t>
      </w:r>
      <w:r w:rsidRPr="005B5602">
        <w:t>in one of Astana’s sub-urban district (“Prigorodnoye”). This is part of the urban plan for Astana (</w:t>
      </w:r>
      <w:r w:rsidRPr="005B5602">
        <w:rPr>
          <w:i/>
          <w:lang w:eastAsia="ru-RU"/>
        </w:rPr>
        <w:t>Strategy for Sustainable Urban Development of the Capital City of Astana till 2030</w:t>
      </w:r>
      <w:r w:rsidRPr="005B5602">
        <w:rPr>
          <w:lang w:eastAsia="ru-RU"/>
        </w:rPr>
        <w:t>), which is Kazakhstan’s first urban de</w:t>
      </w:r>
      <w:r w:rsidRPr="005B5602">
        <w:rPr>
          <w:lang w:eastAsia="ru-RU"/>
        </w:rPr>
        <w:lastRenderedPageBreak/>
        <w:t>velopment plan that fully embraces the concept of “sustainability”</w:t>
      </w:r>
      <w:r w:rsidRPr="005B5602">
        <w:rPr>
          <w:rStyle w:val="FootnoteReference"/>
          <w:lang w:eastAsia="ru-RU"/>
        </w:rPr>
        <w:footnoteReference w:id="14"/>
      </w:r>
      <w:r w:rsidRPr="005B5602">
        <w:rPr>
          <w:lang w:eastAsia="ru-RU"/>
        </w:rPr>
        <w:t xml:space="preserve">. </w:t>
      </w:r>
      <w:r w:rsidRPr="005B5602">
        <w:t>The objective of this pilot is to demonstrate a comprehensive approach to modernization and management of urban areas</w:t>
      </w:r>
      <w:r w:rsidR="007F4E03">
        <w:t>,</w:t>
      </w:r>
      <w:r w:rsidRPr="005B5602">
        <w:t xml:space="preserve"> and provision of sustainable and reliable public services to </w:t>
      </w:r>
      <w:r w:rsidR="007F4E03">
        <w:t xml:space="preserve">the </w:t>
      </w:r>
      <w:r w:rsidRPr="005B5602">
        <w:t>city’s</w:t>
      </w:r>
      <w:r w:rsidR="007F4E03">
        <w:t xml:space="preserve"> residents. The district is </w:t>
      </w:r>
      <w:r w:rsidRPr="005B5602">
        <w:t>home to 2,</w:t>
      </w:r>
      <w:r w:rsidR="009708D6">
        <w:t>2</w:t>
      </w:r>
      <w:r w:rsidRPr="005B5602">
        <w:t>00 people</w:t>
      </w:r>
      <w:r w:rsidR="009708D6">
        <w:t xml:space="preserve"> with an area of 2 km</w:t>
      </w:r>
      <w:r w:rsidR="009708D6">
        <w:rPr>
          <w:vertAlign w:val="superscript"/>
        </w:rPr>
        <w:t>2</w:t>
      </w:r>
      <w:r w:rsidR="00217B01">
        <w:t xml:space="preserve"> consisting of 6 multi</w:t>
      </w:r>
      <w:r w:rsidR="00B4587D">
        <w:t>-</w:t>
      </w:r>
      <w:r w:rsidR="00217B01">
        <w:t>apar</w:t>
      </w:r>
      <w:r w:rsidR="001176E9">
        <w:t>t</w:t>
      </w:r>
      <w:r w:rsidR="00217B01">
        <w:t>ment buildings, a school and a kindergarten</w:t>
      </w:r>
      <w:r w:rsidR="00E90A3E">
        <w:t xml:space="preserve"> and</w:t>
      </w:r>
      <w:r w:rsidR="007F4E03">
        <w:t xml:space="preserve"> </w:t>
      </w:r>
      <w:r w:rsidRPr="005B5602">
        <w:t>is connected to national power grid and central heat and hot water supply system. District infrastructure (heat and hot water supply network, sanitation, public and residential buildings) dates bac</w:t>
      </w:r>
      <w:r w:rsidR="007F4E03">
        <w:t xml:space="preserve">k </w:t>
      </w:r>
      <w:r w:rsidRPr="005B5602">
        <w:t>35</w:t>
      </w:r>
      <w:r w:rsidR="007F4E03">
        <w:t xml:space="preserve"> to </w:t>
      </w:r>
      <w:r w:rsidRPr="005B5602">
        <w:t>40 years ago and need</w:t>
      </w:r>
      <w:r w:rsidR="007F4E03">
        <w:t xml:space="preserve">s </w:t>
      </w:r>
      <w:r w:rsidRPr="005B5602">
        <w:t xml:space="preserve">urgent renovation and upgrade. UNDP </w:t>
      </w:r>
      <w:r w:rsidR="00D2490E">
        <w:t>has</w:t>
      </w:r>
      <w:r w:rsidRPr="005B5602">
        <w:t xml:space="preserve"> develop</w:t>
      </w:r>
      <w:r w:rsidR="006D1CD5">
        <w:t>ed</w:t>
      </w:r>
      <w:r w:rsidRPr="005B5602">
        <w:t xml:space="preserve"> </w:t>
      </w:r>
      <w:r w:rsidR="007F4E03">
        <w:t xml:space="preserve">the </w:t>
      </w:r>
      <w:r w:rsidR="007F4E03" w:rsidRPr="005B5602">
        <w:t>modernization program</w:t>
      </w:r>
      <w:r w:rsidR="007F4E03">
        <w:t>’s technical design</w:t>
      </w:r>
      <w:r w:rsidRPr="005B5602">
        <w:t xml:space="preserve">, </w:t>
      </w:r>
      <w:r w:rsidR="006D1CD5">
        <w:t xml:space="preserve">and is currently </w:t>
      </w:r>
      <w:r w:rsidRPr="005B5602">
        <w:t>work</w:t>
      </w:r>
      <w:r w:rsidR="006D1CD5">
        <w:t>ing</w:t>
      </w:r>
      <w:r w:rsidRPr="005B5602">
        <w:t xml:space="preserve"> out </w:t>
      </w:r>
      <w:r w:rsidR="007F4E03">
        <w:t xml:space="preserve">the </w:t>
      </w:r>
      <w:r w:rsidRPr="005B5602">
        <w:t>appropriate institutional framework (involving MMC and Association of Apartment Owners) and structur</w:t>
      </w:r>
      <w:r w:rsidR="006D1CD5">
        <w:t>ing</w:t>
      </w:r>
      <w:r w:rsidRPr="005B5602">
        <w:t xml:space="preserve"> finan</w:t>
      </w:r>
      <w:r w:rsidR="00220AA1">
        <w:t xml:space="preserve">cing for program implementation with the </w:t>
      </w:r>
      <w:r w:rsidR="00220AA1" w:rsidRPr="00220AA1">
        <w:t xml:space="preserve">Akimat </w:t>
      </w:r>
      <w:r w:rsidR="00220AA1">
        <w:t xml:space="preserve">requesting UNDP </w:t>
      </w:r>
      <w:r w:rsidR="00220AA1" w:rsidRPr="00220AA1">
        <w:t>to produce detailed design documentation (including costs) for (i) renovation incl</w:t>
      </w:r>
      <w:r w:rsidR="00220AA1">
        <w:t>uding</w:t>
      </w:r>
      <w:r w:rsidR="00220AA1" w:rsidRPr="00220AA1">
        <w:t xml:space="preserve"> thermal upgrade of a residential building and (ii) renovation of a heating network in Prigorodnoye. </w:t>
      </w:r>
      <w:r w:rsidR="00220AA1">
        <w:t xml:space="preserve">The design documentation </w:t>
      </w:r>
      <w:r w:rsidR="00220AA1" w:rsidRPr="00220AA1">
        <w:t xml:space="preserve">will be available in </w:t>
      </w:r>
      <w:r w:rsidR="00220AA1" w:rsidRPr="00220AA1">
        <w:lastRenderedPageBreak/>
        <w:t>October</w:t>
      </w:r>
      <w:r w:rsidR="00220AA1">
        <w:t xml:space="preserve"> 2014</w:t>
      </w:r>
      <w:r w:rsidR="00220AA1" w:rsidRPr="00220AA1">
        <w:t xml:space="preserve">. Based on cost estimates, the Akimat </w:t>
      </w:r>
      <w:r w:rsidR="00220AA1">
        <w:t xml:space="preserve">will then </w:t>
      </w:r>
      <w:r w:rsidR="00220AA1" w:rsidRPr="00220AA1">
        <w:t>decide on sources of financing and how many buildings and km of network can actually be renovated. A financing scheme (proportion of grant, public, credit financing) will also be discussed once cost estimates are available.</w:t>
      </w:r>
      <w:r w:rsidRPr="005B5602">
        <w:t xml:space="preserve"> The Government and UNDP have committed US$ 11 million for program design and </w:t>
      </w:r>
      <w:r w:rsidR="007F4E03">
        <w:t xml:space="preserve">the </w:t>
      </w:r>
      <w:r w:rsidRPr="00220AA1">
        <w:t>implementation</w:t>
      </w:r>
      <w:r w:rsidRPr="00220AA1">
        <w:rPr>
          <w:rStyle w:val="FootnoteReference"/>
        </w:rPr>
        <w:footnoteReference w:id="15"/>
      </w:r>
      <w:r w:rsidRPr="00220AA1">
        <w:t xml:space="preserve">. </w:t>
      </w:r>
    </w:p>
    <w:p w14:paraId="01027A58" w14:textId="0117DCA0" w:rsidR="00854E83" w:rsidRPr="00220AA1" w:rsidRDefault="00854E83" w:rsidP="00854E83">
      <w:pPr>
        <w:pStyle w:val="Bodynumbered"/>
      </w:pPr>
      <w:r>
        <w:t xml:space="preserve">In addition to government and multilaterial activities, there are some relevant companies active in urban energy efficiency. Notably </w:t>
      </w:r>
      <w:r w:rsidRPr="00854E83">
        <w:t>Grundfos Central Asia has expressed its interested to partner with the project and will contribute with pump audits and follow-up investment activities of total budget up to US$ 4 million. Grundfos is also potentially working on NAMA related activities in the future with funding from the Government of Denmark.</w:t>
      </w:r>
    </w:p>
    <w:p w14:paraId="09FBA43D" w14:textId="77777777" w:rsidR="005B02B2" w:rsidRPr="004A2A83" w:rsidRDefault="005B02B2" w:rsidP="004A2A83">
      <w:pPr>
        <w:pStyle w:val="Bodynumbered"/>
        <w:keepNext/>
        <w:keepLines/>
        <w:numPr>
          <w:ilvl w:val="0"/>
          <w:numId w:val="0"/>
        </w:numPr>
        <w:rPr>
          <w:i/>
        </w:rPr>
      </w:pPr>
      <w:bookmarkStart w:id="24" w:name="_Toc362384306"/>
      <w:bookmarkStart w:id="25" w:name="_Toc247945355"/>
      <w:r w:rsidRPr="004A2A83">
        <w:rPr>
          <w:i/>
        </w:rPr>
        <w:lastRenderedPageBreak/>
        <w:t xml:space="preserve">Table </w:t>
      </w:r>
      <w:r w:rsidR="00EE1A48" w:rsidRPr="004A2A83">
        <w:rPr>
          <w:i/>
        </w:rPr>
        <w:fldChar w:fldCharType="begin"/>
      </w:r>
      <w:r w:rsidRPr="004A2A83">
        <w:rPr>
          <w:i/>
        </w:rPr>
        <w:instrText xml:space="preserve"> SEQ Table \* ARABIC </w:instrText>
      </w:r>
      <w:r w:rsidR="00EE1A48" w:rsidRPr="004A2A83">
        <w:rPr>
          <w:i/>
        </w:rPr>
        <w:fldChar w:fldCharType="separate"/>
      </w:r>
      <w:r w:rsidR="003B3B2B">
        <w:rPr>
          <w:i/>
          <w:noProof/>
        </w:rPr>
        <w:t>2</w:t>
      </w:r>
      <w:r w:rsidR="00EE1A48" w:rsidRPr="004A2A83">
        <w:rPr>
          <w:i/>
        </w:rPr>
        <w:fldChar w:fldCharType="end"/>
      </w:r>
      <w:r w:rsidRPr="004A2A83">
        <w:rPr>
          <w:i/>
        </w:rPr>
        <w:t xml:space="preserve"> </w:t>
      </w:r>
      <w:r w:rsidR="00246405" w:rsidRPr="004A2A83">
        <w:rPr>
          <w:i/>
        </w:rPr>
        <w:t xml:space="preserve">Summary of </w:t>
      </w:r>
      <w:r w:rsidR="00D41D4F" w:rsidRPr="004A2A83">
        <w:rPr>
          <w:i/>
        </w:rPr>
        <w:t xml:space="preserve">the Project’s </w:t>
      </w:r>
      <w:r w:rsidR="00246405" w:rsidRPr="004A2A83">
        <w:rPr>
          <w:i/>
        </w:rPr>
        <w:t>b</w:t>
      </w:r>
      <w:r w:rsidRPr="004A2A83">
        <w:rPr>
          <w:i/>
        </w:rPr>
        <w:t>aseline activities and financing</w:t>
      </w:r>
      <w:bookmarkEnd w:id="24"/>
      <w:r w:rsidR="00C47642" w:rsidRPr="004A2A83">
        <w:rPr>
          <w:i/>
        </w:rPr>
        <w:t>, presented by Project Component</w:t>
      </w:r>
      <w:bookmarkEnd w:id="2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9"/>
        <w:gridCol w:w="4767"/>
        <w:gridCol w:w="1917"/>
      </w:tblGrid>
      <w:tr w:rsidR="00D559F6" w:rsidRPr="007201AA" w14:paraId="62E4B858" w14:textId="77777777">
        <w:trPr>
          <w:tblHeader/>
        </w:trPr>
        <w:tc>
          <w:tcPr>
            <w:tcW w:w="0" w:type="auto"/>
            <w:shd w:val="clear" w:color="auto" w:fill="auto"/>
          </w:tcPr>
          <w:p w14:paraId="15D87574" w14:textId="77777777" w:rsidR="005B02B2" w:rsidRPr="007201AA" w:rsidRDefault="005B02B2" w:rsidP="007201AA">
            <w:pPr>
              <w:spacing w:after="0"/>
              <w:jc w:val="left"/>
              <w:rPr>
                <w:rFonts w:cs="Arial"/>
                <w:b/>
                <w:sz w:val="18"/>
                <w:szCs w:val="18"/>
              </w:rPr>
            </w:pPr>
            <w:r w:rsidRPr="007201AA">
              <w:rPr>
                <w:rFonts w:cs="Arial"/>
                <w:b/>
                <w:sz w:val="18"/>
                <w:szCs w:val="18"/>
              </w:rPr>
              <w:t xml:space="preserve">Source </w:t>
            </w:r>
            <w:r w:rsidR="00D41D4F" w:rsidRPr="007201AA">
              <w:rPr>
                <w:rFonts w:cs="Arial"/>
                <w:b/>
                <w:sz w:val="18"/>
                <w:szCs w:val="18"/>
              </w:rPr>
              <w:t>by Component</w:t>
            </w:r>
          </w:p>
        </w:tc>
        <w:tc>
          <w:tcPr>
            <w:tcW w:w="0" w:type="auto"/>
            <w:shd w:val="clear" w:color="auto" w:fill="auto"/>
          </w:tcPr>
          <w:p w14:paraId="2C1EACF2" w14:textId="77777777" w:rsidR="005B02B2" w:rsidRPr="007201AA" w:rsidRDefault="005B02B2" w:rsidP="00246405">
            <w:pPr>
              <w:spacing w:after="0"/>
              <w:jc w:val="left"/>
              <w:rPr>
                <w:rFonts w:cs="Arial"/>
                <w:b/>
                <w:sz w:val="18"/>
                <w:szCs w:val="18"/>
              </w:rPr>
            </w:pPr>
            <w:r w:rsidRPr="007201AA">
              <w:rPr>
                <w:rFonts w:cs="Arial"/>
                <w:b/>
                <w:sz w:val="18"/>
                <w:szCs w:val="18"/>
              </w:rPr>
              <w:t>Relevant Activity</w:t>
            </w:r>
          </w:p>
        </w:tc>
        <w:tc>
          <w:tcPr>
            <w:tcW w:w="0" w:type="auto"/>
            <w:shd w:val="clear" w:color="auto" w:fill="auto"/>
          </w:tcPr>
          <w:p w14:paraId="2FDD9688" w14:textId="0274F641" w:rsidR="005B02B2" w:rsidRPr="007201AA" w:rsidRDefault="00246405" w:rsidP="00D41D4F">
            <w:pPr>
              <w:spacing w:after="0"/>
              <w:jc w:val="center"/>
              <w:rPr>
                <w:rFonts w:cs="Arial"/>
                <w:b/>
                <w:sz w:val="18"/>
                <w:szCs w:val="18"/>
              </w:rPr>
            </w:pPr>
            <w:r w:rsidRPr="007201AA">
              <w:rPr>
                <w:rFonts w:cs="Arial"/>
                <w:b/>
                <w:sz w:val="18"/>
                <w:szCs w:val="18"/>
              </w:rPr>
              <w:t>Amount (USD)</w:t>
            </w:r>
            <w:r w:rsidR="008D15C3">
              <w:rPr>
                <w:rFonts w:cs="Arial"/>
                <w:b/>
                <w:sz w:val="18"/>
                <w:szCs w:val="18"/>
              </w:rPr>
              <w:t>*</w:t>
            </w:r>
          </w:p>
        </w:tc>
      </w:tr>
      <w:tr w:rsidR="007201AA" w:rsidRPr="007201AA" w14:paraId="1DE18BA7" w14:textId="77777777" w:rsidTr="00BF3DBF">
        <w:tc>
          <w:tcPr>
            <w:tcW w:w="0" w:type="auto"/>
            <w:gridSpan w:val="3"/>
            <w:shd w:val="clear" w:color="auto" w:fill="auto"/>
          </w:tcPr>
          <w:p w14:paraId="7B80F91B" w14:textId="77777777" w:rsidR="007201AA" w:rsidRPr="007201AA" w:rsidRDefault="007201AA" w:rsidP="00246405">
            <w:pPr>
              <w:spacing w:after="0"/>
              <w:jc w:val="left"/>
              <w:rPr>
                <w:rFonts w:cs="Arial"/>
                <w:b/>
                <w:i/>
                <w:sz w:val="18"/>
                <w:szCs w:val="18"/>
              </w:rPr>
            </w:pPr>
            <w:r w:rsidRPr="007201AA">
              <w:rPr>
                <w:rFonts w:cs="Arial"/>
                <w:b/>
                <w:i/>
                <w:sz w:val="18"/>
                <w:szCs w:val="18"/>
              </w:rPr>
              <w:t>Component 1 – Integrated municipal planning, targets and prioritization for urban mitigation actions</w:t>
            </w:r>
          </w:p>
        </w:tc>
      </w:tr>
      <w:tr w:rsidR="008D15C3" w:rsidRPr="007201AA" w14:paraId="5ABA9DBF" w14:textId="77777777" w:rsidTr="00AA5BF6">
        <w:tc>
          <w:tcPr>
            <w:tcW w:w="0" w:type="auto"/>
            <w:shd w:val="clear" w:color="auto" w:fill="auto"/>
          </w:tcPr>
          <w:p w14:paraId="70B74F78" w14:textId="77777777" w:rsidR="008D15C3" w:rsidRPr="007201AA" w:rsidRDefault="008D15C3" w:rsidP="00482879">
            <w:pPr>
              <w:spacing w:after="0"/>
              <w:jc w:val="left"/>
              <w:rPr>
                <w:rFonts w:cs="Arial"/>
                <w:sz w:val="18"/>
                <w:szCs w:val="18"/>
              </w:rPr>
            </w:pPr>
            <w:r w:rsidRPr="007201AA">
              <w:rPr>
                <w:rFonts w:cs="Arial"/>
                <w:sz w:val="18"/>
                <w:szCs w:val="18"/>
              </w:rPr>
              <w:t>Ministry of Environment and Water Resources</w:t>
            </w:r>
          </w:p>
        </w:tc>
        <w:tc>
          <w:tcPr>
            <w:tcW w:w="0" w:type="auto"/>
            <w:shd w:val="clear" w:color="auto" w:fill="auto"/>
          </w:tcPr>
          <w:p w14:paraId="4370AB93" w14:textId="141E5AFD" w:rsidR="008D15C3" w:rsidRPr="007201AA" w:rsidRDefault="008D15C3" w:rsidP="008D15C3">
            <w:pPr>
              <w:spacing w:after="0"/>
              <w:jc w:val="left"/>
              <w:rPr>
                <w:rFonts w:cs="Arial"/>
                <w:sz w:val="18"/>
                <w:szCs w:val="18"/>
              </w:rPr>
            </w:pPr>
            <w:r>
              <w:rPr>
                <w:rFonts w:cs="Arial"/>
                <w:sz w:val="18"/>
                <w:szCs w:val="18"/>
              </w:rPr>
              <w:t>Development of</w:t>
            </w:r>
            <w:r w:rsidRPr="007201AA">
              <w:rPr>
                <w:rFonts w:cs="Arial"/>
                <w:sz w:val="18"/>
                <w:szCs w:val="18"/>
              </w:rPr>
              <w:t xml:space="preserve"> Action Plan</w:t>
            </w:r>
            <w:r>
              <w:rPr>
                <w:rFonts w:cs="Arial"/>
                <w:sz w:val="18"/>
                <w:szCs w:val="18"/>
              </w:rPr>
              <w:t>s</w:t>
            </w:r>
            <w:r w:rsidRPr="007201AA">
              <w:rPr>
                <w:rFonts w:cs="Arial"/>
                <w:sz w:val="18"/>
                <w:szCs w:val="18"/>
              </w:rPr>
              <w:t xml:space="preserve"> </w:t>
            </w:r>
            <w:r>
              <w:rPr>
                <w:rFonts w:cs="Arial"/>
                <w:sz w:val="18"/>
                <w:szCs w:val="18"/>
              </w:rPr>
              <w:t>of the National Solid Waste Management Program</w:t>
            </w:r>
          </w:p>
        </w:tc>
        <w:tc>
          <w:tcPr>
            <w:tcW w:w="0" w:type="auto"/>
            <w:shd w:val="clear" w:color="auto" w:fill="auto"/>
            <w:vAlign w:val="center"/>
          </w:tcPr>
          <w:p w14:paraId="5472FF57" w14:textId="7D97CFC1" w:rsidR="008D15C3" w:rsidRPr="007201AA" w:rsidRDefault="008D15C3" w:rsidP="00D41D4F">
            <w:pPr>
              <w:spacing w:after="0"/>
              <w:ind w:right="270"/>
              <w:jc w:val="right"/>
              <w:rPr>
                <w:rFonts w:cs="Arial"/>
                <w:sz w:val="18"/>
                <w:szCs w:val="18"/>
              </w:rPr>
            </w:pPr>
            <w:r>
              <w:rPr>
                <w:rFonts w:cs="Arial"/>
                <w:sz w:val="18"/>
                <w:szCs w:val="18"/>
              </w:rPr>
              <w:t>2,179,243</w:t>
            </w:r>
            <w:r>
              <w:rPr>
                <w:rStyle w:val="FootnoteReference"/>
                <w:szCs w:val="18"/>
              </w:rPr>
              <w:footnoteReference w:id="16"/>
            </w:r>
          </w:p>
        </w:tc>
      </w:tr>
      <w:tr w:rsidR="008D15C3" w:rsidRPr="007201AA" w14:paraId="03599388" w14:textId="77777777" w:rsidTr="00AA5BF6">
        <w:tc>
          <w:tcPr>
            <w:tcW w:w="0" w:type="auto"/>
            <w:shd w:val="clear" w:color="auto" w:fill="auto"/>
          </w:tcPr>
          <w:p w14:paraId="44428CDE" w14:textId="77777777" w:rsidR="008D15C3" w:rsidRPr="007201AA" w:rsidRDefault="008D15C3" w:rsidP="00246405">
            <w:pPr>
              <w:spacing w:after="0"/>
              <w:jc w:val="left"/>
              <w:rPr>
                <w:rFonts w:cs="Arial"/>
                <w:sz w:val="18"/>
                <w:szCs w:val="18"/>
              </w:rPr>
            </w:pPr>
            <w:r w:rsidRPr="007201AA">
              <w:rPr>
                <w:rFonts w:cs="Arial"/>
                <w:sz w:val="18"/>
                <w:szCs w:val="18"/>
              </w:rPr>
              <w:t>UNDP</w:t>
            </w:r>
          </w:p>
        </w:tc>
        <w:tc>
          <w:tcPr>
            <w:tcW w:w="0" w:type="auto"/>
            <w:shd w:val="clear" w:color="auto" w:fill="auto"/>
          </w:tcPr>
          <w:p w14:paraId="4822EA61" w14:textId="77777777" w:rsidR="008D15C3" w:rsidRPr="007201AA" w:rsidRDefault="008D15C3" w:rsidP="00246405">
            <w:pPr>
              <w:spacing w:after="0"/>
              <w:jc w:val="left"/>
              <w:rPr>
                <w:rFonts w:cs="Arial"/>
                <w:sz w:val="18"/>
                <w:szCs w:val="18"/>
              </w:rPr>
            </w:pPr>
            <w:r w:rsidRPr="007201AA">
              <w:rPr>
                <w:rFonts w:cs="Arial"/>
                <w:sz w:val="18"/>
                <w:szCs w:val="18"/>
              </w:rPr>
              <w:t>Assessment of potential for GHG emission reduction in urban sector (nation-wide)</w:t>
            </w:r>
          </w:p>
        </w:tc>
        <w:tc>
          <w:tcPr>
            <w:tcW w:w="0" w:type="auto"/>
            <w:shd w:val="clear" w:color="auto" w:fill="auto"/>
            <w:vAlign w:val="center"/>
          </w:tcPr>
          <w:p w14:paraId="7E865AE2" w14:textId="47BD1135" w:rsidR="008D15C3" w:rsidRPr="007201AA" w:rsidRDefault="008D15C3" w:rsidP="00D41D4F">
            <w:pPr>
              <w:spacing w:after="0"/>
              <w:ind w:right="270"/>
              <w:jc w:val="right"/>
              <w:rPr>
                <w:rFonts w:cs="Arial"/>
                <w:sz w:val="18"/>
                <w:szCs w:val="18"/>
              </w:rPr>
            </w:pPr>
            <w:r>
              <w:rPr>
                <w:rFonts w:cs="Arial"/>
                <w:sz w:val="18"/>
                <w:szCs w:val="18"/>
              </w:rPr>
              <w:t>60,000</w:t>
            </w:r>
          </w:p>
        </w:tc>
      </w:tr>
      <w:tr w:rsidR="008D15C3" w:rsidRPr="007201AA" w14:paraId="09DF4DA7" w14:textId="77777777" w:rsidTr="00AA5BF6">
        <w:tc>
          <w:tcPr>
            <w:tcW w:w="0" w:type="auto"/>
            <w:shd w:val="clear" w:color="auto" w:fill="auto"/>
          </w:tcPr>
          <w:p w14:paraId="1E7D6C99" w14:textId="77777777" w:rsidR="008D15C3" w:rsidRPr="007201AA" w:rsidRDefault="008D15C3" w:rsidP="00246405">
            <w:pPr>
              <w:spacing w:after="0"/>
              <w:jc w:val="left"/>
              <w:rPr>
                <w:rFonts w:cs="Arial"/>
                <w:sz w:val="18"/>
                <w:szCs w:val="18"/>
              </w:rPr>
            </w:pPr>
            <w:r w:rsidRPr="007201AA">
              <w:rPr>
                <w:rFonts w:cs="Arial"/>
                <w:sz w:val="18"/>
                <w:szCs w:val="18"/>
              </w:rPr>
              <w:t>Grundfos</w:t>
            </w:r>
          </w:p>
        </w:tc>
        <w:tc>
          <w:tcPr>
            <w:tcW w:w="0" w:type="auto"/>
            <w:shd w:val="clear" w:color="auto" w:fill="auto"/>
          </w:tcPr>
          <w:p w14:paraId="4CBBF928" w14:textId="77777777" w:rsidR="008D15C3" w:rsidRPr="007201AA" w:rsidRDefault="008D15C3" w:rsidP="00246405">
            <w:pPr>
              <w:spacing w:after="0"/>
              <w:jc w:val="left"/>
              <w:rPr>
                <w:rFonts w:cs="Arial"/>
                <w:sz w:val="18"/>
                <w:szCs w:val="18"/>
              </w:rPr>
            </w:pPr>
            <w:r w:rsidRPr="007201AA">
              <w:rPr>
                <w:rFonts w:cs="Arial"/>
                <w:sz w:val="18"/>
                <w:szCs w:val="18"/>
              </w:rPr>
              <w:t>Pump audits and follow-up investments in pilot cities</w:t>
            </w:r>
          </w:p>
        </w:tc>
        <w:tc>
          <w:tcPr>
            <w:tcW w:w="0" w:type="auto"/>
            <w:shd w:val="clear" w:color="auto" w:fill="auto"/>
            <w:vAlign w:val="center"/>
          </w:tcPr>
          <w:p w14:paraId="6252499F" w14:textId="1DE537BB" w:rsidR="008D15C3" w:rsidRPr="007201AA" w:rsidRDefault="008D15C3" w:rsidP="00D41D4F">
            <w:pPr>
              <w:spacing w:after="0"/>
              <w:ind w:right="270"/>
              <w:jc w:val="right"/>
              <w:rPr>
                <w:rFonts w:cs="Arial"/>
                <w:sz w:val="18"/>
                <w:szCs w:val="18"/>
              </w:rPr>
            </w:pPr>
            <w:r w:rsidRPr="008D15C3">
              <w:rPr>
                <w:rFonts w:cs="Arial"/>
                <w:sz w:val="18"/>
                <w:szCs w:val="18"/>
              </w:rPr>
              <w:t>855,000</w:t>
            </w:r>
          </w:p>
        </w:tc>
      </w:tr>
      <w:tr w:rsidR="007201AA" w:rsidRPr="007201AA" w14:paraId="22A04C52" w14:textId="77777777" w:rsidTr="00BF3DBF">
        <w:tc>
          <w:tcPr>
            <w:tcW w:w="0" w:type="auto"/>
            <w:gridSpan w:val="3"/>
            <w:shd w:val="clear" w:color="auto" w:fill="auto"/>
          </w:tcPr>
          <w:p w14:paraId="56B2C0EE" w14:textId="77777777" w:rsidR="007201AA" w:rsidRPr="007201AA" w:rsidRDefault="007201AA" w:rsidP="007201AA">
            <w:pPr>
              <w:spacing w:after="0"/>
              <w:ind w:right="270"/>
              <w:jc w:val="left"/>
              <w:rPr>
                <w:rFonts w:cs="Arial"/>
                <w:b/>
                <w:i/>
                <w:sz w:val="18"/>
                <w:szCs w:val="18"/>
              </w:rPr>
            </w:pPr>
            <w:r w:rsidRPr="007201AA">
              <w:rPr>
                <w:rFonts w:cs="Arial"/>
                <w:b/>
                <w:i/>
                <w:sz w:val="18"/>
                <w:szCs w:val="18"/>
              </w:rPr>
              <w:t>Component 2 – Institutional framework for urban NAMAs</w:t>
            </w:r>
          </w:p>
        </w:tc>
      </w:tr>
      <w:tr w:rsidR="00D559F6" w:rsidRPr="007201AA" w14:paraId="0E01110C" w14:textId="77777777">
        <w:tc>
          <w:tcPr>
            <w:tcW w:w="0" w:type="auto"/>
            <w:tcBorders>
              <w:top w:val="single" w:sz="4" w:space="0" w:color="auto"/>
              <w:left w:val="single" w:sz="4" w:space="0" w:color="auto"/>
              <w:bottom w:val="single" w:sz="4" w:space="0" w:color="auto"/>
              <w:right w:val="single" w:sz="4" w:space="0" w:color="auto"/>
            </w:tcBorders>
            <w:shd w:val="clear" w:color="auto" w:fill="auto"/>
          </w:tcPr>
          <w:p w14:paraId="7A9CA1CE" w14:textId="3199D535" w:rsidR="005B02B2" w:rsidRPr="007201AA" w:rsidRDefault="008D15C3" w:rsidP="008D15C3">
            <w:pPr>
              <w:spacing w:after="0"/>
              <w:jc w:val="left"/>
              <w:rPr>
                <w:rFonts w:cs="Arial"/>
                <w:sz w:val="18"/>
                <w:szCs w:val="18"/>
              </w:rPr>
            </w:pPr>
            <w:r>
              <w:rPr>
                <w:rFonts w:cs="Arial"/>
                <w:sz w:val="18"/>
                <w:szCs w:val="18"/>
              </w:rPr>
              <w:t>MRD</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5F848A1" w14:textId="77777777" w:rsidR="005B02B2" w:rsidRPr="007201AA" w:rsidRDefault="005B02B2" w:rsidP="00246405">
            <w:pPr>
              <w:spacing w:after="0"/>
              <w:jc w:val="left"/>
              <w:rPr>
                <w:rFonts w:cs="Arial"/>
                <w:sz w:val="18"/>
                <w:szCs w:val="18"/>
              </w:rPr>
            </w:pPr>
            <w:r w:rsidRPr="007201AA">
              <w:rPr>
                <w:rFonts w:cs="Arial"/>
                <w:sz w:val="18"/>
                <w:szCs w:val="18"/>
              </w:rPr>
              <w:t>Establishment and capacity building of MMCs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1073ECE" w14:textId="758774DF" w:rsidR="005B02B2" w:rsidRPr="007201AA" w:rsidRDefault="005B02B2" w:rsidP="008D15C3">
            <w:pPr>
              <w:spacing w:after="0"/>
              <w:ind w:right="270"/>
              <w:jc w:val="right"/>
              <w:rPr>
                <w:rFonts w:cs="Arial"/>
                <w:sz w:val="18"/>
                <w:szCs w:val="18"/>
              </w:rPr>
            </w:pPr>
            <w:r w:rsidRPr="008D15C3">
              <w:rPr>
                <w:rFonts w:cs="Arial"/>
                <w:sz w:val="18"/>
                <w:szCs w:val="18"/>
              </w:rPr>
              <w:t>1,500,000</w:t>
            </w:r>
          </w:p>
        </w:tc>
      </w:tr>
      <w:tr w:rsidR="0056598B" w:rsidRPr="007201AA" w14:paraId="2F9E8B11" w14:textId="77777777">
        <w:tc>
          <w:tcPr>
            <w:tcW w:w="0" w:type="auto"/>
            <w:tcBorders>
              <w:top w:val="single" w:sz="4" w:space="0" w:color="auto"/>
              <w:left w:val="single" w:sz="4" w:space="0" w:color="auto"/>
              <w:bottom w:val="single" w:sz="4" w:space="0" w:color="auto"/>
              <w:right w:val="single" w:sz="4" w:space="0" w:color="auto"/>
            </w:tcBorders>
            <w:shd w:val="clear" w:color="auto" w:fill="auto"/>
          </w:tcPr>
          <w:p w14:paraId="352493D8" w14:textId="4A7B28F7" w:rsidR="0056598B" w:rsidRDefault="0056598B" w:rsidP="008D15C3">
            <w:pPr>
              <w:spacing w:after="0"/>
              <w:jc w:val="left"/>
              <w:rPr>
                <w:rFonts w:cs="Arial"/>
                <w:sz w:val="18"/>
                <w:szCs w:val="18"/>
              </w:rPr>
            </w:pPr>
            <w:r>
              <w:rPr>
                <w:rFonts w:cs="Arial"/>
                <w:sz w:val="18"/>
                <w:szCs w:val="18"/>
              </w:rPr>
              <w:t>IFC</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7488EBF" w14:textId="71DF6E7C" w:rsidR="0056598B" w:rsidRPr="007201AA" w:rsidRDefault="0056598B" w:rsidP="00246405">
            <w:pPr>
              <w:spacing w:after="0"/>
              <w:jc w:val="left"/>
              <w:rPr>
                <w:rFonts w:cs="Arial"/>
                <w:sz w:val="18"/>
                <w:szCs w:val="18"/>
              </w:rPr>
            </w:pPr>
            <w:r>
              <w:rPr>
                <w:rFonts w:cs="Arial"/>
                <w:sz w:val="18"/>
                <w:szCs w:val="18"/>
              </w:rPr>
              <w:t>Advisory services</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159927F4" w14:textId="66E499E9" w:rsidR="0056598B" w:rsidRPr="008D15C3" w:rsidRDefault="0056598B" w:rsidP="008D15C3">
            <w:pPr>
              <w:spacing w:after="0"/>
              <w:ind w:right="270"/>
              <w:jc w:val="right"/>
              <w:rPr>
                <w:rFonts w:cs="Arial"/>
                <w:sz w:val="18"/>
                <w:szCs w:val="18"/>
              </w:rPr>
            </w:pPr>
            <w:r>
              <w:rPr>
                <w:rFonts w:cs="Arial"/>
                <w:sz w:val="18"/>
                <w:szCs w:val="18"/>
              </w:rPr>
              <w:t>600,000</w:t>
            </w:r>
            <w:r w:rsidR="00601401">
              <w:rPr>
                <w:rStyle w:val="FootnoteReference"/>
                <w:szCs w:val="18"/>
              </w:rPr>
              <w:footnoteReference w:id="17"/>
            </w:r>
          </w:p>
        </w:tc>
      </w:tr>
      <w:tr w:rsidR="007201AA" w:rsidRPr="007201AA" w14:paraId="0EA59FCC" w14:textId="77777777" w:rsidTr="00BF3DBF">
        <w:tc>
          <w:tcPr>
            <w:tcW w:w="0" w:type="auto"/>
            <w:gridSpan w:val="3"/>
            <w:shd w:val="clear" w:color="auto" w:fill="auto"/>
          </w:tcPr>
          <w:p w14:paraId="59F7B347" w14:textId="77777777" w:rsidR="007201AA" w:rsidRPr="007201AA" w:rsidRDefault="007201AA" w:rsidP="007201AA">
            <w:pPr>
              <w:spacing w:after="0"/>
              <w:ind w:right="270"/>
              <w:rPr>
                <w:rFonts w:cs="Arial"/>
                <w:b/>
                <w:i/>
                <w:sz w:val="18"/>
                <w:szCs w:val="18"/>
              </w:rPr>
            </w:pPr>
            <w:r w:rsidRPr="007201AA">
              <w:rPr>
                <w:rFonts w:cs="Arial"/>
                <w:b/>
                <w:i/>
                <w:sz w:val="18"/>
                <w:szCs w:val="18"/>
              </w:rPr>
              <w:t>Component 3 – Financing for urban NAMAs</w:t>
            </w:r>
          </w:p>
        </w:tc>
      </w:tr>
      <w:tr w:rsidR="00D559F6" w:rsidRPr="007201AA" w14:paraId="642DAB1E" w14:textId="77777777">
        <w:tc>
          <w:tcPr>
            <w:tcW w:w="0" w:type="auto"/>
            <w:tcBorders>
              <w:top w:val="single" w:sz="4" w:space="0" w:color="auto"/>
              <w:left w:val="single" w:sz="4" w:space="0" w:color="auto"/>
              <w:bottom w:val="single" w:sz="4" w:space="0" w:color="auto"/>
              <w:right w:val="single" w:sz="4" w:space="0" w:color="auto"/>
            </w:tcBorders>
            <w:shd w:val="clear" w:color="auto" w:fill="auto"/>
          </w:tcPr>
          <w:p w14:paraId="02F00D9C" w14:textId="77777777" w:rsidR="005B02B2" w:rsidRPr="007201AA" w:rsidRDefault="002820FC" w:rsidP="00246405">
            <w:pPr>
              <w:spacing w:after="0"/>
              <w:jc w:val="left"/>
              <w:rPr>
                <w:rFonts w:cs="Arial"/>
                <w:sz w:val="18"/>
                <w:szCs w:val="18"/>
              </w:rPr>
            </w:pPr>
            <w:r w:rsidRPr="007201AA">
              <w:rPr>
                <w:rFonts w:cs="Arial"/>
                <w:sz w:val="18"/>
                <w:szCs w:val="18"/>
              </w:rPr>
              <w:t>MRD</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E46CB80" w14:textId="054DA36F" w:rsidR="005B02B2" w:rsidRPr="007201AA" w:rsidRDefault="005B02B2" w:rsidP="00246405">
            <w:pPr>
              <w:spacing w:after="0"/>
              <w:jc w:val="left"/>
              <w:rPr>
                <w:rFonts w:cs="Arial"/>
                <w:sz w:val="18"/>
                <w:szCs w:val="18"/>
              </w:rPr>
            </w:pPr>
            <w:r w:rsidRPr="007201AA">
              <w:rPr>
                <w:rFonts w:cs="Arial"/>
                <w:sz w:val="18"/>
                <w:szCs w:val="18"/>
              </w:rPr>
              <w:t xml:space="preserve">Establishment </w:t>
            </w:r>
            <w:r w:rsidR="00D559F6">
              <w:rPr>
                <w:rFonts w:cs="Arial"/>
                <w:sz w:val="18"/>
                <w:szCs w:val="18"/>
              </w:rPr>
              <w:t xml:space="preserve">and initial capitalization </w:t>
            </w:r>
            <w:r w:rsidRPr="007201AA">
              <w:rPr>
                <w:rFonts w:cs="Arial"/>
                <w:sz w:val="18"/>
                <w:szCs w:val="18"/>
              </w:rPr>
              <w:t xml:space="preserve">of National Fund for Urban Modernization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CF9BF54" w14:textId="1538AB6B" w:rsidR="005B02B2" w:rsidRPr="008D15C3" w:rsidRDefault="005B02B2" w:rsidP="008D15C3">
            <w:pPr>
              <w:spacing w:after="0"/>
              <w:ind w:right="270"/>
              <w:jc w:val="right"/>
              <w:rPr>
                <w:rFonts w:cs="Arial"/>
                <w:sz w:val="18"/>
                <w:szCs w:val="18"/>
              </w:rPr>
            </w:pPr>
            <w:r w:rsidRPr="008D15C3">
              <w:rPr>
                <w:rFonts w:cs="Arial"/>
                <w:sz w:val="18"/>
                <w:szCs w:val="18"/>
              </w:rPr>
              <w:t>1,300,000</w:t>
            </w:r>
            <w:r w:rsidR="00DA7596" w:rsidRPr="008D15C3">
              <w:rPr>
                <w:rFonts w:cs="Arial"/>
                <w:sz w:val="18"/>
                <w:szCs w:val="18"/>
              </w:rPr>
              <w:t xml:space="preserve"> </w:t>
            </w:r>
            <w:r w:rsidR="008D15C3" w:rsidRPr="008D15C3">
              <w:rPr>
                <w:rFonts w:cs="Arial"/>
                <w:sz w:val="18"/>
                <w:szCs w:val="18"/>
              </w:rPr>
              <w:t>+15,000,000</w:t>
            </w:r>
            <w:r w:rsidR="00601401">
              <w:rPr>
                <w:rStyle w:val="FootnoteReference"/>
                <w:szCs w:val="18"/>
              </w:rPr>
              <w:footnoteReference w:id="18"/>
            </w:r>
          </w:p>
        </w:tc>
      </w:tr>
      <w:tr w:rsidR="00D559F6" w:rsidRPr="007201AA" w14:paraId="04974698" w14:textId="77777777">
        <w:tc>
          <w:tcPr>
            <w:tcW w:w="0" w:type="auto"/>
            <w:tcBorders>
              <w:top w:val="single" w:sz="4" w:space="0" w:color="auto"/>
              <w:left w:val="single" w:sz="4" w:space="0" w:color="auto"/>
              <w:bottom w:val="single" w:sz="4" w:space="0" w:color="auto"/>
              <w:right w:val="single" w:sz="4" w:space="0" w:color="auto"/>
            </w:tcBorders>
            <w:shd w:val="clear" w:color="auto" w:fill="auto"/>
          </w:tcPr>
          <w:p w14:paraId="2759FB5D" w14:textId="77777777" w:rsidR="005B02B2" w:rsidRPr="007201AA" w:rsidRDefault="005B02B2" w:rsidP="00246405">
            <w:pPr>
              <w:spacing w:after="0"/>
              <w:jc w:val="left"/>
              <w:rPr>
                <w:rFonts w:cs="Arial"/>
                <w:sz w:val="18"/>
                <w:szCs w:val="18"/>
              </w:rPr>
            </w:pPr>
            <w:r w:rsidRPr="007201AA">
              <w:rPr>
                <w:rFonts w:cs="Arial"/>
                <w:sz w:val="18"/>
                <w:szCs w:val="18"/>
              </w:rPr>
              <w:t>EADB</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20CF314" w14:textId="77777777" w:rsidR="005B02B2" w:rsidRPr="007201AA" w:rsidRDefault="005B02B2" w:rsidP="00246405">
            <w:pPr>
              <w:spacing w:after="0"/>
              <w:jc w:val="left"/>
              <w:rPr>
                <w:rFonts w:cs="Arial"/>
                <w:sz w:val="18"/>
                <w:szCs w:val="18"/>
              </w:rPr>
            </w:pPr>
            <w:r w:rsidRPr="007201AA">
              <w:rPr>
                <w:rFonts w:cs="Arial"/>
                <w:sz w:val="18"/>
                <w:szCs w:val="18"/>
              </w:rPr>
              <w:t xml:space="preserve">Loan program for energy efficiency and renewable energy in urban sector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5D62D5F" w14:textId="77777777" w:rsidR="005B02B2" w:rsidRPr="008D15C3" w:rsidRDefault="00220AA1" w:rsidP="00D41D4F">
            <w:pPr>
              <w:spacing w:after="0"/>
              <w:ind w:right="270"/>
              <w:jc w:val="right"/>
              <w:rPr>
                <w:rFonts w:cs="Arial"/>
                <w:sz w:val="18"/>
                <w:szCs w:val="18"/>
              </w:rPr>
            </w:pPr>
            <w:r w:rsidRPr="008D15C3">
              <w:rPr>
                <w:rFonts w:cs="Arial"/>
                <w:sz w:val="18"/>
                <w:szCs w:val="18"/>
              </w:rPr>
              <w:t>30</w:t>
            </w:r>
            <w:r w:rsidR="005B02B2" w:rsidRPr="008D15C3">
              <w:rPr>
                <w:rFonts w:cs="Arial"/>
                <w:sz w:val="18"/>
                <w:szCs w:val="18"/>
              </w:rPr>
              <w:t>,000,000</w:t>
            </w:r>
          </w:p>
        </w:tc>
      </w:tr>
      <w:tr w:rsidR="00D559F6" w:rsidRPr="00D559F6" w14:paraId="00846B77" w14:textId="77777777">
        <w:tc>
          <w:tcPr>
            <w:tcW w:w="0" w:type="auto"/>
            <w:tcBorders>
              <w:top w:val="single" w:sz="4" w:space="0" w:color="auto"/>
              <w:left w:val="single" w:sz="4" w:space="0" w:color="auto"/>
              <w:bottom w:val="single" w:sz="4" w:space="0" w:color="auto"/>
              <w:right w:val="single" w:sz="4" w:space="0" w:color="auto"/>
            </w:tcBorders>
            <w:shd w:val="clear" w:color="auto" w:fill="auto"/>
          </w:tcPr>
          <w:p w14:paraId="375621A3" w14:textId="017BF305" w:rsidR="00D559F6" w:rsidRPr="00D559F6" w:rsidRDefault="00D559F6" w:rsidP="00246405">
            <w:pPr>
              <w:spacing w:after="0"/>
              <w:jc w:val="left"/>
              <w:rPr>
                <w:rFonts w:cs="Arial"/>
                <w:sz w:val="18"/>
                <w:szCs w:val="18"/>
                <w:lang w:val="en-US"/>
              </w:rPr>
            </w:pPr>
            <w:r w:rsidRPr="00D559F6">
              <w:rPr>
                <w:rFonts w:cs="Arial"/>
                <w:sz w:val="18"/>
                <w:szCs w:val="18"/>
                <w:lang w:val="en-US"/>
              </w:rPr>
              <w:t>“EnKom-St” Limited Liability Company</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E5545B3" w14:textId="4A6C0405" w:rsidR="00D559F6" w:rsidRPr="00D559F6" w:rsidRDefault="00D559F6" w:rsidP="00246405">
            <w:pPr>
              <w:spacing w:after="0"/>
              <w:jc w:val="left"/>
              <w:rPr>
                <w:rFonts w:cs="Arial"/>
                <w:sz w:val="18"/>
                <w:szCs w:val="18"/>
                <w:lang w:val="en-US"/>
              </w:rPr>
            </w:pPr>
            <w:r w:rsidRPr="00D559F6">
              <w:rPr>
                <w:rFonts w:cs="Arial"/>
                <w:sz w:val="18"/>
                <w:szCs w:val="18"/>
                <w:lang w:val="en-US"/>
              </w:rPr>
              <w:t>Automation and metering of heat consumption</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285FDBEA" w14:textId="2CE30CE8" w:rsidR="00D559F6" w:rsidRPr="008D15C3" w:rsidRDefault="00D559F6" w:rsidP="001176E9">
            <w:pPr>
              <w:spacing w:after="0"/>
              <w:ind w:right="270"/>
              <w:jc w:val="right"/>
              <w:rPr>
                <w:rFonts w:cs="Arial"/>
                <w:sz w:val="18"/>
                <w:szCs w:val="18"/>
                <w:lang w:val="en-US"/>
              </w:rPr>
            </w:pPr>
            <w:r w:rsidRPr="008D15C3">
              <w:rPr>
                <w:rFonts w:cs="Arial"/>
                <w:sz w:val="18"/>
                <w:szCs w:val="18"/>
                <w:lang w:val="en-US"/>
              </w:rPr>
              <w:t>1,000,000-1,500,000</w:t>
            </w:r>
          </w:p>
        </w:tc>
      </w:tr>
      <w:tr w:rsidR="00D559F6" w:rsidRPr="00D559F6" w14:paraId="672A62F4" w14:textId="77777777">
        <w:tc>
          <w:tcPr>
            <w:tcW w:w="0" w:type="auto"/>
            <w:tcBorders>
              <w:top w:val="single" w:sz="4" w:space="0" w:color="auto"/>
              <w:left w:val="single" w:sz="4" w:space="0" w:color="auto"/>
              <w:bottom w:val="single" w:sz="4" w:space="0" w:color="auto"/>
              <w:right w:val="single" w:sz="4" w:space="0" w:color="auto"/>
            </w:tcBorders>
            <w:shd w:val="clear" w:color="auto" w:fill="auto"/>
          </w:tcPr>
          <w:p w14:paraId="26E8A32A" w14:textId="74534F73" w:rsidR="00D559F6" w:rsidRPr="00D559F6" w:rsidRDefault="00D559F6" w:rsidP="00246405">
            <w:pPr>
              <w:spacing w:after="0"/>
              <w:jc w:val="left"/>
              <w:rPr>
                <w:rFonts w:cs="Arial"/>
                <w:sz w:val="18"/>
                <w:szCs w:val="18"/>
                <w:lang w:val="en-US"/>
              </w:rPr>
            </w:pPr>
            <w:r>
              <w:rPr>
                <w:rFonts w:cs="Arial"/>
                <w:sz w:val="18"/>
                <w:szCs w:val="18"/>
                <w:lang w:val="en-US"/>
              </w:rPr>
              <w:t>Ergonomica, Ltd, First private municipal ESCO in Kazakhstan</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5C85C79" w14:textId="3F5420A0" w:rsidR="00D559F6" w:rsidRPr="00D559F6" w:rsidRDefault="00976507" w:rsidP="00246405">
            <w:pPr>
              <w:spacing w:after="0"/>
              <w:jc w:val="left"/>
              <w:rPr>
                <w:rFonts w:cs="Arial"/>
                <w:sz w:val="18"/>
                <w:szCs w:val="18"/>
                <w:lang w:val="en-US"/>
              </w:rPr>
            </w:pPr>
            <w:r>
              <w:rPr>
                <w:rFonts w:cs="Arial"/>
                <w:sz w:val="18"/>
                <w:szCs w:val="18"/>
                <w:lang w:val="en-US"/>
              </w:rPr>
              <w:t xml:space="preserve">Development and implementation of investment projects for district heating, capacity building of stakeholders, capacity building of ESCOs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2905C1C" w14:textId="797DF2A5" w:rsidR="00D559F6" w:rsidRPr="008D15C3" w:rsidRDefault="00E60F5E" w:rsidP="001176E9">
            <w:pPr>
              <w:spacing w:after="0"/>
              <w:ind w:right="270"/>
              <w:jc w:val="right"/>
              <w:rPr>
                <w:rFonts w:cs="Arial"/>
                <w:sz w:val="18"/>
                <w:szCs w:val="18"/>
                <w:lang w:val="en-US"/>
              </w:rPr>
            </w:pPr>
            <w:r>
              <w:rPr>
                <w:rFonts w:cs="Arial"/>
                <w:sz w:val="18"/>
                <w:szCs w:val="18"/>
                <w:lang w:val="en-US"/>
              </w:rPr>
              <w:t>860,659</w:t>
            </w:r>
            <w:r w:rsidR="008D15C3">
              <w:rPr>
                <w:rStyle w:val="FootnoteReference"/>
                <w:szCs w:val="18"/>
                <w:lang w:val="en-US"/>
              </w:rPr>
              <w:footnoteReference w:id="19"/>
            </w:r>
          </w:p>
        </w:tc>
      </w:tr>
      <w:tr w:rsidR="007201AA" w:rsidRPr="007201AA" w14:paraId="62363DEB" w14:textId="77777777" w:rsidTr="00BF3DBF">
        <w:tc>
          <w:tcPr>
            <w:tcW w:w="0" w:type="auto"/>
            <w:gridSpan w:val="3"/>
            <w:shd w:val="clear" w:color="auto" w:fill="auto"/>
          </w:tcPr>
          <w:p w14:paraId="7CEB194B" w14:textId="77777777" w:rsidR="007201AA" w:rsidRPr="008D15C3" w:rsidRDefault="007201AA" w:rsidP="007201AA">
            <w:pPr>
              <w:spacing w:after="0"/>
              <w:ind w:right="270"/>
              <w:jc w:val="left"/>
              <w:rPr>
                <w:rFonts w:cs="Arial"/>
                <w:b/>
                <w:i/>
                <w:sz w:val="18"/>
                <w:szCs w:val="18"/>
              </w:rPr>
            </w:pPr>
            <w:r w:rsidRPr="008D15C3">
              <w:rPr>
                <w:rFonts w:cs="Arial"/>
                <w:b/>
                <w:i/>
                <w:sz w:val="18"/>
                <w:szCs w:val="18"/>
              </w:rPr>
              <w:t>Component 4 – Implementation of pilot urban NAMAs</w:t>
            </w:r>
          </w:p>
        </w:tc>
      </w:tr>
      <w:tr w:rsidR="00D559F6" w:rsidRPr="007201AA" w14:paraId="64DFB0AE" w14:textId="77777777">
        <w:tc>
          <w:tcPr>
            <w:tcW w:w="0" w:type="auto"/>
            <w:tcBorders>
              <w:top w:val="single" w:sz="4" w:space="0" w:color="auto"/>
              <w:left w:val="single" w:sz="4" w:space="0" w:color="auto"/>
              <w:bottom w:val="single" w:sz="4" w:space="0" w:color="auto"/>
              <w:right w:val="single" w:sz="4" w:space="0" w:color="auto"/>
            </w:tcBorders>
            <w:shd w:val="clear" w:color="auto" w:fill="auto"/>
          </w:tcPr>
          <w:p w14:paraId="55F23AF5" w14:textId="77777777" w:rsidR="005B02B2" w:rsidRPr="007201AA" w:rsidRDefault="0055440C" w:rsidP="00246405">
            <w:pPr>
              <w:spacing w:after="0"/>
              <w:jc w:val="left"/>
              <w:rPr>
                <w:rFonts w:cs="Arial"/>
                <w:sz w:val="18"/>
                <w:szCs w:val="18"/>
              </w:rPr>
            </w:pPr>
            <w:r w:rsidRPr="007201AA">
              <w:rPr>
                <w:rFonts w:cs="Arial"/>
                <w:sz w:val="18"/>
                <w:szCs w:val="18"/>
              </w:rPr>
              <w:t>MRD</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48CCB9FF" w14:textId="77777777" w:rsidR="005B02B2" w:rsidRPr="007201AA" w:rsidRDefault="005B02B2" w:rsidP="00246405">
            <w:pPr>
              <w:spacing w:after="0"/>
              <w:jc w:val="left"/>
              <w:rPr>
                <w:rFonts w:cs="Arial"/>
                <w:sz w:val="18"/>
                <w:szCs w:val="18"/>
              </w:rPr>
            </w:pPr>
            <w:r w:rsidRPr="007201AA">
              <w:rPr>
                <w:rFonts w:cs="Arial"/>
                <w:sz w:val="18"/>
                <w:szCs w:val="18"/>
              </w:rPr>
              <w:t>Implementation of prioritized urban mitigation actions in pilot district “Prigorodnoye”</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108422D" w14:textId="13200471" w:rsidR="005B02B2" w:rsidRPr="008D15C3" w:rsidRDefault="005B02B2" w:rsidP="008D15C3">
            <w:pPr>
              <w:spacing w:after="0"/>
              <w:ind w:right="270"/>
              <w:jc w:val="right"/>
              <w:rPr>
                <w:rFonts w:cs="Arial"/>
                <w:sz w:val="18"/>
                <w:szCs w:val="18"/>
              </w:rPr>
            </w:pPr>
            <w:r w:rsidRPr="008D15C3">
              <w:rPr>
                <w:rFonts w:cs="Arial"/>
                <w:sz w:val="18"/>
                <w:szCs w:val="18"/>
              </w:rPr>
              <w:t>10,000,000</w:t>
            </w:r>
          </w:p>
        </w:tc>
      </w:tr>
      <w:tr w:rsidR="00D559F6" w:rsidRPr="007201AA" w14:paraId="5D00BF49" w14:textId="77777777">
        <w:tc>
          <w:tcPr>
            <w:tcW w:w="0" w:type="auto"/>
            <w:tcBorders>
              <w:top w:val="single" w:sz="4" w:space="0" w:color="auto"/>
              <w:left w:val="single" w:sz="4" w:space="0" w:color="auto"/>
              <w:bottom w:val="single" w:sz="4" w:space="0" w:color="auto"/>
              <w:right w:val="single" w:sz="4" w:space="0" w:color="auto"/>
            </w:tcBorders>
            <w:shd w:val="clear" w:color="auto" w:fill="auto"/>
          </w:tcPr>
          <w:p w14:paraId="7489F89F" w14:textId="77777777" w:rsidR="005B02B2" w:rsidRPr="007201AA" w:rsidRDefault="005B02B2" w:rsidP="00246405">
            <w:pPr>
              <w:spacing w:after="0"/>
              <w:jc w:val="left"/>
              <w:rPr>
                <w:rFonts w:cs="Arial"/>
                <w:sz w:val="18"/>
                <w:szCs w:val="18"/>
              </w:rPr>
            </w:pPr>
            <w:r w:rsidRPr="007201AA">
              <w:rPr>
                <w:rFonts w:cs="Arial"/>
                <w:sz w:val="18"/>
                <w:szCs w:val="18"/>
              </w:rPr>
              <w:t>UNDP</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6C13DDCD" w14:textId="77777777" w:rsidR="005B02B2" w:rsidRPr="007201AA" w:rsidRDefault="005B02B2" w:rsidP="00246405">
            <w:pPr>
              <w:spacing w:after="0"/>
              <w:jc w:val="left"/>
              <w:rPr>
                <w:rFonts w:cs="Arial"/>
                <w:sz w:val="18"/>
                <w:szCs w:val="18"/>
              </w:rPr>
            </w:pPr>
            <w:r w:rsidRPr="007201AA">
              <w:rPr>
                <w:rFonts w:cs="Arial"/>
                <w:sz w:val="18"/>
                <w:szCs w:val="18"/>
              </w:rPr>
              <w:t xml:space="preserve">Technical design of and institutional capacity building for pilot project implementation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5130ECFE" w14:textId="77777777" w:rsidR="005B02B2" w:rsidRPr="008D15C3" w:rsidRDefault="005B02B2" w:rsidP="00D41D4F">
            <w:pPr>
              <w:spacing w:after="0"/>
              <w:ind w:right="270"/>
              <w:jc w:val="right"/>
              <w:rPr>
                <w:rFonts w:cs="Arial"/>
                <w:sz w:val="18"/>
                <w:szCs w:val="18"/>
              </w:rPr>
            </w:pPr>
            <w:r w:rsidRPr="008D15C3">
              <w:rPr>
                <w:rFonts w:cs="Arial"/>
                <w:sz w:val="18"/>
                <w:szCs w:val="18"/>
              </w:rPr>
              <w:t>1,000,000</w:t>
            </w:r>
          </w:p>
        </w:tc>
      </w:tr>
      <w:tr w:rsidR="007201AA" w:rsidRPr="007201AA" w14:paraId="13085DE9" w14:textId="77777777" w:rsidTr="00BF3DBF">
        <w:tc>
          <w:tcPr>
            <w:tcW w:w="0" w:type="auto"/>
            <w:gridSpan w:val="3"/>
            <w:shd w:val="clear" w:color="auto" w:fill="auto"/>
          </w:tcPr>
          <w:p w14:paraId="00B74CC2" w14:textId="77777777" w:rsidR="007201AA" w:rsidRPr="007201AA" w:rsidRDefault="007201AA" w:rsidP="007201AA">
            <w:pPr>
              <w:spacing w:after="0"/>
              <w:ind w:right="270"/>
              <w:jc w:val="left"/>
              <w:rPr>
                <w:rFonts w:cs="Arial"/>
                <w:b/>
                <w:i/>
                <w:sz w:val="18"/>
                <w:szCs w:val="18"/>
              </w:rPr>
            </w:pPr>
            <w:r w:rsidRPr="007201AA">
              <w:rPr>
                <w:rFonts w:cs="Arial"/>
                <w:b/>
                <w:i/>
                <w:sz w:val="18"/>
                <w:szCs w:val="18"/>
              </w:rPr>
              <w:t>Component 5 – Monitoring, verification and knowledge management</w:t>
            </w:r>
          </w:p>
        </w:tc>
      </w:tr>
      <w:tr w:rsidR="00D559F6" w:rsidRPr="007201AA" w14:paraId="5B61F320" w14:textId="77777777">
        <w:tc>
          <w:tcPr>
            <w:tcW w:w="0" w:type="auto"/>
            <w:shd w:val="clear" w:color="auto" w:fill="auto"/>
          </w:tcPr>
          <w:p w14:paraId="4307664C" w14:textId="77777777" w:rsidR="005B02B2" w:rsidRPr="007201AA" w:rsidRDefault="005B02B2" w:rsidP="00217B01">
            <w:pPr>
              <w:spacing w:after="0"/>
              <w:jc w:val="left"/>
              <w:rPr>
                <w:rFonts w:cs="Arial"/>
                <w:sz w:val="18"/>
                <w:szCs w:val="18"/>
              </w:rPr>
            </w:pPr>
            <w:r w:rsidRPr="007201AA">
              <w:rPr>
                <w:rFonts w:cs="Arial"/>
                <w:sz w:val="18"/>
                <w:szCs w:val="18"/>
              </w:rPr>
              <w:t>ME</w:t>
            </w:r>
            <w:r w:rsidR="00217B01" w:rsidRPr="007201AA">
              <w:rPr>
                <w:rFonts w:cs="Arial"/>
                <w:sz w:val="18"/>
                <w:szCs w:val="18"/>
              </w:rPr>
              <w:t>WR</w:t>
            </w:r>
          </w:p>
        </w:tc>
        <w:tc>
          <w:tcPr>
            <w:tcW w:w="0" w:type="auto"/>
            <w:shd w:val="clear" w:color="auto" w:fill="auto"/>
          </w:tcPr>
          <w:p w14:paraId="0DEC4EDC" w14:textId="489AD1AC" w:rsidR="005B02B2" w:rsidRPr="007201AA" w:rsidRDefault="005B02B2" w:rsidP="00246405">
            <w:pPr>
              <w:spacing w:after="0"/>
              <w:jc w:val="left"/>
              <w:rPr>
                <w:rFonts w:cs="Arial"/>
                <w:sz w:val="18"/>
                <w:szCs w:val="18"/>
              </w:rPr>
            </w:pPr>
            <w:r w:rsidRPr="007201AA">
              <w:rPr>
                <w:rFonts w:cs="Arial"/>
                <w:sz w:val="18"/>
                <w:szCs w:val="18"/>
              </w:rPr>
              <w:t xml:space="preserve">Establishment </w:t>
            </w:r>
            <w:r w:rsidR="0055440C" w:rsidRPr="007201AA">
              <w:rPr>
                <w:rFonts w:cs="Arial"/>
                <w:sz w:val="18"/>
                <w:szCs w:val="18"/>
              </w:rPr>
              <w:t xml:space="preserve">and implementation </w:t>
            </w:r>
            <w:r w:rsidRPr="007201AA">
              <w:rPr>
                <w:rFonts w:cs="Arial"/>
                <w:sz w:val="18"/>
                <w:szCs w:val="18"/>
              </w:rPr>
              <w:t>of ETS</w:t>
            </w:r>
            <w:r w:rsidR="00DA7596">
              <w:rPr>
                <w:rFonts w:cs="Arial"/>
                <w:sz w:val="18"/>
                <w:szCs w:val="18"/>
              </w:rPr>
              <w:t>, Implementation of the Kyoto Protocol</w:t>
            </w:r>
          </w:p>
        </w:tc>
        <w:tc>
          <w:tcPr>
            <w:tcW w:w="0" w:type="auto"/>
            <w:shd w:val="clear" w:color="auto" w:fill="auto"/>
          </w:tcPr>
          <w:p w14:paraId="3D9A169A" w14:textId="4EAA5475" w:rsidR="005B02B2" w:rsidRPr="007201AA" w:rsidRDefault="00E60F5E" w:rsidP="00D41D4F">
            <w:pPr>
              <w:spacing w:after="0"/>
              <w:ind w:right="270"/>
              <w:jc w:val="right"/>
              <w:rPr>
                <w:rFonts w:cs="Arial"/>
                <w:sz w:val="18"/>
                <w:szCs w:val="18"/>
              </w:rPr>
            </w:pPr>
            <w:r w:rsidRPr="00E60F5E">
              <w:rPr>
                <w:rFonts w:cs="Arial"/>
                <w:sz w:val="18"/>
                <w:szCs w:val="18"/>
              </w:rPr>
              <w:t>914,192</w:t>
            </w:r>
            <w:r w:rsidR="006C6731">
              <w:rPr>
                <w:rStyle w:val="FootnoteReference"/>
                <w:szCs w:val="18"/>
              </w:rPr>
              <w:footnoteReference w:id="20"/>
            </w:r>
          </w:p>
        </w:tc>
      </w:tr>
      <w:tr w:rsidR="00976507" w:rsidRPr="007201AA" w14:paraId="362F5B22" w14:textId="77777777">
        <w:tc>
          <w:tcPr>
            <w:tcW w:w="0" w:type="auto"/>
            <w:shd w:val="clear" w:color="auto" w:fill="auto"/>
          </w:tcPr>
          <w:p w14:paraId="22E15228" w14:textId="212C5DBC" w:rsidR="00976507" w:rsidRPr="007201AA" w:rsidRDefault="00976507" w:rsidP="00217B01">
            <w:pPr>
              <w:spacing w:after="0"/>
              <w:jc w:val="left"/>
              <w:rPr>
                <w:rFonts w:cs="Arial"/>
                <w:sz w:val="18"/>
                <w:szCs w:val="18"/>
              </w:rPr>
            </w:pPr>
            <w:r>
              <w:rPr>
                <w:rFonts w:cs="Arial"/>
                <w:sz w:val="18"/>
                <w:szCs w:val="18"/>
                <w:lang w:val="en-US"/>
              </w:rPr>
              <w:t>Ergonomica, Ltd, First private municipal ESCO in Kazakhstan</w:t>
            </w:r>
          </w:p>
        </w:tc>
        <w:tc>
          <w:tcPr>
            <w:tcW w:w="0" w:type="auto"/>
            <w:shd w:val="clear" w:color="auto" w:fill="auto"/>
          </w:tcPr>
          <w:p w14:paraId="39197CE8" w14:textId="1A4BA3EB" w:rsidR="00976507" w:rsidRPr="007201AA" w:rsidRDefault="00976507" w:rsidP="00246405">
            <w:pPr>
              <w:spacing w:after="0"/>
              <w:jc w:val="left"/>
              <w:rPr>
                <w:rFonts w:cs="Arial"/>
                <w:sz w:val="18"/>
                <w:szCs w:val="18"/>
              </w:rPr>
            </w:pPr>
            <w:r>
              <w:rPr>
                <w:rFonts w:cs="Arial"/>
                <w:sz w:val="18"/>
                <w:szCs w:val="18"/>
              </w:rPr>
              <w:t>Codification and sharing of lessons learned from pilot projects</w:t>
            </w:r>
          </w:p>
        </w:tc>
        <w:tc>
          <w:tcPr>
            <w:tcW w:w="0" w:type="auto"/>
            <w:shd w:val="clear" w:color="auto" w:fill="auto"/>
          </w:tcPr>
          <w:p w14:paraId="21D9A8D9" w14:textId="2DAD47C4" w:rsidR="00976507" w:rsidRDefault="00976507" w:rsidP="00D41D4F">
            <w:pPr>
              <w:spacing w:after="0"/>
              <w:ind w:right="270"/>
              <w:jc w:val="right"/>
              <w:rPr>
                <w:rFonts w:cs="Arial"/>
                <w:sz w:val="18"/>
                <w:szCs w:val="18"/>
              </w:rPr>
            </w:pPr>
            <w:r>
              <w:rPr>
                <w:rFonts w:cs="Arial"/>
                <w:sz w:val="18"/>
                <w:szCs w:val="18"/>
              </w:rPr>
              <w:t>120,000</w:t>
            </w:r>
          </w:p>
        </w:tc>
      </w:tr>
    </w:tbl>
    <w:p w14:paraId="57B90304" w14:textId="360AADA4" w:rsidR="005B02B2" w:rsidRPr="008D15C3" w:rsidRDefault="006C6731" w:rsidP="006C6731">
      <w:pPr>
        <w:pStyle w:val="Bullets1st"/>
        <w:numPr>
          <w:ilvl w:val="0"/>
          <w:numId w:val="0"/>
        </w:numPr>
      </w:pPr>
      <w:r w:rsidRPr="006C6731">
        <w:rPr>
          <w:i/>
          <w:sz w:val="18"/>
          <w:szCs w:val="18"/>
        </w:rPr>
        <w:t>*</w:t>
      </w:r>
      <w:r>
        <w:t xml:space="preserve"> </w:t>
      </w:r>
      <w:r w:rsidR="008D15C3" w:rsidRPr="006C6731">
        <w:rPr>
          <w:i/>
          <w:sz w:val="18"/>
          <w:szCs w:val="18"/>
        </w:rPr>
        <w:t>Exchange rate used in all conversions is the official UN rate from 1 August 2014: USD 1 = 183.55 KZT</w:t>
      </w:r>
    </w:p>
    <w:p w14:paraId="6FB59BF9" w14:textId="77777777" w:rsidR="005B02B2" w:rsidRPr="00632E93" w:rsidRDefault="005B02B2" w:rsidP="001176E9">
      <w:pPr>
        <w:pStyle w:val="Bodynumbered"/>
        <w:numPr>
          <w:ilvl w:val="0"/>
          <w:numId w:val="0"/>
        </w:numPr>
      </w:pPr>
    </w:p>
    <w:p w14:paraId="531E9388" w14:textId="77777777" w:rsidR="00601401" w:rsidRDefault="00601401">
      <w:pPr>
        <w:spacing w:after="0"/>
        <w:jc w:val="left"/>
        <w:rPr>
          <w:b/>
          <w:bCs/>
          <w:sz w:val="28"/>
        </w:rPr>
      </w:pPr>
      <w:bookmarkStart w:id="26" w:name="_Ref362019157"/>
      <w:bookmarkStart w:id="27" w:name="_Toc362384272"/>
      <w:bookmarkStart w:id="28" w:name="_Ref249168402"/>
      <w:bookmarkStart w:id="29" w:name="_Ref249383198"/>
      <w:bookmarkStart w:id="30" w:name="_Toc393448984"/>
      <w:r>
        <w:br w:type="page"/>
      </w:r>
    </w:p>
    <w:p w14:paraId="252D9266" w14:textId="43133680" w:rsidR="005B02B2" w:rsidRPr="005B5602" w:rsidRDefault="005B02B2" w:rsidP="005B02B2">
      <w:pPr>
        <w:pStyle w:val="Heading2"/>
        <w:keepLines/>
        <w:spacing w:before="200" w:after="0" w:line="276" w:lineRule="auto"/>
        <w:jc w:val="left"/>
        <w:rPr>
          <w:rFonts w:ascii="Arial" w:hAnsi="Arial"/>
        </w:rPr>
      </w:pPr>
      <w:r w:rsidRPr="005B5602">
        <w:rPr>
          <w:rFonts w:ascii="Arial" w:hAnsi="Arial"/>
        </w:rPr>
        <w:lastRenderedPageBreak/>
        <w:t xml:space="preserve">Barriers to </w:t>
      </w:r>
      <w:r w:rsidR="00484F36" w:rsidRPr="005B5602">
        <w:rPr>
          <w:rFonts w:ascii="Arial" w:hAnsi="Arial"/>
        </w:rPr>
        <w:t>NAMAs</w:t>
      </w:r>
      <w:r w:rsidRPr="005B5602">
        <w:rPr>
          <w:rFonts w:ascii="Arial" w:hAnsi="Arial"/>
        </w:rPr>
        <w:t xml:space="preserve"> </w:t>
      </w:r>
      <w:bookmarkEnd w:id="26"/>
      <w:r w:rsidRPr="005B5602">
        <w:rPr>
          <w:rFonts w:ascii="Arial" w:hAnsi="Arial"/>
        </w:rPr>
        <w:t>in the urban sector</w:t>
      </w:r>
      <w:bookmarkEnd w:id="27"/>
      <w:bookmarkEnd w:id="28"/>
      <w:bookmarkEnd w:id="29"/>
      <w:bookmarkEnd w:id="30"/>
    </w:p>
    <w:p w14:paraId="60561F1B" w14:textId="77777777" w:rsidR="0090681D" w:rsidRDefault="0090681D" w:rsidP="00A163BE">
      <w:pPr>
        <w:shd w:val="clear" w:color="auto" w:fill="FFFFFF"/>
        <w:spacing w:after="0"/>
        <w:jc w:val="left"/>
        <w:rPr>
          <w:rFonts w:cs="Arial"/>
          <w:color w:val="222222"/>
          <w:sz w:val="20"/>
          <w:szCs w:val="20"/>
          <w:lang w:eastAsia="en-GB"/>
        </w:rPr>
      </w:pPr>
    </w:p>
    <w:p w14:paraId="62F436A8" w14:textId="77777777" w:rsidR="006C512C" w:rsidRDefault="003E4EE2" w:rsidP="00EE24E8">
      <w:pPr>
        <w:pStyle w:val="Bodynumbered"/>
      </w:pPr>
      <w:r>
        <w:t>T</w:t>
      </w:r>
      <w:r w:rsidR="00BC1165" w:rsidRPr="00AE36E4">
        <w:t>he past years have seen encouraging progress in</w:t>
      </w:r>
      <w:r w:rsidR="001313F3">
        <w:t xml:space="preserve"> </w:t>
      </w:r>
      <w:r>
        <w:t xml:space="preserve">the </w:t>
      </w:r>
      <w:r w:rsidR="001313F3">
        <w:t xml:space="preserve">creation of government programmes to improve infrastructure and services in cities and reduce the carbon intensity of </w:t>
      </w:r>
      <w:r w:rsidR="00BC1165" w:rsidRPr="00AE36E4">
        <w:t xml:space="preserve">urban </w:t>
      </w:r>
      <w:r w:rsidR="001313F3">
        <w:t>areas</w:t>
      </w:r>
      <w:r w:rsidR="00BC1165" w:rsidRPr="00AE36E4">
        <w:t xml:space="preserve">. </w:t>
      </w:r>
      <w:r w:rsidR="00772018">
        <w:t>D</w:t>
      </w:r>
      <w:r w:rsidR="00BC1165" w:rsidRPr="00AE36E4">
        <w:t xml:space="preserve">espite this progress, a number of significant barriers exist. This section presents the key </w:t>
      </w:r>
      <w:r w:rsidR="00BF3DBF">
        <w:t>systemic</w:t>
      </w:r>
      <w:r w:rsidR="00BC1165" w:rsidRPr="00AE36E4">
        <w:t xml:space="preserve">, </w:t>
      </w:r>
      <w:r w:rsidR="001313F3">
        <w:t>regulatory, financial and capacity barriers addressed</w:t>
      </w:r>
      <w:r w:rsidR="00BC1165" w:rsidRPr="00AE36E4">
        <w:t xml:space="preserve"> by the Project.</w:t>
      </w:r>
    </w:p>
    <w:p w14:paraId="4DE1C1CB" w14:textId="77777777" w:rsidR="001E7F71" w:rsidRDefault="00FB18F1" w:rsidP="00FD12C5">
      <w:pPr>
        <w:pStyle w:val="Heading3"/>
        <w:rPr>
          <w:rFonts w:eastAsia="Cambria"/>
        </w:rPr>
      </w:pPr>
      <w:bookmarkStart w:id="31" w:name="_Ref249162124"/>
      <w:bookmarkStart w:id="32" w:name="_Toc393448985"/>
      <w:r>
        <w:rPr>
          <w:rFonts w:eastAsia="Cambria"/>
        </w:rPr>
        <w:t>S</w:t>
      </w:r>
      <w:r w:rsidR="006C512C">
        <w:rPr>
          <w:rFonts w:eastAsia="Cambria"/>
        </w:rPr>
        <w:t>ystemic</w:t>
      </w:r>
      <w:r w:rsidR="001313F3">
        <w:rPr>
          <w:rFonts w:eastAsia="Cambria"/>
        </w:rPr>
        <w:t xml:space="preserve"> </w:t>
      </w:r>
      <w:r w:rsidR="00AD4716" w:rsidRPr="005B5602">
        <w:rPr>
          <w:rFonts w:eastAsia="Cambria"/>
        </w:rPr>
        <w:t>barriers</w:t>
      </w:r>
      <w:bookmarkEnd w:id="31"/>
      <w:bookmarkEnd w:id="32"/>
    </w:p>
    <w:p w14:paraId="68D45EC3" w14:textId="77777777" w:rsidR="008E3242" w:rsidRPr="008E3242" w:rsidRDefault="008E3242" w:rsidP="006C512C">
      <w:pPr>
        <w:pStyle w:val="Bodynumbered"/>
      </w:pPr>
      <w:r w:rsidRPr="008E3242">
        <w:t>As has been discussed in the baseline section above, significant progress has been made in the past decade with respect to overall policy and legislation</w:t>
      </w:r>
      <w:r>
        <w:t>. Systemic barriers however exist at the local, regional and national levels that hamper the development of integrated sustainable urban modernization. The systemic barriers to be addressed by this project are:</w:t>
      </w:r>
    </w:p>
    <w:p w14:paraId="36444CC3" w14:textId="77777777" w:rsidR="00595B3C" w:rsidRPr="00595B3C" w:rsidRDefault="00595B3C" w:rsidP="00595B3C">
      <w:pPr>
        <w:pStyle w:val="Bodynumbered"/>
      </w:pPr>
      <w:r>
        <w:t xml:space="preserve">At the level of cities and municipalities </w:t>
      </w:r>
      <w:r w:rsidR="006C512C" w:rsidRPr="008E3242">
        <w:t xml:space="preserve">long-term planning </w:t>
      </w:r>
      <w:r>
        <w:t xml:space="preserve">does not routinely take place, with the planning horizon usually extending only to 3 years. </w:t>
      </w:r>
      <w:r w:rsidR="006C512C">
        <w:t>This is true for all sectors of the urban environment (like waste management, public transport and urban infrastructure).</w:t>
      </w:r>
      <w:r>
        <w:t xml:space="preserve"> Three</w:t>
      </w:r>
      <w:r w:rsidR="008E3242" w:rsidRPr="008E3242">
        <w:t xml:space="preserve">-year planning provides </w:t>
      </w:r>
      <w:r>
        <w:t xml:space="preserve">little </w:t>
      </w:r>
      <w:r w:rsidR="008E3242" w:rsidRPr="008E3242">
        <w:t>guidance on long-term investment priorities of the city.</w:t>
      </w:r>
      <w:r>
        <w:t xml:space="preserve"> </w:t>
      </w:r>
      <w:r w:rsidRPr="008E3242">
        <w:t>The</w:t>
      </w:r>
      <w:r>
        <w:t xml:space="preserve">se </w:t>
      </w:r>
      <w:r w:rsidRPr="008E3242">
        <w:t xml:space="preserve">barriers </w:t>
      </w:r>
      <w:r>
        <w:t xml:space="preserve">have been illustrated with the </w:t>
      </w:r>
      <w:r w:rsidRPr="008E3242">
        <w:t>UNDP</w:t>
      </w:r>
      <w:r>
        <w:t>-</w:t>
      </w:r>
      <w:r w:rsidRPr="008E3242">
        <w:t>GEF project “City Al</w:t>
      </w:r>
      <w:r w:rsidRPr="008E3242">
        <w:lastRenderedPageBreak/>
        <w:t xml:space="preserve">maty Sustainable Transport” </w:t>
      </w:r>
      <w:r>
        <w:t xml:space="preserve">that </w:t>
      </w:r>
      <w:r w:rsidRPr="008E3242">
        <w:t xml:space="preserve">developed a long-term Almaty Sustainable Transport Strategy for 2013-2030. For the first time planning took an integrated </w:t>
      </w:r>
      <w:r w:rsidR="003E4EE2">
        <w:t xml:space="preserve">long-term </w:t>
      </w:r>
      <w:r w:rsidRPr="008E3242">
        <w:t xml:space="preserve">approach by looking at </w:t>
      </w:r>
      <w:r>
        <w:t xml:space="preserve">the </w:t>
      </w:r>
      <w:r w:rsidRPr="008E3242">
        <w:t xml:space="preserve">road network, public &amp; alternative transport and pedestrian/green zones development linked to target indicators of air quality and GHG emissions. The strategy also indicated a strong need for creation of an adequate institutional framework to implement the strategy and monitor its progress to feed in the subsequent rounds of planning. The long-term sustainable transport strategy for Almaty couldn’t be endorsed by the city administration </w:t>
      </w:r>
      <w:r>
        <w:t xml:space="preserve">because municipal </w:t>
      </w:r>
      <w:r w:rsidRPr="008E3242">
        <w:t xml:space="preserve">planning </w:t>
      </w:r>
      <w:r>
        <w:t>“</w:t>
      </w:r>
      <w:r w:rsidRPr="008E3242">
        <w:t>could only be for 3 years</w:t>
      </w:r>
      <w:r>
        <w:t>”</w:t>
      </w:r>
      <w:r w:rsidRPr="008E3242">
        <w:t xml:space="preserve"> and no single authority within </w:t>
      </w:r>
      <w:r>
        <w:t>the A</w:t>
      </w:r>
      <w:r w:rsidRPr="008E3242">
        <w:t xml:space="preserve">kimat oversees all the issues on sustainable transport. As such, some sections of the strategy are </w:t>
      </w:r>
      <w:r>
        <w:t xml:space="preserve">only </w:t>
      </w:r>
      <w:r w:rsidRPr="008E3242">
        <w:t>being partially implemented by relevant departments.</w:t>
      </w:r>
      <w:r>
        <w:t xml:space="preserve"> </w:t>
      </w:r>
      <w:r w:rsidRPr="00595B3C">
        <w:rPr>
          <w:i/>
        </w:rPr>
        <w:t>The project will address this barrier by working with cities, regional government and national bodies to pilot integrated long-term planning (component 1</w:t>
      </w:r>
      <w:r w:rsidR="003E4EE2">
        <w:rPr>
          <w:i/>
        </w:rPr>
        <w:t>).</w:t>
      </w:r>
    </w:p>
    <w:p w14:paraId="75419A38" w14:textId="77777777" w:rsidR="008E3242" w:rsidRPr="008E3242" w:rsidRDefault="00595B3C" w:rsidP="008E3242">
      <w:pPr>
        <w:pStyle w:val="Bodynumbered"/>
      </w:pPr>
      <w:r>
        <w:t xml:space="preserve">As a rule there is no </w:t>
      </w:r>
      <w:r w:rsidR="008E3242" w:rsidRPr="008E3242">
        <w:t xml:space="preserve">planning department within </w:t>
      </w:r>
      <w:r>
        <w:t xml:space="preserve">city </w:t>
      </w:r>
      <w:r w:rsidR="008E3242" w:rsidRPr="008E3242">
        <w:t xml:space="preserve">akimats that </w:t>
      </w:r>
      <w:r w:rsidR="003E4EE2">
        <w:t xml:space="preserve">can </w:t>
      </w:r>
      <w:r w:rsidR="008E3242" w:rsidRPr="008E3242">
        <w:t xml:space="preserve">take a comprehensive approach to city planning by compiling inputs from various akimat departments. </w:t>
      </w:r>
      <w:r w:rsidRPr="008E3242">
        <w:t xml:space="preserve">A coordination mechanism that can work between different levels of government bodies (national, regional and local) when it comes to urban modernization is missing. In general departments in city and oblast akimats and in Ministries operate and </w:t>
      </w:r>
      <w:r w:rsidRPr="008E3242">
        <w:lastRenderedPageBreak/>
        <w:t xml:space="preserve">act within their specific areas. </w:t>
      </w:r>
      <w:r w:rsidR="003E4EE2">
        <w:t xml:space="preserve">In </w:t>
      </w:r>
      <w:r w:rsidRPr="008E3242">
        <w:t>Almaty</w:t>
      </w:r>
      <w:r w:rsidR="003E4EE2">
        <w:t>, example,</w:t>
      </w:r>
      <w:r w:rsidRPr="008E3242">
        <w:t xml:space="preserve"> akimat departments in charge of roads, passenger transport, economy and budget planning, environment protection and law enforcement, architecture, etc., each separately produces a set of targets, identifies major development pathways and prioritizes investments related to urban transport policies. In particular, while the road department set a 3-year action plan for the road network development, the passenger transport department separately released strategic actions plans for 5 years, with no coordination exercised during planning and envisaged for implementation of these related policies. Also, when it comes to planning, transport network development at the city level fails to consider building construction plans (commercial buildings in particular) and vice versa. Absence of coordination further complicates things on the ground, resulting in road jams, limited parking places and poor connectivity to public transport.</w:t>
      </w:r>
      <w:r w:rsidR="003E4EE2">
        <w:t xml:space="preserve"> </w:t>
      </w:r>
      <w:r w:rsidR="003E4EE2" w:rsidRPr="003E4EE2">
        <w:rPr>
          <w:i/>
        </w:rPr>
        <w:t xml:space="preserve">The project will address this barrier by scaling up experiences of other UNDP-GEF projects, such as that cited above, working in an integrated way with city administrations to develop plans and targets (component 1), and providing support to institutional frameworks that can facilitate ongoing planning and management (component </w:t>
      </w:r>
      <w:r w:rsidR="003E4EE2" w:rsidRPr="00595B3C">
        <w:rPr>
          <w:i/>
        </w:rPr>
        <w:t>2).</w:t>
      </w:r>
    </w:p>
    <w:p w14:paraId="70C65E30" w14:textId="77777777" w:rsidR="00BF3DBF" w:rsidRDefault="00BF3DBF" w:rsidP="00310CAE">
      <w:pPr>
        <w:pStyle w:val="Heading3"/>
        <w:rPr>
          <w:rFonts w:eastAsia="Cambria"/>
        </w:rPr>
      </w:pPr>
      <w:bookmarkStart w:id="33" w:name="_Toc393448986"/>
      <w:r>
        <w:rPr>
          <w:rFonts w:eastAsia="Cambria"/>
        </w:rPr>
        <w:lastRenderedPageBreak/>
        <w:t>Legislative barriers</w:t>
      </w:r>
      <w:bookmarkEnd w:id="33"/>
    </w:p>
    <w:p w14:paraId="05183D6B" w14:textId="77777777" w:rsidR="00230A7B" w:rsidRDefault="002310EA" w:rsidP="00230A7B">
      <w:pPr>
        <w:pStyle w:val="Bodynumbered"/>
      </w:pPr>
      <w:r>
        <w:t>In Kazakhstan a</w:t>
      </w:r>
      <w:r w:rsidR="003E4580">
        <w:t xml:space="preserve">n important consideration in the setting of </w:t>
      </w:r>
      <w:r>
        <w:t xml:space="preserve">tariffs for services such as electricity, heat, hot water, waste, water and waste water is the </w:t>
      </w:r>
      <w:r w:rsidRPr="003E4EE2">
        <w:rPr>
          <w:i/>
        </w:rPr>
        <w:t>social impact and ability to pay</w:t>
      </w:r>
      <w:r>
        <w:t xml:space="preserve">. Tariffs </w:t>
      </w:r>
      <w:r w:rsidR="004067B2" w:rsidRPr="00FD712B">
        <w:t>are regulated through the Agency for Regulation of Natural Monopolies (ARNM)</w:t>
      </w:r>
      <w:r>
        <w:t xml:space="preserve">, which </w:t>
      </w:r>
      <w:r w:rsidR="004067B2" w:rsidRPr="00FD712B">
        <w:t xml:space="preserve">provides general supervision and administration of tariff policy for </w:t>
      </w:r>
      <w:r>
        <w:t xml:space="preserve">all </w:t>
      </w:r>
      <w:r w:rsidR="004067B2" w:rsidRPr="00FD712B">
        <w:t xml:space="preserve">natural monopolies. </w:t>
      </w:r>
      <w:r w:rsidR="00C42217" w:rsidRPr="00712FC9">
        <w:t xml:space="preserve">While there has been </w:t>
      </w:r>
      <w:r w:rsidR="004067B2">
        <w:t xml:space="preserve">good </w:t>
      </w:r>
      <w:r w:rsidR="00C42217" w:rsidRPr="00712FC9">
        <w:t xml:space="preserve">progress through the work of the </w:t>
      </w:r>
      <w:r w:rsidR="00C42217" w:rsidRPr="00CD7B39">
        <w:t xml:space="preserve">ARNM </w:t>
      </w:r>
      <w:r w:rsidR="00C42217" w:rsidRPr="00712FC9">
        <w:t xml:space="preserve">in their tariff determining policy, including the introduction of differentiated tariffs, and simplification of the rules and approaches, in </w:t>
      </w:r>
      <w:r w:rsidR="00C42217">
        <w:t xml:space="preserve">many </w:t>
      </w:r>
      <w:r w:rsidR="00C42217" w:rsidRPr="00712FC9">
        <w:t>cases tariffs remain below the economic costs, and do not provide sufficient financial motivation for</w:t>
      </w:r>
      <w:r w:rsidR="00C42217">
        <w:t xml:space="preserve"> utility</w:t>
      </w:r>
      <w:r w:rsidR="00C42217" w:rsidRPr="00712FC9">
        <w:t xml:space="preserve"> companies to invest in </w:t>
      </w:r>
      <w:r w:rsidR="004067B2">
        <w:t xml:space="preserve">resource </w:t>
      </w:r>
      <w:r w:rsidR="00C42217" w:rsidRPr="00712FC9">
        <w:t xml:space="preserve">efficiency and to encourage the shift to consumption-based billing. </w:t>
      </w:r>
      <w:r w:rsidR="00C42217">
        <w:t xml:space="preserve">Tariffs vary widely throughout the country (see Annex C) reflecting a complex mix of factors around costs and ability to pay. </w:t>
      </w:r>
      <w:r w:rsidR="004067B2">
        <w:t xml:space="preserve">Usually, </w:t>
      </w:r>
      <w:r w:rsidR="00220AA1">
        <w:t>ARNM</w:t>
      </w:r>
      <w:r w:rsidR="004067B2">
        <w:t xml:space="preserve"> sets a ceiling for tariffs since this is a social issue</w:t>
      </w:r>
      <w:r>
        <w:t>. While it is acknowledged that this is a complex and sensitive political issue, for adequate management and maintenance of urban service infrastructure social support should shift away from tariffs (that have been shown to benefit wealthy people more than poor ones), towards social support for vulnerable groups</w:t>
      </w:r>
      <w:r w:rsidR="004067B2">
        <w:t xml:space="preserve">. Interestingly, increased tariffs only harm </w:t>
      </w:r>
      <w:r w:rsidR="003E4580">
        <w:t>v</w:t>
      </w:r>
      <w:r w:rsidR="004067B2">
        <w:t xml:space="preserve">ulnerable (low-income) groups as government surveys show. This means that with a </w:t>
      </w:r>
      <w:r w:rsidR="004067B2">
        <w:lastRenderedPageBreak/>
        <w:t xml:space="preserve">well-designed and easy-to-use social support scheme the government can address this issue and tariffs can eventually </w:t>
      </w:r>
      <w:r w:rsidR="003E4580">
        <w:t>reflect costs better</w:t>
      </w:r>
      <w:r w:rsidR="004067B2">
        <w:t xml:space="preserve">. The government already has a number of social support schemes to compensate vulnerable groups but they are </w:t>
      </w:r>
      <w:r w:rsidR="00230A7B">
        <w:t xml:space="preserve">clearly </w:t>
      </w:r>
      <w:r w:rsidR="004067B2">
        <w:t xml:space="preserve">not </w:t>
      </w:r>
      <w:r w:rsidR="003E4580">
        <w:t>sufficiently effective.</w:t>
      </w:r>
      <w:r w:rsidR="00230A7B">
        <w:t xml:space="preserve"> </w:t>
      </w:r>
      <w:r w:rsidR="00230A7B" w:rsidRPr="00230A7B">
        <w:rPr>
          <w:i/>
        </w:rPr>
        <w:t>To address this barrier the project will work with the government on devising/revising policies that target vulnerable groups</w:t>
      </w:r>
      <w:r w:rsidR="004067B2" w:rsidRPr="00230A7B">
        <w:rPr>
          <w:i/>
        </w:rPr>
        <w:t xml:space="preserve"> and </w:t>
      </w:r>
      <w:r w:rsidR="00230A7B">
        <w:rPr>
          <w:i/>
        </w:rPr>
        <w:t>pilot</w:t>
      </w:r>
      <w:r w:rsidR="004067B2" w:rsidRPr="00230A7B">
        <w:rPr>
          <w:i/>
        </w:rPr>
        <w:t xml:space="preserve"> </w:t>
      </w:r>
      <w:r w:rsidR="00230A7B" w:rsidRPr="00230A7B">
        <w:rPr>
          <w:i/>
        </w:rPr>
        <w:t>them where possible</w:t>
      </w:r>
      <w:r w:rsidR="00230A7B">
        <w:rPr>
          <w:i/>
        </w:rPr>
        <w:t xml:space="preserve"> (Components 2 and 3)</w:t>
      </w:r>
      <w:r w:rsidR="004067B2" w:rsidRPr="00230A7B">
        <w:rPr>
          <w:i/>
        </w:rPr>
        <w:t>.</w:t>
      </w:r>
      <w:r w:rsidR="00230A7B" w:rsidRPr="00230A7B">
        <w:rPr>
          <w:i/>
        </w:rPr>
        <w:t xml:space="preserve"> For example, UNDP/GEF Project on Municipal Heat and Hot Water Supply worked with the Ministry of Regional Development on developing provisions and a support scheme in the NMP related to reimbursement of some portion of capital renovation costs to</w:t>
      </w:r>
      <w:r w:rsidR="00230A7B">
        <w:rPr>
          <w:i/>
        </w:rPr>
        <w:t xml:space="preserve"> low-income/vulnerable groups</w:t>
      </w:r>
      <w:r w:rsidR="00230A7B" w:rsidRPr="00230A7B">
        <w:rPr>
          <w:i/>
        </w:rPr>
        <w:t xml:space="preserve">. </w:t>
      </w:r>
      <w:r w:rsidR="00C05729">
        <w:rPr>
          <w:i/>
        </w:rPr>
        <w:t>This experience</w:t>
      </w:r>
      <w:r w:rsidR="00230A7B" w:rsidRPr="00230A7B">
        <w:rPr>
          <w:i/>
        </w:rPr>
        <w:t xml:space="preserve"> </w:t>
      </w:r>
      <w:r w:rsidR="00230A7B">
        <w:rPr>
          <w:i/>
        </w:rPr>
        <w:t xml:space="preserve">will </w:t>
      </w:r>
      <w:r w:rsidR="00230A7B" w:rsidRPr="00230A7B">
        <w:rPr>
          <w:i/>
        </w:rPr>
        <w:t xml:space="preserve">be replicated in this project. Project technical support </w:t>
      </w:r>
      <w:r w:rsidR="00230A7B">
        <w:rPr>
          <w:i/>
        </w:rPr>
        <w:t>will also address</w:t>
      </w:r>
      <w:r w:rsidR="00230A7B" w:rsidRPr="00230A7B">
        <w:rPr>
          <w:i/>
        </w:rPr>
        <w:t xml:space="preserve"> </w:t>
      </w:r>
      <w:r w:rsidR="00220AA1">
        <w:rPr>
          <w:i/>
        </w:rPr>
        <w:t>ARNM</w:t>
      </w:r>
      <w:r w:rsidR="00230A7B" w:rsidRPr="00230A7B">
        <w:rPr>
          <w:i/>
        </w:rPr>
        <w:t xml:space="preserve"> and service providers on devising additional criteria f</w:t>
      </w:r>
      <w:r w:rsidR="00230A7B">
        <w:rPr>
          <w:i/>
        </w:rPr>
        <w:t>or tariff selection and train</w:t>
      </w:r>
      <w:r w:rsidR="00230A7B" w:rsidRPr="00230A7B">
        <w:rPr>
          <w:i/>
        </w:rPr>
        <w:t xml:space="preserve"> them on how to use such criteria.</w:t>
      </w:r>
    </w:p>
    <w:p w14:paraId="0DF8ED98" w14:textId="77777777" w:rsidR="00C42217" w:rsidRPr="00712FC9" w:rsidRDefault="00230A7B" w:rsidP="003A5A46">
      <w:pPr>
        <w:pStyle w:val="Bodynumbered"/>
      </w:pPr>
      <w:r>
        <w:t>Kazakhstan has made good progress in the development of a national ETS</w:t>
      </w:r>
      <w:r w:rsidR="003A5A46">
        <w:t xml:space="preserve"> as outlined in the baseline section above. Apart from the largest heating networks </w:t>
      </w:r>
      <w:r w:rsidR="003A5A46" w:rsidRPr="007201AA">
        <w:rPr>
          <w:rFonts w:cs="Arial"/>
        </w:rPr>
        <w:t xml:space="preserve">the urban sector is not covered by the ETS, and </w:t>
      </w:r>
      <w:r w:rsidR="003A5A46">
        <w:rPr>
          <w:rFonts w:cs="Arial"/>
        </w:rPr>
        <w:t xml:space="preserve">does not have </w:t>
      </w:r>
      <w:r w:rsidR="003A5A46" w:rsidRPr="007201AA">
        <w:rPr>
          <w:rFonts w:cs="Arial"/>
        </w:rPr>
        <w:t>a mandatory cap</w:t>
      </w:r>
      <w:r w:rsidR="003A5A46">
        <w:rPr>
          <w:rFonts w:cs="Arial"/>
        </w:rPr>
        <w:t xml:space="preserve">, and does not </w:t>
      </w:r>
      <w:r w:rsidR="003A5A46" w:rsidRPr="007201AA">
        <w:rPr>
          <w:rFonts w:cs="Arial"/>
        </w:rPr>
        <w:t>benefit from trading and demand for emission reductions.</w:t>
      </w:r>
      <w:r>
        <w:t xml:space="preserve"> </w:t>
      </w:r>
      <w:r w:rsidR="003A5A46">
        <w:t xml:space="preserve">At the same time NAMAs appear to be an appropriate mechanism to reduce urban emissions. Since there are no </w:t>
      </w:r>
      <w:r w:rsidR="003A5A46">
        <w:lastRenderedPageBreak/>
        <w:t xml:space="preserve">guidelines and methodologies for MRV of urban NAMAs in Kazakhstan, and no rules and </w:t>
      </w:r>
      <w:r w:rsidR="003A5A46" w:rsidRPr="003A5A46">
        <w:t>procedures for certification of emission reduction credits from NAMAs</w:t>
      </w:r>
      <w:r w:rsidR="003A5A46">
        <w:t xml:space="preserve"> that might facilitate </w:t>
      </w:r>
      <w:r w:rsidR="003A5A46" w:rsidRPr="003A5A46">
        <w:t>import into domestic ETS developed</w:t>
      </w:r>
      <w:r w:rsidR="003A5A46">
        <w:t xml:space="preserve">, a potential source of local funding is not currently available. </w:t>
      </w:r>
      <w:r w:rsidR="003A5A46" w:rsidRPr="00230A7B">
        <w:rPr>
          <w:i/>
        </w:rPr>
        <w:t xml:space="preserve">To address this barrier the project will work with the government </w:t>
      </w:r>
      <w:r w:rsidR="003A5A46">
        <w:rPr>
          <w:i/>
        </w:rPr>
        <w:t xml:space="preserve">to link the NAMAs with </w:t>
      </w:r>
      <w:r w:rsidR="003A5A46" w:rsidRPr="003A5A46">
        <w:rPr>
          <w:i/>
        </w:rPr>
        <w:t>national GHG mitigation efforts</w:t>
      </w:r>
      <w:r w:rsidR="003A5A46">
        <w:rPr>
          <w:i/>
        </w:rPr>
        <w:t xml:space="preserve"> (Component 5a)</w:t>
      </w:r>
      <w:r w:rsidR="003A5A46" w:rsidRPr="00230A7B">
        <w:rPr>
          <w:i/>
        </w:rPr>
        <w:t>.</w:t>
      </w:r>
    </w:p>
    <w:p w14:paraId="21BF8AC8" w14:textId="77777777" w:rsidR="00310CAE" w:rsidRDefault="00310CAE" w:rsidP="00310CAE">
      <w:pPr>
        <w:pStyle w:val="Heading3"/>
        <w:rPr>
          <w:rFonts w:eastAsia="Cambria"/>
        </w:rPr>
      </w:pPr>
      <w:bookmarkStart w:id="34" w:name="_Toc393448987"/>
      <w:r w:rsidRPr="00905819">
        <w:rPr>
          <w:rFonts w:eastAsia="Cambria"/>
        </w:rPr>
        <w:t>Financial barriers</w:t>
      </w:r>
      <w:bookmarkEnd w:id="34"/>
    </w:p>
    <w:p w14:paraId="4C3BD4BA" w14:textId="77777777" w:rsidR="00FD712B" w:rsidRDefault="004067B2" w:rsidP="003A0F8A">
      <w:pPr>
        <w:pStyle w:val="Bodynumbered"/>
      </w:pPr>
      <w:r>
        <w:t xml:space="preserve">As discussed above ARNM is responsible for the setting of tariffs and aims to ensure that </w:t>
      </w:r>
      <w:r w:rsidR="005A10F0">
        <w:t xml:space="preserve">tariffs cover operation and maintenance costs, with a provision for depreciation of assets. However, </w:t>
      </w:r>
      <w:r w:rsidR="003E4EE2">
        <w:t xml:space="preserve">tariffs are low, as are, in some cases collection rates (see for instance Annex E on waste management in Kazakhstan) and this </w:t>
      </w:r>
      <w:r w:rsidR="005A10F0">
        <w:t>brings service companies under severe pressure and contributes to the on</w:t>
      </w:r>
      <w:r w:rsidR="00442D4D">
        <w:t>-</w:t>
      </w:r>
      <w:r w:rsidR="005A10F0">
        <w:t xml:space="preserve">going process of technical and economic deterioration: At present </w:t>
      </w:r>
      <w:r w:rsidR="005A10F0" w:rsidRPr="00CD7B39">
        <w:t>4</w:t>
      </w:r>
      <w:r w:rsidR="005A10F0">
        <w:t>9</w:t>
      </w:r>
      <w:r w:rsidR="005A10F0" w:rsidRPr="00CD7B39">
        <w:t xml:space="preserve">% of utility companies </w:t>
      </w:r>
      <w:r w:rsidR="003E4EE2">
        <w:t xml:space="preserve">(all sectors) </w:t>
      </w:r>
      <w:r w:rsidR="005A10F0" w:rsidRPr="00CD7B39">
        <w:t>are non-profitable</w:t>
      </w:r>
      <w:r w:rsidR="005A10F0">
        <w:t xml:space="preserve">. Utility </w:t>
      </w:r>
      <w:r w:rsidR="005A10F0" w:rsidRPr="003A0F8A">
        <w:t xml:space="preserve">companies are </w:t>
      </w:r>
      <w:r w:rsidR="005A10F0">
        <w:t xml:space="preserve">thus </w:t>
      </w:r>
      <w:r w:rsidR="00633084">
        <w:t xml:space="preserve">often </w:t>
      </w:r>
      <w:r w:rsidR="005A10F0" w:rsidRPr="003A0F8A">
        <w:t>not credit-worthy, as in general they have a weak financial status. This is a result of (a) institutional arrangements (ownership, structure), and (b) conditions of the public service contract (tariffs).</w:t>
      </w:r>
      <w:r w:rsidR="001B1D9B">
        <w:rPr>
          <w:rStyle w:val="FootnoteReference"/>
        </w:rPr>
        <w:footnoteReference w:id="21"/>
      </w:r>
      <w:r w:rsidR="005A10F0" w:rsidRPr="003A0F8A">
        <w:t xml:space="preserve"> </w:t>
      </w:r>
      <w:r w:rsidR="00633084">
        <w:t xml:space="preserve">While special tariff arrangements have been agreed to </w:t>
      </w:r>
      <w:r w:rsidR="00633084">
        <w:lastRenderedPageBreak/>
        <w:t>enable investments by international financial institutions, such as for EBRD’s investments in Water Treatment i</w:t>
      </w:r>
      <w:r w:rsidR="00633084" w:rsidRPr="00EC59C1">
        <w:t xml:space="preserve">n </w:t>
      </w:r>
      <w:r w:rsidR="00633084" w:rsidRPr="00EC59C1">
        <w:rPr>
          <w:rFonts w:eastAsia="Times New Roman" w:cs="Arial"/>
          <w:bCs/>
          <w:color w:val="000000"/>
          <w:szCs w:val="24"/>
          <w:bdr w:val="none" w:sz="0" w:space="0" w:color="auto" w:frame="1"/>
        </w:rPr>
        <w:t>Shymkent</w:t>
      </w:r>
      <w:r w:rsidR="00633084">
        <w:t xml:space="preserve"> and Public Transport in Almaty, </w:t>
      </w:r>
      <w:r w:rsidR="00004862">
        <w:t>a</w:t>
      </w:r>
      <w:r w:rsidR="00633084">
        <w:t xml:space="preserve">kimats </w:t>
      </w:r>
      <w:r w:rsidR="00004862">
        <w:t xml:space="preserve">outside of the major cities </w:t>
      </w:r>
      <w:r w:rsidR="00633084">
        <w:t xml:space="preserve">lack the </w:t>
      </w:r>
      <w:r w:rsidR="00004862">
        <w:t xml:space="preserve">financial insights, </w:t>
      </w:r>
      <w:r w:rsidR="00633084">
        <w:t>knowledge and experience to be able to develop and present a convincing case to address this issue.</w:t>
      </w:r>
      <w:r w:rsidR="00004862">
        <w:t xml:space="preserve"> </w:t>
      </w:r>
      <w:r w:rsidR="00004862" w:rsidRPr="00CD7B39">
        <w:t>There</w:t>
      </w:r>
      <w:r w:rsidR="00004862">
        <w:t xml:space="preserve"> are many examples of Almaty and Astana akimats borrowing from international development banks (like EBRD, ADB, WB) and in these cases special tariffs have been part of the agreement. </w:t>
      </w:r>
      <w:r w:rsidR="00004862" w:rsidRPr="00004862">
        <w:rPr>
          <w:i/>
        </w:rPr>
        <w:t>The project will address this barrier by working with akimats to structure appropriate public service contracts, and support them in negotiations with sources of finance and with ARNM (component 2)</w:t>
      </w:r>
    </w:p>
    <w:p w14:paraId="2E5CB4A5" w14:textId="77777777" w:rsidR="00310CAE" w:rsidRDefault="005A10F0" w:rsidP="00B616FC">
      <w:pPr>
        <w:pStyle w:val="Bodynumbered"/>
      </w:pPr>
      <w:r>
        <w:t xml:space="preserve">Concerning capital investments in the </w:t>
      </w:r>
      <w:r w:rsidR="00B2203A">
        <w:t xml:space="preserve">housing and </w:t>
      </w:r>
      <w:r>
        <w:t>utility sector</w:t>
      </w:r>
      <w:r w:rsidR="001F020D">
        <w:t xml:space="preserve"> (including power, heat, hot water, ventilation, building </w:t>
      </w:r>
      <w:r w:rsidR="001F020D">
        <w:lastRenderedPageBreak/>
        <w:t>maintenance, waste collection use and recycling)</w:t>
      </w:r>
      <w:r>
        <w:t>, the vast majority</w:t>
      </w:r>
      <w:r w:rsidR="001F020D">
        <w:t xml:space="preserve">, based on </w:t>
      </w:r>
      <w:r w:rsidR="00633084">
        <w:t>an</w:t>
      </w:r>
      <w:r w:rsidR="001F020D">
        <w:t xml:space="preserve"> analysis of all investment proposals,</w:t>
      </w:r>
      <w:r>
        <w:t xml:space="preserve"> comes from</w:t>
      </w:r>
      <w:r w:rsidRPr="00CD7B39">
        <w:t xml:space="preserve"> government financing (8</w:t>
      </w:r>
      <w:r w:rsidR="001F020D">
        <w:t>8</w:t>
      </w:r>
      <w:r w:rsidRPr="00CD7B39">
        <w:t xml:space="preserve">%), </w:t>
      </w:r>
      <w:r>
        <w:t xml:space="preserve">with </w:t>
      </w:r>
      <w:r w:rsidRPr="00CD7B39">
        <w:t>private financing (5%) and tariffs (7%)</w:t>
      </w:r>
      <w:r>
        <w:t xml:space="preserve"> making up a minor part</w:t>
      </w:r>
      <w:r w:rsidRPr="00CD7B39">
        <w:t>. This highlights heavy dependence of the utility sector on government financing.</w:t>
      </w:r>
      <w:r w:rsidR="00004862">
        <w:t xml:space="preserve"> </w:t>
      </w:r>
      <w:r>
        <w:t>There is a clear l</w:t>
      </w:r>
      <w:r w:rsidRPr="003A0F8A">
        <w:t>ack of knowledge in the government about how best to structure financing for municipalities and apartment owners</w:t>
      </w:r>
      <w:r w:rsidRPr="005B5602">
        <w:t xml:space="preserve"> related to urban modernization</w:t>
      </w:r>
      <w:r w:rsidR="00004862">
        <w:t xml:space="preserve"> that facilitates private sector finance</w:t>
      </w:r>
      <w:r w:rsidRPr="005B5602">
        <w:t>.</w:t>
      </w:r>
      <w:r>
        <w:t xml:space="preserve"> This is illustrated by the difficulties in structuring and operationalizing the planned loan funding for the National Urban Modernization Fund</w:t>
      </w:r>
      <w:r w:rsidR="00B616FC">
        <w:t xml:space="preserve"> (NMF)</w:t>
      </w:r>
      <w:r w:rsidR="003A0F8A">
        <w:t>.</w:t>
      </w:r>
      <w:r w:rsidR="00B616FC">
        <w:t xml:space="preserve"> The fund is still in its infancy, and as of the time of writing, no set structure exists. One person from the Ministry of Regional Development officially works as NMF staff. In 2014, the fund received 8 billion tenge or about US$ 44 million to provide loans to energy providers or heat supply companies to invest in the purchase and installation of automated heat points. The initial idea was to start with the housing and utility sector and then gradually expand financing to other sectors of the urban environment. It was expected that the Fund would initially have public finances for the start-up and pilot activities but then private and other financial sources will be also be attracted. It was planned that </w:t>
      </w:r>
      <w:r w:rsidR="00B616FC" w:rsidRPr="00004862">
        <w:rPr>
          <w:i/>
        </w:rPr>
        <w:t>NMF would cover only 5% of the total market and 95% should be financed by secondary banks</w:t>
      </w:r>
      <w:r w:rsidR="00B616FC">
        <w:t xml:space="preserve">. Also, the NMF was expected to </w:t>
      </w:r>
      <w:r w:rsidR="00B616FC">
        <w:lastRenderedPageBreak/>
        <w:t xml:space="preserve">have territorial (regional) offices (limited partnerships) to work with regional (city-level) authorities on funds disbursement and to guarantee repayment of loans, or, potentially it would be to work through the Kazakhstan Center for Housing and Utilities (KazCenter ZhKKh) that has regional offices (the Center currently focuses on EE trainings and awareness raising activities). </w:t>
      </w:r>
      <w:r w:rsidR="00004862">
        <w:t>This has not be</w:t>
      </w:r>
      <w:r w:rsidR="00C05729">
        <w:t>en</w:t>
      </w:r>
      <w:r w:rsidR="00004862">
        <w:t xml:space="preserve"> realized. </w:t>
      </w:r>
      <w:r w:rsidR="00B616FC">
        <w:t>The Ministry of Regional Development, at this point, has no clear vision on how the fund would actually operate and be structured and needs support to develop the operational and functional strategy.</w:t>
      </w:r>
      <w:r w:rsidR="009A21B5">
        <w:t xml:space="preserve"> </w:t>
      </w:r>
      <w:r w:rsidR="009A21B5" w:rsidRPr="009A21B5">
        <w:rPr>
          <w:i/>
        </w:rPr>
        <w:t xml:space="preserve">This barrier is addressed </w:t>
      </w:r>
      <w:r w:rsidR="009A21B5">
        <w:rPr>
          <w:i/>
        </w:rPr>
        <w:t>in</w:t>
      </w:r>
      <w:r w:rsidR="009A21B5" w:rsidRPr="009A21B5">
        <w:rPr>
          <w:i/>
        </w:rPr>
        <w:t xml:space="preserve"> project component 3 which focuses on working with the government to address operationalization of the National Urban Modernization Fund. Attention will be given to ensuring participation of the private sector and banks (initially international banks, and in the future local financial institutions).</w:t>
      </w:r>
    </w:p>
    <w:p w14:paraId="358AE5F3" w14:textId="77777777" w:rsidR="006C512C" w:rsidRDefault="006C512C" w:rsidP="006C512C">
      <w:pPr>
        <w:pStyle w:val="Heading3"/>
        <w:rPr>
          <w:rFonts w:eastAsia="Cambria"/>
        </w:rPr>
      </w:pPr>
      <w:bookmarkStart w:id="35" w:name="_Toc393448988"/>
      <w:r w:rsidRPr="006C512C">
        <w:rPr>
          <w:rFonts w:eastAsia="Cambria"/>
        </w:rPr>
        <w:t>Capacity and awareness barriers</w:t>
      </w:r>
      <w:bookmarkEnd w:id="35"/>
    </w:p>
    <w:p w14:paraId="2CA4641C" w14:textId="77777777" w:rsidR="009A21B5" w:rsidRDefault="00595B3C" w:rsidP="00420C9D">
      <w:pPr>
        <w:pStyle w:val="Bodynumbered"/>
      </w:pPr>
      <w:r w:rsidRPr="008E3242">
        <w:t xml:space="preserve">Planning capacity within existing departments is </w:t>
      </w:r>
      <w:r w:rsidR="009A21B5">
        <w:t xml:space="preserve">low at the </w:t>
      </w:r>
      <w:r w:rsidRPr="008E3242">
        <w:t>city level</w:t>
      </w:r>
      <w:r w:rsidR="009A21B5">
        <w:t xml:space="preserve">. </w:t>
      </w:r>
      <w:r w:rsidR="00C05729">
        <w:t>A</w:t>
      </w:r>
      <w:r w:rsidR="009A21B5">
        <w:t xml:space="preserve">kimats do not have dedicated expertise in urban planning. </w:t>
      </w:r>
      <w:r w:rsidR="00420C9D">
        <w:t>Outside major cities m</w:t>
      </w:r>
      <w:r w:rsidR="009A21B5">
        <w:t>unicipal staff do not have experience with</w:t>
      </w:r>
      <w:r w:rsidR="00420C9D">
        <w:t xml:space="preserve"> project development and the structuring of financing for municipal infrastructure. </w:t>
      </w:r>
      <w:r w:rsidR="00420C9D" w:rsidRPr="00420C9D">
        <w:rPr>
          <w:i/>
        </w:rPr>
        <w:t xml:space="preserve">The project will address this barrier through components 1 and 2. In component 1 technical training and methodological support will be provided to 15 city municipalities, as well as assistance with data collection, </w:t>
      </w:r>
      <w:r w:rsidR="00420C9D" w:rsidRPr="00420C9D">
        <w:rPr>
          <w:i/>
        </w:rPr>
        <w:lastRenderedPageBreak/>
        <w:t>processing and analysis. Component 2 supports capacity building in the financial structuring of infrastructure projects, including in negotiations with international development banks and the ARNM.</w:t>
      </w:r>
    </w:p>
    <w:p w14:paraId="39A14EEE" w14:textId="77777777" w:rsidR="00973A47" w:rsidRPr="00595B3C" w:rsidRDefault="009A21B5" w:rsidP="00595B3C">
      <w:pPr>
        <w:pStyle w:val="Bodynumbered"/>
      </w:pPr>
      <w:r>
        <w:t>As a new instrument there is a natural lack of knowledge about how to structure and implement NAMA</w:t>
      </w:r>
      <w:r w:rsidR="00420C9D">
        <w:t xml:space="preserve"> projects. </w:t>
      </w:r>
      <w:r w:rsidR="00420C9D" w:rsidRPr="00420C9D">
        <w:rPr>
          <w:i/>
        </w:rPr>
        <w:t>The project will address this need through all project components, providing a learning-by-doing opportunity to learn about how NAMAs could work. Component 5b specifically aims to disseminate lessons learnt to cities not covered by the initial 15 focus cities under the project.</w:t>
      </w:r>
      <w:r w:rsidR="00420C9D">
        <w:t xml:space="preserve"> </w:t>
      </w:r>
    </w:p>
    <w:p w14:paraId="7C5DC23F" w14:textId="77777777" w:rsidR="005B02B2" w:rsidRPr="005B5602" w:rsidRDefault="005B02B2" w:rsidP="005B02B2">
      <w:pPr>
        <w:pStyle w:val="Heading1"/>
      </w:pPr>
      <w:bookmarkStart w:id="36" w:name="_Toc362384273"/>
      <w:bookmarkStart w:id="37" w:name="_Toc393448989"/>
      <w:r w:rsidRPr="005B5602">
        <w:lastRenderedPageBreak/>
        <w:t>Project design</w:t>
      </w:r>
      <w:bookmarkEnd w:id="36"/>
      <w:bookmarkEnd w:id="37"/>
    </w:p>
    <w:p w14:paraId="33F1D729" w14:textId="77777777" w:rsidR="00F30DC4" w:rsidRPr="005B5602" w:rsidRDefault="00691BB2" w:rsidP="003A2EF2">
      <w:pPr>
        <w:pStyle w:val="Bodynumbered"/>
      </w:pPr>
      <w:r>
        <w:t>This proposed</w:t>
      </w:r>
      <w:r w:rsidR="00AA0AF0" w:rsidRPr="005B5602">
        <w:t xml:space="preserve"> UNDP-GEF P</w:t>
      </w:r>
      <w:r w:rsidR="005B02B2" w:rsidRPr="005B5602">
        <w:t>roject “</w:t>
      </w:r>
      <w:r w:rsidR="005B02B2" w:rsidRPr="005B5602">
        <w:rPr>
          <w:i/>
        </w:rPr>
        <w:t>Nationally Appropriate Mitigation Actions for Low-carbon Urban Development</w:t>
      </w:r>
      <w:r w:rsidR="005B02B2" w:rsidRPr="005B5602">
        <w:t>”</w:t>
      </w:r>
      <w:r>
        <w:t xml:space="preserve"> seeks to</w:t>
      </w:r>
      <w:r w:rsidR="005B02B2" w:rsidRPr="005B5602">
        <w:t xml:space="preserve"> access funds from the GEF Trust Fund. </w:t>
      </w:r>
      <w:r w:rsidR="005C20FE" w:rsidRPr="005B5602">
        <w:t>As the financial mechanism for the UNFCCC, t</w:t>
      </w:r>
      <w:r w:rsidR="005B02B2" w:rsidRPr="005B5602">
        <w:t xml:space="preserve">he GEF has specific rules concerning eligibility for </w:t>
      </w:r>
      <w:r w:rsidR="005C20FE" w:rsidRPr="005B5602">
        <w:t xml:space="preserve">funding from the GEF Trust Fund and </w:t>
      </w:r>
      <w:r w:rsidR="005B02B2" w:rsidRPr="005B5602">
        <w:t xml:space="preserve">provides funds to cover the costs that are associated with transforming a project with national benefits into one with global environmental benefits (this is termed ‘incrementality’). </w:t>
      </w:r>
      <w:r w:rsidR="003A2EF2" w:rsidRPr="005B5602">
        <w:t xml:space="preserve">The proposed Project meets the country eligibility criteria while delivering incremental activities resulting in the global environment benefits as </w:t>
      </w:r>
      <w:r w:rsidR="005B02B2" w:rsidRPr="005B5602">
        <w:t xml:space="preserve">described in detail </w:t>
      </w:r>
      <w:r w:rsidR="003A0F8A">
        <w:t>below</w:t>
      </w:r>
      <w:r w:rsidR="005B02B2" w:rsidRPr="005B5602">
        <w:t>.</w:t>
      </w:r>
    </w:p>
    <w:p w14:paraId="5FD80580" w14:textId="77777777" w:rsidR="005B02B2" w:rsidRPr="005B5602" w:rsidRDefault="003A2EF2" w:rsidP="005B02B2">
      <w:pPr>
        <w:pStyle w:val="Bodynumbered"/>
      </w:pPr>
      <w:r w:rsidRPr="005B5602">
        <w:t>This section describes the Project’s design</w:t>
      </w:r>
      <w:r w:rsidR="00E17B73" w:rsidRPr="005B5602">
        <w:t>, including objective and strategic approach; and the project’s structure presented in five Components.</w:t>
      </w:r>
      <w:r w:rsidR="00691BB2">
        <w:t xml:space="preserve"> Explanations of anticipated global environmental and socio</w:t>
      </w:r>
      <w:r w:rsidR="009A7186">
        <w:t>-</w:t>
      </w:r>
      <w:r w:rsidR="00691BB2">
        <w:t>economic benefits are also provided.</w:t>
      </w:r>
    </w:p>
    <w:p w14:paraId="7D57F5E2" w14:textId="77777777" w:rsidR="005B02B2" w:rsidRPr="005B5602" w:rsidRDefault="005B02B2" w:rsidP="00F259E8">
      <w:pPr>
        <w:pStyle w:val="Heading2"/>
        <w:rPr>
          <w:rFonts w:ascii="Arial" w:hAnsi="Arial"/>
        </w:rPr>
      </w:pPr>
      <w:bookmarkStart w:id="38" w:name="_Ref362019014"/>
      <w:bookmarkStart w:id="39" w:name="_Toc362384274"/>
      <w:bookmarkStart w:id="40" w:name="_Toc393448990"/>
      <w:r w:rsidRPr="005B5602">
        <w:rPr>
          <w:rFonts w:ascii="Arial" w:hAnsi="Arial"/>
        </w:rPr>
        <w:t>Objective and strategic approach</w:t>
      </w:r>
      <w:bookmarkEnd w:id="38"/>
      <w:bookmarkEnd w:id="39"/>
      <w:bookmarkEnd w:id="40"/>
    </w:p>
    <w:p w14:paraId="3280DF01" w14:textId="77777777" w:rsidR="005B02B2" w:rsidRPr="005B5602" w:rsidRDefault="005B02B2" w:rsidP="009A7186">
      <w:pPr>
        <w:pStyle w:val="Bodynumbered"/>
      </w:pPr>
      <w:r w:rsidRPr="005B5602">
        <w:t xml:space="preserve">The objective of the UNDP-GEF </w:t>
      </w:r>
      <w:r w:rsidR="00F259E8" w:rsidRPr="005B5602">
        <w:t>P</w:t>
      </w:r>
      <w:r w:rsidRPr="005B5602">
        <w:t>roject is to support the Government of Kazakhstan in the development and implementation of National Appropriate Mitigation Actions (NAMAs) in the urban sector to achieve voluntary national GHG emission reduction target, as committed during COP-17 (Durban 2011).</w:t>
      </w:r>
      <w:r w:rsidR="00244F41" w:rsidRPr="005B5602">
        <w:t xml:space="preserve"> </w:t>
      </w:r>
      <w:r w:rsidR="00244F41" w:rsidRPr="005B5602">
        <w:lastRenderedPageBreak/>
        <w:t>The Project supports the Government of Kazakhstan to improve the sustainability of town</w:t>
      </w:r>
      <w:r w:rsidR="00D33D85" w:rsidRPr="005B5602">
        <w:t>s</w:t>
      </w:r>
      <w:r w:rsidR="00244F41" w:rsidRPr="005B5602">
        <w:t xml:space="preserve"> and cities in Kazakhstan by enabling investments in high efficiency municipal infrastructure.</w:t>
      </w:r>
    </w:p>
    <w:p w14:paraId="14F8059A" w14:textId="77777777" w:rsidR="004C3956" w:rsidRPr="00D103AC" w:rsidRDefault="00F34244" w:rsidP="004C3956">
      <w:pPr>
        <w:pStyle w:val="Bodynumbered"/>
      </w:pPr>
      <w:r w:rsidRPr="005B5602">
        <w:t>With this P</w:t>
      </w:r>
      <w:r w:rsidR="005B02B2" w:rsidRPr="005B5602">
        <w:t>roject</w:t>
      </w:r>
      <w:r w:rsidR="00D33D85" w:rsidRPr="005B5602">
        <w:t xml:space="preserve">, the Government of Kazakhstan </w:t>
      </w:r>
      <w:r w:rsidR="005B02B2" w:rsidRPr="005B5602">
        <w:t>reque</w:t>
      </w:r>
      <w:r w:rsidR="00D33D85" w:rsidRPr="005B5602">
        <w:t>sts</w:t>
      </w:r>
      <w:r w:rsidR="005B02B2" w:rsidRPr="005B5602">
        <w:t xml:space="preserve"> GEF support to help identify, develop and lever financing for </w:t>
      </w:r>
      <w:r w:rsidR="00D33D85" w:rsidRPr="005B5602">
        <w:t>NAMAs</w:t>
      </w:r>
      <w:r w:rsidR="005B02B2" w:rsidRPr="005B5602">
        <w:t xml:space="preserve"> in its urban sector.</w:t>
      </w:r>
      <w:r w:rsidR="00BE357E" w:rsidRPr="005B5602">
        <w:t xml:space="preserve"> </w:t>
      </w:r>
      <w:r w:rsidR="00CC07CF" w:rsidRPr="005B5602">
        <w:t xml:space="preserve">Urban infrastructure </w:t>
      </w:r>
      <w:r w:rsidR="009A7186">
        <w:t xml:space="preserve">of relevance for urban NAMAs </w:t>
      </w:r>
      <w:r w:rsidR="004C3956">
        <w:t xml:space="preserve">is listed in </w:t>
      </w:r>
      <w:r w:rsidR="00EE1A48">
        <w:fldChar w:fldCharType="begin"/>
      </w:r>
      <w:r w:rsidR="004C3956">
        <w:instrText xml:space="preserve"> REF _Ref392512364 \h </w:instrText>
      </w:r>
      <w:r w:rsidR="00EE1A48">
        <w:fldChar w:fldCharType="separate"/>
      </w:r>
      <w:r w:rsidR="003B3B2B" w:rsidRPr="005B5602">
        <w:t xml:space="preserve">Table </w:t>
      </w:r>
      <w:r w:rsidR="003B3B2B">
        <w:rPr>
          <w:noProof/>
        </w:rPr>
        <w:t>1</w:t>
      </w:r>
      <w:r w:rsidR="00EE1A48">
        <w:fldChar w:fldCharType="end"/>
      </w:r>
      <w:r w:rsidR="004C3956">
        <w:t xml:space="preserve"> </w:t>
      </w:r>
      <w:r w:rsidR="00EE1A48">
        <w:fldChar w:fldCharType="begin"/>
      </w:r>
      <w:r w:rsidR="004C3956">
        <w:instrText xml:space="preserve"> PAGEREF _Ref392512371 \p \h </w:instrText>
      </w:r>
      <w:r w:rsidR="00EE1A48">
        <w:fldChar w:fldCharType="separate"/>
      </w:r>
      <w:r w:rsidR="003B3B2B">
        <w:rPr>
          <w:noProof/>
        </w:rPr>
        <w:t>on page 9</w:t>
      </w:r>
      <w:r w:rsidR="00EE1A48">
        <w:fldChar w:fldCharType="end"/>
      </w:r>
      <w:r w:rsidR="004C3956">
        <w:t xml:space="preserve"> </w:t>
      </w:r>
      <w:r w:rsidR="00EE1A48">
        <w:fldChar w:fldCharType="begin"/>
      </w:r>
      <w:r w:rsidR="004C3956">
        <w:instrText xml:space="preserve"> REF _Ref392512371 \p \h </w:instrText>
      </w:r>
      <w:r w:rsidR="00EE1A48">
        <w:fldChar w:fldCharType="separate"/>
      </w:r>
      <w:r w:rsidR="003B3B2B">
        <w:t>above</w:t>
      </w:r>
      <w:r w:rsidR="00EE1A48">
        <w:fldChar w:fldCharType="end"/>
      </w:r>
      <w:r w:rsidR="004C3956">
        <w:t>.</w:t>
      </w:r>
    </w:p>
    <w:p w14:paraId="09FBAF6D" w14:textId="77777777" w:rsidR="007B0F04" w:rsidRPr="00AC4C8F" w:rsidRDefault="005B02B2" w:rsidP="00AA38AC">
      <w:pPr>
        <w:pStyle w:val="Bodynumbered"/>
      </w:pPr>
      <w:r w:rsidRPr="00D103AC">
        <w:t xml:space="preserve">The Project strategy is to </w:t>
      </w:r>
      <w:r w:rsidR="000E0655" w:rsidRPr="00D103AC">
        <w:t>use a</w:t>
      </w:r>
      <w:r w:rsidRPr="00D103AC">
        <w:t xml:space="preserve"> combination of investment finance and technical assistance</w:t>
      </w:r>
      <w:r w:rsidRPr="005B5602">
        <w:t xml:space="preserve"> </w:t>
      </w:r>
      <w:r w:rsidR="000E0655">
        <w:t>to</w:t>
      </w:r>
      <w:r w:rsidRPr="005B5602">
        <w:t xml:space="preserve"> address the range of barriers currently facing the development of NAMAs in Kazakhstan (as outlined in Section </w:t>
      </w:r>
      <w:r w:rsidR="00EE1A48" w:rsidRPr="005B5602">
        <w:fldChar w:fldCharType="begin"/>
      </w:r>
      <w:r w:rsidRPr="005B5602">
        <w:instrText xml:space="preserve"> REF _Ref362019157 \r \h </w:instrText>
      </w:r>
      <w:r w:rsidR="00EE1A48" w:rsidRPr="005B5602">
        <w:fldChar w:fldCharType="separate"/>
      </w:r>
      <w:r w:rsidR="003B3B2B">
        <w:t>1.4</w:t>
      </w:r>
      <w:r w:rsidR="00EE1A48" w:rsidRPr="005B5602">
        <w:fldChar w:fldCharType="end"/>
      </w:r>
      <w:r w:rsidR="00AA38AC">
        <w:t xml:space="preserve">). </w:t>
      </w:r>
      <w:r w:rsidR="007B0F04" w:rsidRPr="00AC4C8F">
        <w:t xml:space="preserve">The Project will support </w:t>
      </w:r>
      <w:r w:rsidR="00D678F9" w:rsidRPr="00AC4C8F">
        <w:t>the articulation of climate-related priorities for 15 cities</w:t>
      </w:r>
      <w:r w:rsidR="00AC4C8F">
        <w:t xml:space="preserve"> in Component 1, including baseline GHG inventories and abatement cost curves,</w:t>
      </w:r>
      <w:r w:rsidR="007B0F04" w:rsidRPr="00AC4C8F">
        <w:t xml:space="preserve"> and </w:t>
      </w:r>
      <w:r w:rsidR="00AC4C8F">
        <w:t xml:space="preserve">will </w:t>
      </w:r>
      <w:r w:rsidR="007B0F04" w:rsidRPr="00AC4C8F">
        <w:t xml:space="preserve">facilitate financing </w:t>
      </w:r>
      <w:r w:rsidR="00C60ACB" w:rsidRPr="00AC4C8F">
        <w:t xml:space="preserve">and implementation </w:t>
      </w:r>
      <w:r w:rsidR="007B0F04" w:rsidRPr="00AC4C8F">
        <w:t xml:space="preserve">as follows: </w:t>
      </w:r>
      <w:r w:rsidR="00AC4C8F">
        <w:t xml:space="preserve">technical assistance to develop 15 investments including their documentation under Component 2; </w:t>
      </w:r>
      <w:r w:rsidR="00C60ACB" w:rsidRPr="00AC4C8F">
        <w:t xml:space="preserve">urban </w:t>
      </w:r>
      <w:r w:rsidR="007B0F04" w:rsidRPr="00AC4C8F">
        <w:t xml:space="preserve">NAMAs </w:t>
      </w:r>
      <w:r w:rsidR="00C60ACB" w:rsidRPr="00AC4C8F">
        <w:t xml:space="preserve">financed under </w:t>
      </w:r>
      <w:r w:rsidR="007B0F04" w:rsidRPr="00AC4C8F">
        <w:t>Component 3</w:t>
      </w:r>
      <w:r w:rsidR="00C60ACB" w:rsidRPr="00AC4C8F">
        <w:t>;</w:t>
      </w:r>
      <w:r w:rsidR="007B0F04" w:rsidRPr="00AC4C8F">
        <w:t xml:space="preserve"> one </w:t>
      </w:r>
      <w:r w:rsidR="00C60ACB" w:rsidRPr="00AC4C8F">
        <w:t xml:space="preserve">urban </w:t>
      </w:r>
      <w:r w:rsidR="007B0F04" w:rsidRPr="00AC4C8F">
        <w:t xml:space="preserve">NAMA </w:t>
      </w:r>
      <w:r w:rsidR="00C60ACB" w:rsidRPr="00AC4C8F">
        <w:t xml:space="preserve">piloted </w:t>
      </w:r>
      <w:r w:rsidR="007B0F04" w:rsidRPr="00AC4C8F">
        <w:t xml:space="preserve">in Astana </w:t>
      </w:r>
      <w:r w:rsidR="00C60ACB" w:rsidRPr="00AC4C8F">
        <w:t xml:space="preserve">under Component 4; </w:t>
      </w:r>
      <w:r w:rsidR="007B0F04" w:rsidRPr="00AC4C8F">
        <w:t xml:space="preserve">and </w:t>
      </w:r>
      <w:r w:rsidR="006F48A8">
        <w:t xml:space="preserve">support to the development of methodologies related to MRV for </w:t>
      </w:r>
      <w:r w:rsidR="00C60ACB" w:rsidRPr="00AC4C8F">
        <w:t>NAMA</w:t>
      </w:r>
      <w:r w:rsidR="006F48A8">
        <w:t>s</w:t>
      </w:r>
      <w:r w:rsidR="007B0F04" w:rsidRPr="00AC4C8F">
        <w:t>.</w:t>
      </w:r>
    </w:p>
    <w:p w14:paraId="1785B135" w14:textId="77777777" w:rsidR="007B0F04" w:rsidRPr="000E0655" w:rsidRDefault="007B0F04" w:rsidP="007B0F04">
      <w:pPr>
        <w:pStyle w:val="Bodynumbered"/>
      </w:pPr>
      <w:r w:rsidRPr="000E0655">
        <w:t xml:space="preserve">As a result of the Project, local authorities will be able to articulate their climate-related priorities and goals, estimate financial resources required to meet them, as well as to identify and prioritize investment projects where GHG emissions can be </w:t>
      </w:r>
      <w:r w:rsidRPr="000E0655">
        <w:lastRenderedPageBreak/>
        <w:t>achieved most cost-effectively and where opportunities therefore exist to leverage private capital and financing</w:t>
      </w:r>
      <w:r w:rsidR="004F6800">
        <w:t>, including</w:t>
      </w:r>
      <w:r w:rsidRPr="000E0655">
        <w:t xml:space="preserve"> via </w:t>
      </w:r>
      <w:r w:rsidR="006F48A8">
        <w:t xml:space="preserve">the </w:t>
      </w:r>
      <w:r w:rsidRPr="000E0655">
        <w:t>domestic ETS. Assessments of the required financing needs will allow policy-makers to match their priorities with available resources, as well as to plan how to deploy those resources most effectively.</w:t>
      </w:r>
    </w:p>
    <w:p w14:paraId="7EEBF21A" w14:textId="77777777" w:rsidR="005B02B2" w:rsidRPr="005B5602" w:rsidRDefault="005B02B2" w:rsidP="005B02B2">
      <w:pPr>
        <w:pStyle w:val="Heading2"/>
        <w:keepLines/>
        <w:spacing w:before="200" w:after="0" w:line="276" w:lineRule="auto"/>
        <w:jc w:val="left"/>
        <w:rPr>
          <w:rFonts w:ascii="Arial" w:hAnsi="Arial"/>
        </w:rPr>
      </w:pPr>
      <w:bookmarkStart w:id="41" w:name="_Toc362384275"/>
      <w:bookmarkStart w:id="42" w:name="_Toc393448991"/>
      <w:r w:rsidRPr="005B5602">
        <w:rPr>
          <w:rFonts w:ascii="Arial" w:hAnsi="Arial"/>
        </w:rPr>
        <w:t>Project structure</w:t>
      </w:r>
      <w:bookmarkEnd w:id="41"/>
      <w:bookmarkEnd w:id="42"/>
    </w:p>
    <w:p w14:paraId="3CB3C3F6" w14:textId="77777777" w:rsidR="00923444" w:rsidRPr="005B5602" w:rsidRDefault="005B02B2" w:rsidP="005B02B2">
      <w:pPr>
        <w:pStyle w:val="Bodynumbered"/>
      </w:pPr>
      <w:r w:rsidRPr="005B5602">
        <w:t xml:space="preserve">The Project </w:t>
      </w:r>
      <w:r w:rsidR="0078397E">
        <w:t>takes place</w:t>
      </w:r>
      <w:r w:rsidRPr="005B5602">
        <w:t xml:space="preserve"> over </w:t>
      </w:r>
      <w:r w:rsidR="00F30DC4" w:rsidRPr="005B5602">
        <w:t>five</w:t>
      </w:r>
      <w:r w:rsidRPr="005B5602">
        <w:t xml:space="preserve"> </w:t>
      </w:r>
      <w:r w:rsidR="00F30DC4" w:rsidRPr="005B5602">
        <w:t>C</w:t>
      </w:r>
      <w:r w:rsidR="005E6888">
        <w:t xml:space="preserve">omponents, </w:t>
      </w:r>
      <w:r w:rsidRPr="005B5602">
        <w:t xml:space="preserve">outlined individually in Sections </w:t>
      </w:r>
      <w:r w:rsidR="00EE1A48" w:rsidRPr="005B5602">
        <w:fldChar w:fldCharType="begin"/>
      </w:r>
      <w:r w:rsidRPr="005B5602">
        <w:instrText xml:space="preserve"> REF _Ref362018962 \r \h </w:instrText>
      </w:r>
      <w:r w:rsidR="00EE1A48" w:rsidRPr="005B5602">
        <w:fldChar w:fldCharType="separate"/>
      </w:r>
      <w:r w:rsidR="003B3B2B">
        <w:t>2.2.1</w:t>
      </w:r>
      <w:r w:rsidR="00EE1A48" w:rsidRPr="005B5602">
        <w:fldChar w:fldCharType="end"/>
      </w:r>
      <w:r w:rsidR="00625D06" w:rsidRPr="005B5602">
        <w:t xml:space="preserve"> to </w:t>
      </w:r>
      <w:r w:rsidR="00EE1A48" w:rsidRPr="005B5602">
        <w:fldChar w:fldCharType="begin"/>
      </w:r>
      <w:r w:rsidRPr="005B5602">
        <w:instrText xml:space="preserve"> REF _Ref362018971 \r \h </w:instrText>
      </w:r>
      <w:r w:rsidR="00EE1A48" w:rsidRPr="005B5602">
        <w:fldChar w:fldCharType="separate"/>
      </w:r>
      <w:r w:rsidR="003B3B2B">
        <w:t>2.2.5</w:t>
      </w:r>
      <w:r w:rsidR="00EE1A48" w:rsidRPr="005B5602">
        <w:fldChar w:fldCharType="end"/>
      </w:r>
      <w:r w:rsidR="00810025" w:rsidRPr="005B5602">
        <w:t xml:space="preserve">, </w:t>
      </w:r>
      <w:r w:rsidRPr="005B5602">
        <w:t>which stand in a reinforcing relationship and are instrumental in supporting the realization of the Proj</w:t>
      </w:r>
      <w:r w:rsidR="00810025" w:rsidRPr="005B5602">
        <w:t xml:space="preserve">ect objective. Components 1, 2 </w:t>
      </w:r>
      <w:r w:rsidRPr="005B5602">
        <w:t>and 5 will make use exclusively of t</w:t>
      </w:r>
      <w:r w:rsidR="00810025" w:rsidRPr="005B5602">
        <w:t xml:space="preserve">echnical assistance funds; </w:t>
      </w:r>
      <w:r w:rsidRPr="005B5602">
        <w:t xml:space="preserve">Component 3 blends technical support with investment finance to provide </w:t>
      </w:r>
      <w:r w:rsidR="003C2312" w:rsidRPr="005B5602">
        <w:t>financing</w:t>
      </w:r>
      <w:r w:rsidR="00810025" w:rsidRPr="005B5602">
        <w:t xml:space="preserve"> for urban NAMAs; and Component 4 provides investment finance for implementation of a pilot urban NAMA.</w:t>
      </w:r>
    </w:p>
    <w:p w14:paraId="5771793A" w14:textId="77777777" w:rsidR="005B02B2" w:rsidRPr="005B5602" w:rsidRDefault="00625D06" w:rsidP="005B02B2">
      <w:pPr>
        <w:pStyle w:val="Bodynumbered"/>
      </w:pPr>
      <w:r w:rsidRPr="005B5602">
        <w:t>The five</w:t>
      </w:r>
      <w:r w:rsidR="005B02B2" w:rsidRPr="005B5602">
        <w:t xml:space="preserve"> components each work towards one key Outcome, which are formulated based on the strategic approach (outlined in Section </w:t>
      </w:r>
      <w:r w:rsidR="00EE1A48" w:rsidRPr="005B5602">
        <w:fldChar w:fldCharType="begin"/>
      </w:r>
      <w:r w:rsidR="005B02B2" w:rsidRPr="005B5602">
        <w:instrText xml:space="preserve"> REF _Ref362019014 \r \h </w:instrText>
      </w:r>
      <w:r w:rsidR="00EE1A48" w:rsidRPr="005B5602">
        <w:fldChar w:fldCharType="separate"/>
      </w:r>
      <w:r w:rsidR="003B3B2B">
        <w:t>2.1</w:t>
      </w:r>
      <w:r w:rsidR="00EE1A48" w:rsidRPr="005B5602">
        <w:fldChar w:fldCharType="end"/>
      </w:r>
      <w:r w:rsidR="005B02B2" w:rsidRPr="005B5602">
        <w:t xml:space="preserve">) in the following manner: </w:t>
      </w:r>
    </w:p>
    <w:p w14:paraId="37447D23" w14:textId="77777777" w:rsidR="005B02B2" w:rsidRPr="005B5602" w:rsidRDefault="005B02B2" w:rsidP="00C0239C">
      <w:pPr>
        <w:ind w:left="1980" w:hanging="1620"/>
        <w:jc w:val="left"/>
      </w:pPr>
      <w:r w:rsidRPr="005B5602">
        <w:rPr>
          <w:b/>
        </w:rPr>
        <w:t>Component 1</w:t>
      </w:r>
      <w:r w:rsidRPr="005B5602">
        <w:t xml:space="preserve"> - </w:t>
      </w:r>
      <w:r w:rsidRPr="005B5602">
        <w:rPr>
          <w:b/>
        </w:rPr>
        <w:t xml:space="preserve">Outcome 1 </w:t>
      </w:r>
      <w:r w:rsidRPr="005B5602">
        <w:t xml:space="preserve">will enable </w:t>
      </w:r>
      <w:r w:rsidR="00625D06" w:rsidRPr="005B5602">
        <w:t>participating municipalities to articulate their climate-related priorities, and identified and prioritized urban mitigation actions (urban NAMAs)</w:t>
      </w:r>
      <w:r w:rsidRPr="005B5602">
        <w:t>;</w:t>
      </w:r>
    </w:p>
    <w:p w14:paraId="5981841A" w14:textId="77777777" w:rsidR="005B02B2" w:rsidRPr="005B5602" w:rsidRDefault="005B02B2" w:rsidP="00C0239C">
      <w:pPr>
        <w:ind w:left="1980" w:hanging="1620"/>
        <w:jc w:val="left"/>
      </w:pPr>
      <w:r w:rsidRPr="005B5602">
        <w:rPr>
          <w:b/>
        </w:rPr>
        <w:t>Component 2 - Outcome 2</w:t>
      </w:r>
      <w:r w:rsidRPr="005B5602">
        <w:t xml:space="preserve"> will put in place </w:t>
      </w:r>
      <w:r w:rsidR="001C7827" w:rsidRPr="005B5602">
        <w:t xml:space="preserve">the </w:t>
      </w:r>
      <w:r w:rsidRPr="005B5602">
        <w:t xml:space="preserve">enabling institutional framework </w:t>
      </w:r>
      <w:r w:rsidR="00BC356B">
        <w:t>to</w:t>
      </w:r>
      <w:r w:rsidR="00BC356B" w:rsidRPr="005B5602">
        <w:t xml:space="preserve"> </w:t>
      </w:r>
      <w:r w:rsidR="001C7827" w:rsidRPr="005B5602">
        <w:t>facilitat</w:t>
      </w:r>
      <w:r w:rsidR="00BC356B">
        <w:t>e</w:t>
      </w:r>
      <w:r w:rsidR="001C7827" w:rsidRPr="005B5602">
        <w:t xml:space="preserve"> the </w:t>
      </w:r>
      <w:r w:rsidRPr="005B5602">
        <w:t xml:space="preserve">implementation </w:t>
      </w:r>
      <w:r w:rsidR="001C7827" w:rsidRPr="005B5602">
        <w:t xml:space="preserve">of </w:t>
      </w:r>
      <w:r w:rsidRPr="005B5602">
        <w:t>urban mitigation actions</w:t>
      </w:r>
      <w:r w:rsidR="001C7827" w:rsidRPr="005B5602">
        <w:t>;</w:t>
      </w:r>
    </w:p>
    <w:p w14:paraId="58B5B1DC" w14:textId="77777777" w:rsidR="005B02B2" w:rsidRPr="005B5602" w:rsidRDefault="005B02B2" w:rsidP="00C0239C">
      <w:pPr>
        <w:ind w:left="1980" w:hanging="1620"/>
        <w:jc w:val="left"/>
      </w:pPr>
      <w:r w:rsidRPr="005B5602">
        <w:rPr>
          <w:b/>
        </w:rPr>
        <w:t>Component 3</w:t>
      </w:r>
      <w:r w:rsidRPr="005B5602">
        <w:t xml:space="preserve"> </w:t>
      </w:r>
      <w:r w:rsidRPr="005B5602">
        <w:rPr>
          <w:b/>
        </w:rPr>
        <w:t>-</w:t>
      </w:r>
      <w:r w:rsidRPr="005B5602">
        <w:t xml:space="preserve"> </w:t>
      </w:r>
      <w:r w:rsidRPr="005B5602">
        <w:rPr>
          <w:b/>
        </w:rPr>
        <w:t xml:space="preserve">Outcome 3 </w:t>
      </w:r>
      <w:r w:rsidRPr="005B5602">
        <w:t xml:space="preserve">will establish </w:t>
      </w:r>
      <w:r w:rsidR="001C7827" w:rsidRPr="005B5602">
        <w:t>new and additional financing for urban NAMAs</w:t>
      </w:r>
      <w:r w:rsidRPr="005B5602">
        <w:t>;</w:t>
      </w:r>
    </w:p>
    <w:p w14:paraId="4D752BA6" w14:textId="77777777" w:rsidR="005B02B2" w:rsidRPr="005B5602" w:rsidRDefault="005B02B2" w:rsidP="00C0239C">
      <w:pPr>
        <w:ind w:left="1980" w:hanging="1620"/>
        <w:jc w:val="left"/>
      </w:pPr>
      <w:r w:rsidRPr="005B5602">
        <w:rPr>
          <w:b/>
        </w:rPr>
        <w:t>Component 4 - Outcome 4</w:t>
      </w:r>
      <w:r w:rsidRPr="005B5602">
        <w:t xml:space="preserve"> will identify and finance </w:t>
      </w:r>
      <w:r w:rsidR="001C7827" w:rsidRPr="005B5602">
        <w:t>a pilot urban mitigation action to demonstrate the feasibility of urban emission reduction for future replication; and</w:t>
      </w:r>
    </w:p>
    <w:p w14:paraId="23185A45" w14:textId="77777777" w:rsidR="002E57BB" w:rsidRPr="005B5602" w:rsidRDefault="005B02B2" w:rsidP="00C0239C">
      <w:pPr>
        <w:ind w:left="1980" w:hanging="1620"/>
        <w:jc w:val="left"/>
      </w:pPr>
      <w:r w:rsidRPr="005B5602">
        <w:rPr>
          <w:b/>
        </w:rPr>
        <w:t>Component 5</w:t>
      </w:r>
      <w:r w:rsidRPr="005B5602">
        <w:t xml:space="preserve"> - </w:t>
      </w:r>
      <w:r w:rsidRPr="005B5602">
        <w:rPr>
          <w:b/>
        </w:rPr>
        <w:t xml:space="preserve">Outcome 5 </w:t>
      </w:r>
      <w:r w:rsidRPr="005B5602">
        <w:t xml:space="preserve">will establish </w:t>
      </w:r>
      <w:r w:rsidR="001C7827" w:rsidRPr="005B5602">
        <w:t xml:space="preserve">a </w:t>
      </w:r>
      <w:r w:rsidRPr="005B5602">
        <w:t xml:space="preserve">monitoring, reporting and verification (MRV) system to </w:t>
      </w:r>
      <w:r w:rsidR="00BA52F5" w:rsidRPr="005B5602">
        <w:t>allow for the systematic monitoring</w:t>
      </w:r>
      <w:r w:rsidR="001C7827" w:rsidRPr="005B5602">
        <w:t>, verifi</w:t>
      </w:r>
      <w:r w:rsidR="00BA52F5" w:rsidRPr="005B5602">
        <w:t>cation</w:t>
      </w:r>
      <w:r w:rsidR="001C7827" w:rsidRPr="005B5602">
        <w:t xml:space="preserve"> and report</w:t>
      </w:r>
      <w:r w:rsidR="00BA52F5" w:rsidRPr="005B5602">
        <w:t>ing of</w:t>
      </w:r>
      <w:r w:rsidRPr="005B5602">
        <w:t xml:space="preserve"> the </w:t>
      </w:r>
      <w:r w:rsidR="001C7827" w:rsidRPr="005B5602">
        <w:t xml:space="preserve">GHG emission reductions of implemented urban NAMAs; and </w:t>
      </w:r>
      <w:r w:rsidR="00BA52F5" w:rsidRPr="005B5602">
        <w:t xml:space="preserve">will </w:t>
      </w:r>
      <w:r w:rsidR="00923444" w:rsidRPr="005B5602">
        <w:t>increase</w:t>
      </w:r>
      <w:r w:rsidR="00BA52F5" w:rsidRPr="005B5602">
        <w:t xml:space="preserve"> the awareness of, and access to, information and guidance on urban NAMAs in Kazakhstan. </w:t>
      </w:r>
    </w:p>
    <w:p w14:paraId="784BD02C" w14:textId="77777777" w:rsidR="009C7EC3" w:rsidRDefault="009C7EC3" w:rsidP="00C0239C">
      <w:pPr>
        <w:ind w:left="1980" w:hanging="1620"/>
        <w:jc w:val="left"/>
      </w:pPr>
    </w:p>
    <w:p w14:paraId="0F7E104A" w14:textId="77777777" w:rsidR="002E57BB" w:rsidRPr="009C7EC3" w:rsidRDefault="00EE1A48" w:rsidP="009C7EC3">
      <w:pPr>
        <w:pStyle w:val="Bodynumbered"/>
      </w:pPr>
      <w:r>
        <w:fldChar w:fldCharType="begin"/>
      </w:r>
      <w:r w:rsidR="000D55CD">
        <w:instrText xml:space="preserve"> REF _Ref377069094 \h </w:instrText>
      </w:r>
      <w:r>
        <w:fldChar w:fldCharType="separate"/>
      </w:r>
      <w:r w:rsidR="003B3B2B" w:rsidRPr="005B5602">
        <w:rPr>
          <w:b/>
        </w:rPr>
        <w:t xml:space="preserve">Figure </w:t>
      </w:r>
      <w:r w:rsidR="003B3B2B">
        <w:rPr>
          <w:b/>
          <w:noProof/>
        </w:rPr>
        <w:t>2</w:t>
      </w:r>
      <w:r>
        <w:fldChar w:fldCharType="end"/>
      </w:r>
      <w:r w:rsidR="000D55CD">
        <w:t xml:space="preserve"> </w:t>
      </w:r>
      <w:r w:rsidR="009C7EC3">
        <w:t xml:space="preserve">illustrates the </w:t>
      </w:r>
      <w:r w:rsidR="009C7EC3" w:rsidRPr="009C7EC3">
        <w:t>Project</w:t>
      </w:r>
      <w:r w:rsidR="009C7EC3">
        <w:t xml:space="preserve">’s structure, </w:t>
      </w:r>
      <w:r w:rsidR="009C7EC3" w:rsidRPr="009C7EC3">
        <w:t>show</w:t>
      </w:r>
      <w:r w:rsidR="009C7EC3">
        <w:t>ing</w:t>
      </w:r>
      <w:r w:rsidR="009C7EC3" w:rsidRPr="009C7EC3">
        <w:t xml:space="preserve"> key relationship</w:t>
      </w:r>
      <w:r w:rsidR="009C7EC3">
        <w:t>s</w:t>
      </w:r>
      <w:r w:rsidR="009C7EC3" w:rsidRPr="009C7EC3">
        <w:t xml:space="preserve"> between </w:t>
      </w:r>
      <w:r w:rsidR="009C7EC3">
        <w:t xml:space="preserve">the </w:t>
      </w:r>
      <w:r w:rsidR="009C7EC3" w:rsidRPr="009C7EC3">
        <w:t xml:space="preserve">Components.  </w:t>
      </w:r>
      <w:r w:rsidRPr="009C7EC3">
        <w:fldChar w:fldCharType="begin"/>
      </w:r>
      <w:r w:rsidR="009C7EC3" w:rsidRPr="009C7EC3">
        <w:instrText xml:space="preserve"> REF _Ref249161549 \h </w:instrText>
      </w:r>
      <w:r w:rsidRPr="009C7EC3">
        <w:fldChar w:fldCharType="separate"/>
      </w:r>
      <w:r w:rsidR="003B3B2B" w:rsidRPr="005B5602">
        <w:rPr>
          <w:b/>
        </w:rPr>
        <w:t xml:space="preserve">Figure </w:t>
      </w:r>
      <w:r w:rsidR="003B3B2B">
        <w:rPr>
          <w:b/>
          <w:noProof/>
        </w:rPr>
        <w:t>3</w:t>
      </w:r>
      <w:r w:rsidRPr="009C7EC3">
        <w:fldChar w:fldCharType="end"/>
      </w:r>
      <w:r w:rsidR="009C7EC3" w:rsidRPr="009C7EC3">
        <w:t xml:space="preserve"> shows the Project’s structure through</w:t>
      </w:r>
      <w:r w:rsidR="009C7EC3">
        <w:t>out</w:t>
      </w:r>
      <w:r w:rsidR="009C7EC3" w:rsidRPr="009C7EC3">
        <w:t xml:space="preserve"> the Project’s lifetime.</w:t>
      </w:r>
    </w:p>
    <w:p w14:paraId="7243945D" w14:textId="77777777" w:rsidR="00EF42DF" w:rsidRDefault="00EF42DF">
      <w:pPr>
        <w:spacing w:after="0"/>
        <w:jc w:val="left"/>
      </w:pPr>
      <w:r>
        <w:br w:type="page"/>
      </w:r>
    </w:p>
    <w:p w14:paraId="259F9771" w14:textId="77777777" w:rsidR="00A43B83" w:rsidRPr="005B5602" w:rsidRDefault="006F48A8" w:rsidP="00A43B83">
      <w:r>
        <w:rPr>
          <w:noProof/>
          <w:lang w:val="en-US"/>
        </w:rPr>
        <w:drawing>
          <wp:inline distT="0" distB="0" distL="0" distR="0" wp14:anchorId="6419D841" wp14:editId="4E8A263B">
            <wp:extent cx="5734305" cy="6944264"/>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_1.jpg"/>
                    <pic:cNvPicPr/>
                  </pic:nvPicPr>
                  <pic:blipFill rotWithShape="1">
                    <a:blip r:embed="rId12">
                      <a:extLst>
                        <a:ext uri="{28A0092B-C50C-407E-A947-70E740481C1C}">
                          <a14:useLocalDpi xmlns:a14="http://schemas.microsoft.com/office/drawing/2010/main" val="0"/>
                        </a:ext>
                      </a:extLst>
                    </a:blip>
                    <a:srcRect t="14362"/>
                    <a:stretch/>
                  </pic:blipFill>
                  <pic:spPr bwMode="auto">
                    <a:xfrm>
                      <a:off x="0" y="0"/>
                      <a:ext cx="5732145" cy="6941648"/>
                    </a:xfrm>
                    <a:prstGeom prst="rect">
                      <a:avLst/>
                    </a:prstGeom>
                    <a:ln>
                      <a:noFill/>
                    </a:ln>
                    <a:extLst>
                      <a:ext uri="{53640926-AAD7-44D8-BBD7-CCE9431645EC}">
                        <a14:shadowObscured xmlns:a14="http://schemas.microsoft.com/office/drawing/2010/main"/>
                      </a:ext>
                    </a:extLst>
                  </pic:spPr>
                </pic:pic>
              </a:graphicData>
            </a:graphic>
          </wp:inline>
        </w:drawing>
      </w:r>
    </w:p>
    <w:p w14:paraId="76819401" w14:textId="77777777" w:rsidR="00E13FA2" w:rsidRPr="005B5602" w:rsidRDefault="00E13FA2" w:rsidP="00E13FA2">
      <w:pPr>
        <w:jc w:val="center"/>
        <w:rPr>
          <w:b/>
        </w:rPr>
      </w:pPr>
      <w:bookmarkStart w:id="43" w:name="_Ref377069094"/>
      <w:bookmarkStart w:id="44" w:name="_Ref377069090"/>
      <w:r w:rsidRPr="005B5602">
        <w:rPr>
          <w:b/>
        </w:rPr>
        <w:t xml:space="preserve">Figure </w:t>
      </w:r>
      <w:r w:rsidR="00EE1A48" w:rsidRPr="005B5602">
        <w:rPr>
          <w:b/>
        </w:rPr>
        <w:fldChar w:fldCharType="begin"/>
      </w:r>
      <w:r w:rsidRPr="005B5602">
        <w:rPr>
          <w:b/>
        </w:rPr>
        <w:instrText xml:space="preserve"> SEQ Figure \* ARABIC </w:instrText>
      </w:r>
      <w:r w:rsidR="00EE1A48" w:rsidRPr="005B5602">
        <w:rPr>
          <w:b/>
        </w:rPr>
        <w:fldChar w:fldCharType="separate"/>
      </w:r>
      <w:r w:rsidR="003B3B2B">
        <w:rPr>
          <w:b/>
          <w:noProof/>
        </w:rPr>
        <w:t>2</w:t>
      </w:r>
      <w:r w:rsidR="00EE1A48" w:rsidRPr="005B5602">
        <w:rPr>
          <w:b/>
        </w:rPr>
        <w:fldChar w:fldCharType="end"/>
      </w:r>
      <w:bookmarkEnd w:id="43"/>
      <w:r w:rsidRPr="005B5602">
        <w:rPr>
          <w:b/>
        </w:rPr>
        <w:t>. Project structure showing key relationship between components</w:t>
      </w:r>
      <w:bookmarkEnd w:id="44"/>
    </w:p>
    <w:p w14:paraId="6417CEEA" w14:textId="77777777" w:rsidR="006F48A8" w:rsidRDefault="006F48A8">
      <w:pPr>
        <w:spacing w:after="0"/>
        <w:jc w:val="left"/>
      </w:pPr>
      <w:r>
        <w:br w:type="page"/>
      </w:r>
    </w:p>
    <w:p w14:paraId="0069DE39" w14:textId="77777777" w:rsidR="00A43B83" w:rsidRPr="005B5602" w:rsidRDefault="006F48A8" w:rsidP="00A43B83">
      <w:r>
        <w:rPr>
          <w:noProof/>
          <w:lang w:val="en-US"/>
        </w:rPr>
        <w:drawing>
          <wp:inline distT="0" distB="0" distL="0" distR="0" wp14:anchorId="24E97F80" wp14:editId="2CCD11B7">
            <wp:extent cx="5730370" cy="7013276"/>
            <wp:effectExtent l="0" t="0" r="381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_2.jpg"/>
                    <pic:cNvPicPr/>
                  </pic:nvPicPr>
                  <pic:blipFill rotWithShape="1">
                    <a:blip r:embed="rId13">
                      <a:extLst>
                        <a:ext uri="{28A0092B-C50C-407E-A947-70E740481C1C}">
                          <a14:useLocalDpi xmlns:a14="http://schemas.microsoft.com/office/drawing/2010/main" val="0"/>
                        </a:ext>
                      </a:extLst>
                    </a:blip>
                    <a:srcRect t="13234"/>
                    <a:stretch/>
                  </pic:blipFill>
                  <pic:spPr bwMode="auto">
                    <a:xfrm>
                      <a:off x="0" y="0"/>
                      <a:ext cx="5732145" cy="7015449"/>
                    </a:xfrm>
                    <a:prstGeom prst="rect">
                      <a:avLst/>
                    </a:prstGeom>
                    <a:ln>
                      <a:noFill/>
                    </a:ln>
                    <a:extLst>
                      <a:ext uri="{53640926-AAD7-44D8-BBD7-CCE9431645EC}">
                        <a14:shadowObscured xmlns:a14="http://schemas.microsoft.com/office/drawing/2010/main"/>
                      </a:ext>
                    </a:extLst>
                  </pic:spPr>
                </pic:pic>
              </a:graphicData>
            </a:graphic>
          </wp:inline>
        </w:drawing>
      </w:r>
    </w:p>
    <w:p w14:paraId="787EE3CE" w14:textId="77777777" w:rsidR="00A43B83" w:rsidRPr="005B5602" w:rsidRDefault="00A43B83" w:rsidP="00A43B83"/>
    <w:p w14:paraId="36F65165" w14:textId="77777777" w:rsidR="00E13FA2" w:rsidRPr="005B5602" w:rsidRDefault="00E13FA2" w:rsidP="00E13FA2">
      <w:pPr>
        <w:jc w:val="center"/>
        <w:rPr>
          <w:b/>
        </w:rPr>
      </w:pPr>
      <w:bookmarkStart w:id="45" w:name="_Ref249161549"/>
      <w:r w:rsidRPr="005B5602">
        <w:rPr>
          <w:b/>
        </w:rPr>
        <w:t xml:space="preserve">Figure </w:t>
      </w:r>
      <w:r w:rsidR="00EE1A48" w:rsidRPr="005B5602">
        <w:rPr>
          <w:b/>
        </w:rPr>
        <w:fldChar w:fldCharType="begin"/>
      </w:r>
      <w:r w:rsidRPr="005B5602">
        <w:rPr>
          <w:b/>
        </w:rPr>
        <w:instrText xml:space="preserve"> SEQ Figure \* ARABIC </w:instrText>
      </w:r>
      <w:r w:rsidR="00EE1A48" w:rsidRPr="005B5602">
        <w:rPr>
          <w:b/>
        </w:rPr>
        <w:fldChar w:fldCharType="separate"/>
      </w:r>
      <w:r w:rsidR="003B3B2B">
        <w:rPr>
          <w:b/>
          <w:noProof/>
        </w:rPr>
        <w:t>3</w:t>
      </w:r>
      <w:r w:rsidR="00EE1A48" w:rsidRPr="005B5602">
        <w:rPr>
          <w:b/>
        </w:rPr>
        <w:fldChar w:fldCharType="end"/>
      </w:r>
      <w:bookmarkEnd w:id="45"/>
      <w:r w:rsidRPr="005B5602">
        <w:rPr>
          <w:b/>
        </w:rPr>
        <w:t>. Project structure according to time</w:t>
      </w:r>
    </w:p>
    <w:p w14:paraId="229D65C9" w14:textId="77777777" w:rsidR="000D55CD" w:rsidRDefault="000D55CD">
      <w:pPr>
        <w:spacing w:after="0"/>
        <w:jc w:val="left"/>
      </w:pPr>
      <w:r>
        <w:br w:type="page"/>
      </w:r>
    </w:p>
    <w:p w14:paraId="0B569E8C" w14:textId="77777777" w:rsidR="002D5074" w:rsidRPr="005B5602" w:rsidRDefault="002D5074" w:rsidP="00C0239C">
      <w:pPr>
        <w:ind w:left="1980" w:hanging="1620"/>
        <w:jc w:val="left"/>
      </w:pPr>
    </w:p>
    <w:p w14:paraId="150D2220" w14:textId="77777777" w:rsidR="005B02B2" w:rsidRPr="007E2D03" w:rsidRDefault="005B02B2" w:rsidP="004445B5">
      <w:pPr>
        <w:pStyle w:val="Heading3"/>
      </w:pPr>
      <w:bookmarkStart w:id="46" w:name="_Ref362018962"/>
      <w:bookmarkStart w:id="47" w:name="_Toc362384276"/>
      <w:bookmarkStart w:id="48" w:name="_Toc393448992"/>
      <w:r w:rsidRPr="005B5602">
        <w:t xml:space="preserve">Component 1: </w:t>
      </w:r>
      <w:bookmarkEnd w:id="46"/>
      <w:bookmarkEnd w:id="47"/>
      <w:r w:rsidR="00625D06" w:rsidRPr="005B5602">
        <w:t xml:space="preserve">Integrated municipal planning, targets and prioritization for </w:t>
      </w:r>
      <w:r w:rsidR="00625D06" w:rsidRPr="007E2D03">
        <w:t>urban mitigation actions</w:t>
      </w:r>
      <w:bookmarkEnd w:id="48"/>
    </w:p>
    <w:p w14:paraId="33E2E11E" w14:textId="77777777" w:rsidR="00BD1E2D" w:rsidRPr="007E2D03" w:rsidRDefault="00A74290" w:rsidP="00B67A4D">
      <w:pPr>
        <w:pStyle w:val="Bodynumbered"/>
      </w:pPr>
      <w:r w:rsidRPr="007E2D03">
        <w:t xml:space="preserve">Component 1 </w:t>
      </w:r>
      <w:r w:rsidR="00906891" w:rsidRPr="007E2D03">
        <w:t>ad</w:t>
      </w:r>
      <w:r w:rsidR="003C2312" w:rsidRPr="007E2D03">
        <w:t>dresses</w:t>
      </w:r>
      <w:r w:rsidR="00906891" w:rsidRPr="007E2D03">
        <w:t xml:space="preserve"> </w:t>
      </w:r>
      <w:r w:rsidR="00B67A4D" w:rsidRPr="007E2D03">
        <w:t xml:space="preserve">the first “readiness” phase of the Project, which </w:t>
      </w:r>
      <w:r w:rsidR="00B25CAE" w:rsidRPr="007E2D03">
        <w:t>s</w:t>
      </w:r>
      <w:r w:rsidR="00B67A4D" w:rsidRPr="007E2D03">
        <w:t>upport</w:t>
      </w:r>
      <w:r w:rsidR="00B25CAE" w:rsidRPr="007E2D03">
        <w:t>s the</w:t>
      </w:r>
      <w:r w:rsidR="00B67A4D" w:rsidRPr="007E2D03">
        <w:t xml:space="preserve"> preparation of urban GHG inventories and baseline scenarios, assessment of abatement potential and costs, </w:t>
      </w:r>
      <w:r w:rsidR="00B25CAE" w:rsidRPr="007E2D03">
        <w:t>prioritization</w:t>
      </w:r>
      <w:r w:rsidR="00B67A4D" w:rsidRPr="007E2D03">
        <w:t xml:space="preserve"> of NAMAs and adoption of urban GHG reduction targets. </w:t>
      </w:r>
      <w:r w:rsidR="001E1BF9">
        <w:t>In terms of the three-phase vision of the NAMA process as described by the UN, Component 1 deals with the “Concept Phase” from when the urban NAMA idea is first identified to the comprehensive concept paper or note</w:t>
      </w:r>
      <w:r w:rsidR="001E1BF9">
        <w:rPr>
          <w:rStyle w:val="FootnoteReference"/>
        </w:rPr>
        <w:footnoteReference w:id="22"/>
      </w:r>
      <w:r w:rsidR="001E1BF9">
        <w:t xml:space="preserve">.  </w:t>
      </w:r>
    </w:p>
    <w:p w14:paraId="21E31E48" w14:textId="77777777" w:rsidR="00BA195B" w:rsidRDefault="003B18E3" w:rsidP="003B18E3">
      <w:pPr>
        <w:pStyle w:val="Bodynumbered"/>
      </w:pPr>
      <w:r>
        <w:t>Under this C</w:t>
      </w:r>
      <w:r w:rsidRPr="005B5602">
        <w:t xml:space="preserve">omponent, technical training and methodological support will be provided to 15 </w:t>
      </w:r>
      <w:r w:rsidR="00BA195B">
        <w:t xml:space="preserve">city </w:t>
      </w:r>
      <w:r w:rsidRPr="005B5602">
        <w:t xml:space="preserve">municipalities, as well as assistance with data collection, processing and analysis. </w:t>
      </w:r>
      <w:r>
        <w:t xml:space="preserve">Working through a phased approach of first engaging with </w:t>
      </w:r>
      <w:r w:rsidR="000D55CD">
        <w:t>a few initial</w:t>
      </w:r>
      <w:r>
        <w:t xml:space="preserve"> “innovator” </w:t>
      </w:r>
      <w:r w:rsidR="000413BF">
        <w:t>akimat</w:t>
      </w:r>
      <w:r>
        <w:t>s and subsequently</w:t>
      </w:r>
      <w:r w:rsidR="000D55CD">
        <w:t xml:space="preserve"> with</w:t>
      </w:r>
      <w:r w:rsidR="00CC40D7">
        <w:t xml:space="preserve"> additional “early adopter” </w:t>
      </w:r>
      <w:r w:rsidR="000413BF">
        <w:t>Akimat</w:t>
      </w:r>
      <w:r>
        <w:t>s</w:t>
      </w:r>
      <w:r w:rsidR="000D55CD">
        <w:t xml:space="preserve"> who are influenced through the initial project successes</w:t>
      </w:r>
      <w:r>
        <w:t>, t</w:t>
      </w:r>
      <w:r w:rsidRPr="007E2D03">
        <w:t>he desired Outcome of Component 1 to have 15 municipalities articulate their climate-related priorities, and identified and prioritized urban mitigation actions (urban NAMAs)</w:t>
      </w:r>
      <w:r w:rsidR="00155A66">
        <w:t xml:space="preserve"> will be achieved</w:t>
      </w:r>
      <w:r w:rsidRPr="007E2D03">
        <w:t xml:space="preserve">. </w:t>
      </w:r>
      <w:r w:rsidRPr="005B5602">
        <w:t>The two key decision making tools that the project will adopt are a) urban GHG inventories and sectoral baselines, and b) abatement cost-curves for the cities and for their main GHG emitting sectors (energy supply, transport, buildings and waste).</w:t>
      </w:r>
    </w:p>
    <w:p w14:paraId="210D7697" w14:textId="77777777" w:rsidR="004F42F4" w:rsidRPr="004F42F4" w:rsidRDefault="004F42F4" w:rsidP="004F42F4">
      <w:pPr>
        <w:pStyle w:val="Bodynumbered"/>
      </w:pPr>
      <w:r>
        <w:t>G</w:t>
      </w:r>
      <w:r w:rsidRPr="004F42F4">
        <w:t>iven the centralized planning process in Kazakhstan</w:t>
      </w:r>
      <w:r>
        <w:t>, w</w:t>
      </w:r>
      <w:r w:rsidRPr="004F42F4">
        <w:t xml:space="preserve">hile the focus of support will be on city municipalities it is also necessary to engage with regional (oblast) level authorities. City-wide GHG emission targets </w:t>
      </w:r>
      <w:r>
        <w:t xml:space="preserve">and abatement cost curves </w:t>
      </w:r>
      <w:r w:rsidRPr="004F42F4">
        <w:t xml:space="preserve">will be proposed and adopted by municipal authorities in consultation with Oblast akimats, so that, while keeping a focus on cities, the project will establish a clear link with regional planning. </w:t>
      </w:r>
      <w:r>
        <w:t xml:space="preserve">This is necessary since Oblast akimats routinely have to sign off on </w:t>
      </w:r>
      <w:r w:rsidRPr="004F42F4">
        <w:t>most documents produced by city akimats</w:t>
      </w:r>
      <w:r>
        <w:t>, and in particular on investments in modernization</w:t>
      </w:r>
      <w:r w:rsidRPr="004F42F4">
        <w:t xml:space="preserve">. Also, the engagement of </w:t>
      </w:r>
      <w:r>
        <w:t xml:space="preserve">the </w:t>
      </w:r>
      <w:r w:rsidRPr="004F42F4">
        <w:t xml:space="preserve">regional authorities is critical </w:t>
      </w:r>
      <w:r>
        <w:t xml:space="preserve">for </w:t>
      </w:r>
      <w:r w:rsidRPr="004F42F4">
        <w:t xml:space="preserve">wider replication of project results. Oblast akimats </w:t>
      </w:r>
      <w:r>
        <w:t xml:space="preserve">will </w:t>
      </w:r>
      <w:r w:rsidRPr="004F42F4">
        <w:t xml:space="preserve">use pilots to showcase to other cities/towns in the region what </w:t>
      </w:r>
      <w:r>
        <w:t xml:space="preserve">can be done in sustainable </w:t>
      </w:r>
      <w:r w:rsidRPr="004F42F4">
        <w:t>urban planning and how it can be done.</w:t>
      </w:r>
      <w:r>
        <w:t xml:space="preserve"> </w:t>
      </w:r>
      <w:r w:rsidRPr="004F42F4">
        <w:t>For Astana and Almaty, which are cities of regional importance and have a system of governmental planning akin to oblast centers, the project will work with just Astana and Almaty akimats. For Kzylorda and Karaganda, which are both Oblast centers, the project will work with both city-level and oblast level akimats. The experience in these two cities will allow the project to explore the linkages between the two levels of authorities and better understand the planning process as a whole to replicate this experience in other cities, e.g. in small towns or monotowns.</w:t>
      </w:r>
    </w:p>
    <w:p w14:paraId="1C8B4ECE" w14:textId="77777777" w:rsidR="00A74290" w:rsidRPr="007E2D03" w:rsidRDefault="00BD1E2D" w:rsidP="00B67A4D">
      <w:pPr>
        <w:pStyle w:val="Bodynumbered"/>
      </w:pPr>
      <w:r w:rsidRPr="007E2D03">
        <w:t>As a result</w:t>
      </w:r>
      <w:r w:rsidR="004F42F4">
        <w:t xml:space="preserve"> of this component</w:t>
      </w:r>
      <w:r w:rsidRPr="007E2D03">
        <w:t>, local authorities will be able to articulate their climate-related priorities and goals, estimate financial resources required to meet them, as well as to identify and prioritize investment projects where GHG emissions can be achieved most cost-effectively and where opportunities therefore exist to leverage private capital and financing</w:t>
      </w:r>
      <w:r w:rsidR="004F6800">
        <w:t xml:space="preserve">, including </w:t>
      </w:r>
      <w:r w:rsidRPr="007E2D03">
        <w:t>via domestic ETS</w:t>
      </w:r>
      <w:r w:rsidR="003F5B16">
        <w:t xml:space="preserve"> and other financing sources</w:t>
      </w:r>
      <w:r w:rsidRPr="007E2D03">
        <w:t>. Assessments of the required financing needs will allow policy-makers to match their priorities with available resources, as well as to plan how to deploy those resources most effectively.</w:t>
      </w:r>
    </w:p>
    <w:p w14:paraId="275B0769" w14:textId="77777777" w:rsidR="003B18E3" w:rsidRDefault="005B02B2" w:rsidP="005B02B2">
      <w:pPr>
        <w:pStyle w:val="Bodynumbered"/>
      </w:pPr>
      <w:r w:rsidRPr="005B5602">
        <w:t xml:space="preserve">As discussed in Section </w:t>
      </w:r>
      <w:r w:rsidR="00EE1A48" w:rsidRPr="005B5602">
        <w:fldChar w:fldCharType="begin"/>
      </w:r>
      <w:r w:rsidRPr="005B5602">
        <w:instrText xml:space="preserve"> REF _Ref362036265 \r \h </w:instrText>
      </w:r>
      <w:r w:rsidR="00EE1A48" w:rsidRPr="005B5602">
        <w:fldChar w:fldCharType="separate"/>
      </w:r>
      <w:r w:rsidR="003B3B2B">
        <w:t>1.3</w:t>
      </w:r>
      <w:r w:rsidR="00EE1A48" w:rsidRPr="005B5602">
        <w:fldChar w:fldCharType="end"/>
      </w:r>
      <w:r w:rsidRPr="005B5602">
        <w:t>, baseline activities only cover national-level inventory</w:t>
      </w:r>
      <w:r w:rsidR="007B6ECA">
        <w:t>,</w:t>
      </w:r>
      <w:r w:rsidRPr="005B5602">
        <w:t xml:space="preserve"> and national and sectoral </w:t>
      </w:r>
      <w:r w:rsidR="002D5074" w:rsidRPr="005B5602">
        <w:t>target</w:t>
      </w:r>
      <w:r w:rsidRPr="005B5602">
        <w:t xml:space="preserve"> setting. There are no plans under BAU to conduct </w:t>
      </w:r>
      <w:r w:rsidR="00906891" w:rsidRPr="005B5602">
        <w:t>urban</w:t>
      </w:r>
      <w:r w:rsidRPr="005B5602">
        <w:t xml:space="preserve"> assessment</w:t>
      </w:r>
      <w:r w:rsidR="00810025" w:rsidRPr="005B5602">
        <w:t>s</w:t>
      </w:r>
      <w:r w:rsidRPr="005B5602">
        <w:t xml:space="preserve"> and adopt </w:t>
      </w:r>
      <w:r w:rsidR="00906891" w:rsidRPr="005B5602">
        <w:t xml:space="preserve">urban GHG reduction </w:t>
      </w:r>
      <w:r w:rsidR="007B6ECA">
        <w:t>targets. T</w:t>
      </w:r>
      <w:r w:rsidRPr="005B5602">
        <w:t>herefore the proposed set</w:t>
      </w:r>
      <w:r w:rsidR="001816DA" w:rsidRPr="005B5602">
        <w:t xml:space="preserve"> of activities under</w:t>
      </w:r>
      <w:r w:rsidRPr="005B5602">
        <w:t xml:space="preserve"> </w:t>
      </w:r>
      <w:r w:rsidR="007B6ECA">
        <w:t>Component 1 is fully additional.</w:t>
      </w:r>
    </w:p>
    <w:p w14:paraId="6A380110" w14:textId="77777777" w:rsidR="005B02B2" w:rsidRPr="005B5602" w:rsidRDefault="005B02B2" w:rsidP="005B02B2">
      <w:pPr>
        <w:pStyle w:val="Bodynumbered"/>
      </w:pPr>
      <w:r w:rsidRPr="005B5602">
        <w:t xml:space="preserve">Technical assistance undertaken under Component 1 will generate </w:t>
      </w:r>
      <w:r w:rsidR="00D71EDC" w:rsidRPr="005B5602">
        <w:t>four Outputs that are described in turn below</w:t>
      </w:r>
      <w:r w:rsidRPr="005B5602">
        <w:t>:</w:t>
      </w:r>
    </w:p>
    <w:p w14:paraId="018DAC51" w14:textId="77777777" w:rsidR="005B02B2" w:rsidRPr="005B5602" w:rsidRDefault="005B02B2" w:rsidP="00D71EDC">
      <w:pPr>
        <w:ind w:left="1440" w:hanging="1080"/>
      </w:pPr>
      <w:r w:rsidRPr="005B5602">
        <w:t xml:space="preserve">Output 1.1 Urban GHG Inventories and baseline </w:t>
      </w:r>
      <w:r w:rsidR="00C0239C" w:rsidRPr="005B5602">
        <w:t>developed in fifteen (15)</w:t>
      </w:r>
      <w:r w:rsidR="00D71EDC" w:rsidRPr="005B5602">
        <w:t xml:space="preserve"> cities</w:t>
      </w:r>
    </w:p>
    <w:p w14:paraId="33184950" w14:textId="77777777" w:rsidR="005B02B2" w:rsidRPr="005B5602" w:rsidRDefault="005B02B2" w:rsidP="00D71EDC">
      <w:pPr>
        <w:ind w:left="1440" w:hanging="1080"/>
      </w:pPr>
      <w:r w:rsidRPr="005B5602">
        <w:t xml:space="preserve">Output 1.2 Abatement potential and cost curves for 15 cities </w:t>
      </w:r>
      <w:r w:rsidR="00D71EDC" w:rsidRPr="005B5602">
        <w:t xml:space="preserve">developed (including for pilot district in Astana </w:t>
      </w:r>
      <w:r w:rsidR="00906891" w:rsidRPr="005B5602">
        <w:t xml:space="preserve">implemented </w:t>
      </w:r>
      <w:r w:rsidRPr="005B5602">
        <w:t xml:space="preserve">under Component 4) </w:t>
      </w:r>
    </w:p>
    <w:p w14:paraId="45C14A25" w14:textId="77777777" w:rsidR="005B02B2" w:rsidRPr="005B5602" w:rsidRDefault="005B02B2" w:rsidP="00D71EDC">
      <w:pPr>
        <w:ind w:left="1440" w:hanging="1080"/>
      </w:pPr>
      <w:r w:rsidRPr="005B5602">
        <w:t>Outputs 1.3 Priority urban NAMAs identified, fact-sheets prepared and discussed with main stakeholders</w:t>
      </w:r>
    </w:p>
    <w:p w14:paraId="234648BE" w14:textId="77777777" w:rsidR="005B02B2" w:rsidRPr="005B5602" w:rsidRDefault="005B02B2" w:rsidP="00D71EDC">
      <w:pPr>
        <w:ind w:left="1440" w:hanging="1080"/>
      </w:pPr>
      <w:r w:rsidRPr="005B5602">
        <w:t xml:space="preserve">Output 1.4 Urban GHG reduction targets established and officially adopted </w:t>
      </w:r>
      <w:r w:rsidR="00906891" w:rsidRPr="005B5602">
        <w:t xml:space="preserve">by </w:t>
      </w:r>
      <w:r w:rsidR="00D71EDC" w:rsidRPr="005B5602">
        <w:t>Akimat</w:t>
      </w:r>
      <w:r w:rsidR="00906891" w:rsidRPr="005B5602">
        <w:t>s</w:t>
      </w:r>
      <w:r w:rsidR="009D3DE5">
        <w:t>.</w:t>
      </w:r>
    </w:p>
    <w:p w14:paraId="5A617458" w14:textId="77777777" w:rsidR="00115757" w:rsidRDefault="00115757" w:rsidP="005B02B2"/>
    <w:p w14:paraId="67B92D35" w14:textId="77777777" w:rsidR="00115757" w:rsidRDefault="00115757" w:rsidP="005B02B2"/>
    <w:p w14:paraId="460830E8" w14:textId="77777777" w:rsidR="00810025" w:rsidRPr="00115757" w:rsidRDefault="00810025" w:rsidP="00115757">
      <w:pPr>
        <w:ind w:left="1440" w:hanging="1080"/>
        <w:rPr>
          <w:b/>
          <w:i/>
        </w:rPr>
      </w:pPr>
      <w:r w:rsidRPr="00115757">
        <w:rPr>
          <w:b/>
          <w:i/>
        </w:rPr>
        <w:t>Output 1.1 Urban GHG Inventories and baseline developed in fifteen (15) cities</w:t>
      </w:r>
    </w:p>
    <w:p w14:paraId="43490847" w14:textId="77777777" w:rsidR="00907AD0" w:rsidRPr="005B5602" w:rsidRDefault="00B67A4D" w:rsidP="00B67A4D">
      <w:pPr>
        <w:pStyle w:val="Bodynumbered"/>
      </w:pPr>
      <w:r w:rsidRPr="005B5602">
        <w:t>As noted in t</w:t>
      </w:r>
      <w:r w:rsidR="004B46EC">
        <w:t>he discussion of barriers (see S</w:t>
      </w:r>
      <w:r w:rsidRPr="005B5602">
        <w:t xml:space="preserve">ection </w:t>
      </w:r>
      <w:r w:rsidR="00EE1A48">
        <w:fldChar w:fldCharType="begin"/>
      </w:r>
      <w:r w:rsidR="00E30D71">
        <w:instrText xml:space="preserve"> REF _Ref249162124 \r \h </w:instrText>
      </w:r>
      <w:r w:rsidR="00EE1A48">
        <w:fldChar w:fldCharType="separate"/>
      </w:r>
      <w:r w:rsidR="003B3B2B">
        <w:t>1.4.1</w:t>
      </w:r>
      <w:r w:rsidR="00EE1A48">
        <w:fldChar w:fldCharType="end"/>
      </w:r>
      <w:r w:rsidRPr="005B5602">
        <w:t xml:space="preserve">), while there is </w:t>
      </w:r>
      <w:r w:rsidR="001E1BF9">
        <w:t xml:space="preserve">currently </w:t>
      </w:r>
      <w:r w:rsidRPr="005B5602">
        <w:t xml:space="preserve">knowledge, interest and action at the Akimat level on energy efficiency </w:t>
      </w:r>
      <w:r w:rsidR="00907AD0" w:rsidRPr="005B5602">
        <w:t>and sustainable energy, there is a lack of focus on reducing GHG emissions generally and little understanding of the NAMA mechanism</w:t>
      </w:r>
      <w:r w:rsidR="00D17C42" w:rsidRPr="005B5602">
        <w:t xml:space="preserve"> including </w:t>
      </w:r>
      <w:r w:rsidR="00907AD0" w:rsidRPr="005B5602">
        <w:t xml:space="preserve">how it could be used in Kazakhstan to promote potential GHG reductions and transform </w:t>
      </w:r>
      <w:r w:rsidR="002160FE" w:rsidRPr="005B5602">
        <w:t xml:space="preserve">development </w:t>
      </w:r>
      <w:r w:rsidR="00907AD0" w:rsidRPr="005B5602">
        <w:t xml:space="preserve">towards low-emission pathways. </w:t>
      </w:r>
      <w:r w:rsidR="002160FE" w:rsidRPr="005B5602">
        <w:t xml:space="preserve">Component 1’s strategy, therefore, is to use municipal planning as an entry point to addressing the institutional and knowledge barriers to NAMA development at the Akimat level. </w:t>
      </w:r>
    </w:p>
    <w:p w14:paraId="63CF5705" w14:textId="77777777" w:rsidR="00975528" w:rsidRPr="005B5602" w:rsidRDefault="00975528" w:rsidP="00975528">
      <w:pPr>
        <w:pStyle w:val="Bodynumbered"/>
      </w:pPr>
      <w:r w:rsidRPr="005B5602">
        <w:t xml:space="preserve">Based on recommendations from stakeholder consultations, the Project will focus on cities based both on their willingness to work with the Project and their bankability. The intent is to focus initial Project efforts on those cities that are most proactive and receptive, for example where there is substantial mayoral support for the Project. The work done by these ‘early movers’, in particular the identification of priority investments (including the required work on inventories and abatement cost curves), will serve as models of experience for subsequent participants. Therefore, a phased approach will be adopted, working first with a small number of akimats </w:t>
      </w:r>
      <w:r w:rsidR="00282A9E">
        <w:t>that demonstrate both ‘willingness’ and ‘bankability’ based on the following</w:t>
      </w:r>
      <w:r w:rsidR="001E1BF9">
        <w:t xml:space="preserve"> considerations</w:t>
      </w:r>
      <w:r w:rsidR="00494E04">
        <w:t xml:space="preserve"> for selection</w:t>
      </w:r>
      <w:r w:rsidR="00282A9E">
        <w:t>:</w:t>
      </w:r>
    </w:p>
    <w:p w14:paraId="244A42BE" w14:textId="77777777" w:rsidR="006D66DF" w:rsidRPr="00707482" w:rsidRDefault="00ED35F9" w:rsidP="007D6892">
      <w:pPr>
        <w:pStyle w:val="ListParagraph"/>
        <w:widowControl w:val="0"/>
        <w:numPr>
          <w:ilvl w:val="0"/>
          <w:numId w:val="27"/>
        </w:numPr>
        <w:autoSpaceDE w:val="0"/>
        <w:autoSpaceDN w:val="0"/>
        <w:adjustRightInd w:val="0"/>
        <w:spacing w:after="240" w:line="276" w:lineRule="auto"/>
        <w:contextualSpacing/>
        <w:rPr>
          <w:rFonts w:ascii="Arial" w:hAnsi="Arial" w:cs="Helvetica"/>
          <w:sz w:val="22"/>
        </w:rPr>
      </w:pPr>
      <w:r>
        <w:rPr>
          <w:rFonts w:ascii="Arial" w:hAnsi="Arial" w:cs="Helvetica"/>
          <w:sz w:val="22"/>
        </w:rPr>
        <w:t>W</w:t>
      </w:r>
      <w:r w:rsidR="006D66DF" w:rsidRPr="00707482">
        <w:rPr>
          <w:rFonts w:ascii="Arial" w:hAnsi="Arial" w:cs="Helvetica"/>
          <w:sz w:val="22"/>
        </w:rPr>
        <w:t xml:space="preserve">here </w:t>
      </w:r>
      <w:r w:rsidR="00145C39">
        <w:rPr>
          <w:rFonts w:ascii="Arial" w:hAnsi="Arial" w:cs="Helvetica"/>
          <w:sz w:val="22"/>
        </w:rPr>
        <w:t>relevant TA or development</w:t>
      </w:r>
      <w:r w:rsidR="006D66DF" w:rsidRPr="00707482">
        <w:rPr>
          <w:rFonts w:ascii="Arial" w:hAnsi="Arial" w:cs="Helvetica"/>
          <w:sz w:val="22"/>
        </w:rPr>
        <w:t xml:space="preserve"> projects have been undertaken and there is a good working relationship with municipalities and various municipal companies already established. Pre-feasibility studies may have already been conduct</w:t>
      </w:r>
      <w:r w:rsidR="00C806E7" w:rsidRPr="00707482">
        <w:rPr>
          <w:rFonts w:ascii="Arial" w:hAnsi="Arial" w:cs="Helvetica"/>
          <w:sz w:val="22"/>
        </w:rPr>
        <w:t xml:space="preserve">ed and pilot project undertaken. </w:t>
      </w:r>
    </w:p>
    <w:p w14:paraId="4FEF4A64" w14:textId="77777777" w:rsidR="00975528" w:rsidRPr="00975528" w:rsidRDefault="00975528" w:rsidP="007D6892">
      <w:pPr>
        <w:pStyle w:val="ListParagraph"/>
        <w:widowControl w:val="0"/>
        <w:numPr>
          <w:ilvl w:val="0"/>
          <w:numId w:val="27"/>
        </w:numPr>
        <w:autoSpaceDE w:val="0"/>
        <w:autoSpaceDN w:val="0"/>
        <w:adjustRightInd w:val="0"/>
        <w:spacing w:after="240" w:line="276" w:lineRule="auto"/>
        <w:contextualSpacing/>
        <w:rPr>
          <w:rFonts w:ascii="Arial" w:hAnsi="Arial" w:cs="Helvetica"/>
          <w:sz w:val="22"/>
        </w:rPr>
      </w:pPr>
      <w:r w:rsidRPr="00975528">
        <w:rPr>
          <w:rFonts w:ascii="Arial" w:hAnsi="Arial" w:cs="Helvetica"/>
          <w:sz w:val="22"/>
        </w:rPr>
        <w:t>Where there are ongoing or planned programmes of intervention, including those related not specifically to EE but to other initiatives such as on local governance;</w:t>
      </w:r>
    </w:p>
    <w:p w14:paraId="2A05B03A" w14:textId="77777777" w:rsidR="00975528" w:rsidRPr="00975528" w:rsidRDefault="00975528" w:rsidP="007D6892">
      <w:pPr>
        <w:pStyle w:val="ListParagraph"/>
        <w:widowControl w:val="0"/>
        <w:numPr>
          <w:ilvl w:val="0"/>
          <w:numId w:val="27"/>
        </w:numPr>
        <w:autoSpaceDE w:val="0"/>
        <w:autoSpaceDN w:val="0"/>
        <w:adjustRightInd w:val="0"/>
        <w:spacing w:after="240" w:line="276" w:lineRule="auto"/>
        <w:contextualSpacing/>
        <w:rPr>
          <w:rFonts w:ascii="Arial" w:hAnsi="Arial" w:cs="Helvetica"/>
          <w:sz w:val="22"/>
        </w:rPr>
      </w:pPr>
      <w:r w:rsidRPr="00975528">
        <w:rPr>
          <w:rFonts w:ascii="Arial" w:hAnsi="Arial" w:cs="Helvetica"/>
          <w:sz w:val="22"/>
        </w:rPr>
        <w:t xml:space="preserve">Where IFIs are working (e.g. where </w:t>
      </w:r>
      <w:r w:rsidR="00145C39">
        <w:rPr>
          <w:rFonts w:ascii="Arial" w:hAnsi="Arial" w:cs="Helvetica"/>
          <w:sz w:val="22"/>
        </w:rPr>
        <w:t>IFC,</w:t>
      </w:r>
      <w:r w:rsidRPr="00975528">
        <w:rPr>
          <w:rFonts w:ascii="Arial" w:hAnsi="Arial" w:cs="Helvetica"/>
          <w:sz w:val="22"/>
        </w:rPr>
        <w:t xml:space="preserve"> EBRD</w:t>
      </w:r>
      <w:r w:rsidR="00145C39">
        <w:rPr>
          <w:rFonts w:ascii="Arial" w:hAnsi="Arial" w:cs="Helvetica"/>
          <w:sz w:val="22"/>
        </w:rPr>
        <w:t xml:space="preserve"> or EADB</w:t>
      </w:r>
      <w:r w:rsidRPr="00975528">
        <w:rPr>
          <w:rFonts w:ascii="Arial" w:hAnsi="Arial" w:cs="Helvetica"/>
          <w:sz w:val="22"/>
        </w:rPr>
        <w:t xml:space="preserve"> ha</w:t>
      </w:r>
      <w:r w:rsidR="00145C39">
        <w:rPr>
          <w:rFonts w:ascii="Arial" w:hAnsi="Arial" w:cs="Helvetica"/>
          <w:sz w:val="22"/>
        </w:rPr>
        <w:t>ve</w:t>
      </w:r>
      <w:r w:rsidRPr="00975528">
        <w:rPr>
          <w:rFonts w:ascii="Arial" w:hAnsi="Arial" w:cs="Helvetica"/>
          <w:sz w:val="22"/>
        </w:rPr>
        <w:t xml:space="preserve"> been, or plan to, implement projects)</w:t>
      </w:r>
      <w:r w:rsidR="00282A9E">
        <w:rPr>
          <w:rFonts w:ascii="Arial" w:hAnsi="Arial" w:cs="Helvetica"/>
          <w:sz w:val="22"/>
        </w:rPr>
        <w:t>;</w:t>
      </w:r>
      <w:r w:rsidR="00494E04">
        <w:rPr>
          <w:rFonts w:ascii="Arial" w:hAnsi="Arial" w:cs="Helvetica"/>
          <w:sz w:val="22"/>
        </w:rPr>
        <w:t xml:space="preserve"> and</w:t>
      </w:r>
    </w:p>
    <w:p w14:paraId="37466901" w14:textId="77777777" w:rsidR="006D66DF" w:rsidRPr="00ED35F9" w:rsidRDefault="001E1BF9" w:rsidP="007D6892">
      <w:pPr>
        <w:pStyle w:val="ListParagraph"/>
        <w:widowControl w:val="0"/>
        <w:numPr>
          <w:ilvl w:val="0"/>
          <w:numId w:val="27"/>
        </w:numPr>
        <w:autoSpaceDE w:val="0"/>
        <w:autoSpaceDN w:val="0"/>
        <w:adjustRightInd w:val="0"/>
        <w:spacing w:after="240" w:line="276" w:lineRule="auto"/>
        <w:contextualSpacing/>
        <w:rPr>
          <w:rFonts w:ascii="Arial" w:hAnsi="Arial" w:cs="Helvetica"/>
          <w:sz w:val="22"/>
        </w:rPr>
      </w:pPr>
      <w:r>
        <w:rPr>
          <w:rFonts w:ascii="Arial" w:hAnsi="Arial" w:cs="Helvetica"/>
          <w:sz w:val="22"/>
        </w:rPr>
        <w:t>Where there is p</w:t>
      </w:r>
      <w:r w:rsidR="00ED35F9">
        <w:rPr>
          <w:rFonts w:ascii="Arial" w:hAnsi="Arial" w:cs="Helvetica"/>
          <w:sz w:val="22"/>
        </w:rPr>
        <w:t>articipation</w:t>
      </w:r>
      <w:r w:rsidR="00EB72F5" w:rsidRPr="00ED35F9">
        <w:rPr>
          <w:rFonts w:ascii="Arial" w:hAnsi="Arial" w:cs="Helvetica"/>
          <w:sz w:val="22"/>
        </w:rPr>
        <w:t xml:space="preserve"> in</w:t>
      </w:r>
      <w:r w:rsidR="00ED35F9">
        <w:rPr>
          <w:rFonts w:ascii="Arial" w:hAnsi="Arial" w:cs="Helvetica"/>
          <w:sz w:val="22"/>
        </w:rPr>
        <w:t xml:space="preserve"> voluntary emission reduction </w:t>
      </w:r>
      <w:r w:rsidR="00975528">
        <w:rPr>
          <w:rFonts w:ascii="Arial" w:hAnsi="Arial" w:cs="Helvetica"/>
          <w:sz w:val="22"/>
        </w:rPr>
        <w:t>activities</w:t>
      </w:r>
      <w:r>
        <w:rPr>
          <w:rFonts w:ascii="Arial" w:hAnsi="Arial" w:cs="Helvetica"/>
          <w:sz w:val="22"/>
        </w:rPr>
        <w:t xml:space="preserve"> that demonstrates a willingness to be involved in low-emission initiatives. Involvement in activities such </w:t>
      </w:r>
      <w:r w:rsidR="00ED35F9">
        <w:rPr>
          <w:rFonts w:ascii="Arial" w:hAnsi="Arial" w:cs="Helvetica"/>
          <w:sz w:val="22"/>
        </w:rPr>
        <w:t xml:space="preserve">as the </w:t>
      </w:r>
      <w:r w:rsidR="00EB72F5" w:rsidRPr="00ED35F9">
        <w:rPr>
          <w:rFonts w:ascii="Arial" w:hAnsi="Arial" w:cs="Helvetica"/>
          <w:sz w:val="22"/>
        </w:rPr>
        <w:t>Covenant of Mayors Initiative, which is a movement where European regional and local authorities commit voluntarily to increasing EE and RES use</w:t>
      </w:r>
      <w:r>
        <w:rPr>
          <w:rFonts w:ascii="Arial" w:hAnsi="Arial" w:cs="Helvetica"/>
          <w:sz w:val="22"/>
        </w:rPr>
        <w:t>, would be considered</w:t>
      </w:r>
      <w:r w:rsidR="00EB72F5" w:rsidRPr="00ED35F9">
        <w:rPr>
          <w:rFonts w:ascii="Arial" w:hAnsi="Arial" w:cs="Helvetica"/>
          <w:sz w:val="22"/>
        </w:rPr>
        <w:t>. Signatories commit to meeting and exceeding a 20% reduction in CO2 emissions by 2020. To date, six signatories from Kazakhstan are: Aksu, Astana, Lisakovsk, Petropavlovsk, Stapaev and Taraz.</w:t>
      </w:r>
    </w:p>
    <w:p w14:paraId="23370D3A" w14:textId="3E4E18A9" w:rsidR="006D66DF" w:rsidRPr="00EB72F5" w:rsidRDefault="006D66DF" w:rsidP="00EB72F5">
      <w:pPr>
        <w:pStyle w:val="Bodynumbered"/>
        <w:rPr>
          <w:lang w:val="en-US"/>
        </w:rPr>
      </w:pPr>
      <w:r w:rsidRPr="00EB72F5">
        <w:rPr>
          <w:lang w:val="en-US"/>
        </w:rPr>
        <w:t xml:space="preserve">Consideration will </w:t>
      </w:r>
      <w:r w:rsidR="00282A9E">
        <w:rPr>
          <w:lang w:val="en-US"/>
        </w:rPr>
        <w:t xml:space="preserve">also </w:t>
      </w:r>
      <w:r w:rsidRPr="00EB72F5">
        <w:rPr>
          <w:lang w:val="en-US"/>
        </w:rPr>
        <w:t>be given to ensuring a balance between cities in the various climatic zones</w:t>
      </w:r>
      <w:r w:rsidR="00282A9E">
        <w:rPr>
          <w:lang w:val="en-US"/>
        </w:rPr>
        <w:t xml:space="preserve"> of the country</w:t>
      </w:r>
      <w:r w:rsidRPr="00EB72F5">
        <w:rPr>
          <w:lang w:val="en-US"/>
        </w:rPr>
        <w:t>.</w:t>
      </w:r>
      <w:r w:rsidR="00CB7C6B">
        <w:rPr>
          <w:lang w:val="en-US"/>
        </w:rPr>
        <w:t xml:space="preserve"> </w:t>
      </w:r>
      <w:r w:rsidR="00B16741">
        <w:t>T</w:t>
      </w:r>
      <w:r w:rsidR="00CB7C6B">
        <w:t>he suggested list of criteria is not exhaustive and will be updated in consultation with all relevant stakeholders during the project’s inception phase</w:t>
      </w:r>
      <w:r w:rsidR="00B16741">
        <w:t>.</w:t>
      </w:r>
    </w:p>
    <w:p w14:paraId="120336F3" w14:textId="77777777" w:rsidR="00975528" w:rsidRDefault="00494E04" w:rsidP="00975528">
      <w:pPr>
        <w:pStyle w:val="Bodynumbered"/>
        <w:rPr>
          <w:lang w:val="en-US"/>
        </w:rPr>
      </w:pPr>
      <w:r>
        <w:rPr>
          <w:lang w:val="en-US"/>
        </w:rPr>
        <w:t>To date, t</w:t>
      </w:r>
      <w:r w:rsidR="00707482" w:rsidRPr="006E2315">
        <w:rPr>
          <w:lang w:val="en-US"/>
        </w:rPr>
        <w:t xml:space="preserve">he </w:t>
      </w:r>
      <w:r w:rsidR="00975528">
        <w:rPr>
          <w:lang w:val="en-US"/>
        </w:rPr>
        <w:t>cities tentatively meeting the above</w:t>
      </w:r>
      <w:r w:rsidR="00707482" w:rsidRPr="006E2315">
        <w:rPr>
          <w:lang w:val="en-US"/>
        </w:rPr>
        <w:t xml:space="preserve"> criteria </w:t>
      </w:r>
      <w:r w:rsidR="00975528">
        <w:rPr>
          <w:lang w:val="en-US"/>
        </w:rPr>
        <w:t xml:space="preserve">that have been identified </w:t>
      </w:r>
      <w:r w:rsidR="00707482" w:rsidRPr="006E2315">
        <w:rPr>
          <w:lang w:val="en-US"/>
        </w:rPr>
        <w:t>include</w:t>
      </w:r>
      <w:r>
        <w:rPr>
          <w:lang w:val="en-US"/>
        </w:rPr>
        <w:t xml:space="preserve"> the following</w:t>
      </w:r>
      <w:r w:rsidR="00707482" w:rsidRPr="006E2315">
        <w:rPr>
          <w:lang w:val="en-US"/>
        </w:rPr>
        <w:t xml:space="preserve">: </w:t>
      </w:r>
    </w:p>
    <w:p w14:paraId="205FC9B1" w14:textId="77777777" w:rsidR="00EB2D3E" w:rsidRDefault="00707482" w:rsidP="007D6892">
      <w:pPr>
        <w:pStyle w:val="ListParagraph"/>
        <w:numPr>
          <w:ilvl w:val="0"/>
          <w:numId w:val="32"/>
        </w:numPr>
        <w:contextualSpacing/>
        <w:rPr>
          <w:rFonts w:ascii="Arial" w:hAnsi="Arial"/>
          <w:sz w:val="22"/>
        </w:rPr>
      </w:pPr>
      <w:r w:rsidRPr="00975528">
        <w:rPr>
          <w:rFonts w:ascii="Arial" w:hAnsi="Arial"/>
          <w:sz w:val="22"/>
        </w:rPr>
        <w:t>Almaty (South),</w:t>
      </w:r>
    </w:p>
    <w:p w14:paraId="15C954BC" w14:textId="77777777" w:rsidR="00EB2D3E" w:rsidRDefault="00EB2D3E" w:rsidP="007D6892">
      <w:pPr>
        <w:pStyle w:val="ListParagraph"/>
        <w:numPr>
          <w:ilvl w:val="0"/>
          <w:numId w:val="32"/>
        </w:numPr>
        <w:contextualSpacing/>
        <w:rPr>
          <w:rFonts w:ascii="Arial" w:hAnsi="Arial"/>
          <w:sz w:val="22"/>
        </w:rPr>
      </w:pPr>
      <w:r>
        <w:rPr>
          <w:rFonts w:ascii="Arial" w:hAnsi="Arial"/>
          <w:sz w:val="22"/>
        </w:rPr>
        <w:t>Astana,</w:t>
      </w:r>
    </w:p>
    <w:p w14:paraId="67C46412" w14:textId="77777777" w:rsidR="00EB2D3E" w:rsidRDefault="00EB2D3E" w:rsidP="007D6892">
      <w:pPr>
        <w:pStyle w:val="ListParagraph"/>
        <w:numPr>
          <w:ilvl w:val="0"/>
          <w:numId w:val="32"/>
        </w:numPr>
        <w:contextualSpacing/>
        <w:rPr>
          <w:rFonts w:ascii="Arial" w:hAnsi="Arial"/>
          <w:sz w:val="22"/>
        </w:rPr>
      </w:pPr>
      <w:r>
        <w:rPr>
          <w:rFonts w:ascii="Arial" w:hAnsi="Arial"/>
          <w:sz w:val="22"/>
        </w:rPr>
        <w:t>Karanganda</w:t>
      </w:r>
      <w:r w:rsidR="0098727F">
        <w:rPr>
          <w:rFonts w:ascii="Arial" w:hAnsi="Arial"/>
          <w:sz w:val="22"/>
        </w:rPr>
        <w:t xml:space="preserve"> (oblast centre)</w:t>
      </w:r>
      <w:r>
        <w:rPr>
          <w:rFonts w:ascii="Arial" w:hAnsi="Arial"/>
          <w:sz w:val="22"/>
        </w:rPr>
        <w:t>,</w:t>
      </w:r>
    </w:p>
    <w:p w14:paraId="743FF415" w14:textId="77777777" w:rsidR="00975528" w:rsidRDefault="00EB2D3E" w:rsidP="007D6892">
      <w:pPr>
        <w:pStyle w:val="ListParagraph"/>
        <w:numPr>
          <w:ilvl w:val="0"/>
          <w:numId w:val="32"/>
        </w:numPr>
        <w:contextualSpacing/>
        <w:rPr>
          <w:rFonts w:ascii="Arial" w:hAnsi="Arial"/>
          <w:sz w:val="22"/>
        </w:rPr>
      </w:pPr>
      <w:r>
        <w:rPr>
          <w:rFonts w:ascii="Arial" w:hAnsi="Arial"/>
          <w:sz w:val="22"/>
        </w:rPr>
        <w:t>Kzyl Orda</w:t>
      </w:r>
      <w:r w:rsidR="0098727F">
        <w:rPr>
          <w:rFonts w:ascii="Arial" w:hAnsi="Arial"/>
          <w:sz w:val="22"/>
        </w:rPr>
        <w:t xml:space="preserve"> (oblast centre)</w:t>
      </w:r>
      <w:r>
        <w:rPr>
          <w:rFonts w:ascii="Arial" w:hAnsi="Arial"/>
          <w:sz w:val="22"/>
        </w:rPr>
        <w:t>,</w:t>
      </w:r>
      <w:r w:rsidR="00707482" w:rsidRPr="00975528">
        <w:rPr>
          <w:rFonts w:ascii="Arial" w:hAnsi="Arial"/>
          <w:sz w:val="22"/>
        </w:rPr>
        <w:t xml:space="preserve"> </w:t>
      </w:r>
    </w:p>
    <w:p w14:paraId="5483B8E6" w14:textId="77777777" w:rsidR="00975528" w:rsidRDefault="00707482" w:rsidP="007D6892">
      <w:pPr>
        <w:pStyle w:val="ListParagraph"/>
        <w:numPr>
          <w:ilvl w:val="0"/>
          <w:numId w:val="32"/>
        </w:numPr>
        <w:contextualSpacing/>
        <w:rPr>
          <w:rFonts w:ascii="Arial" w:hAnsi="Arial"/>
          <w:sz w:val="22"/>
        </w:rPr>
      </w:pPr>
      <w:r w:rsidRPr="00975528">
        <w:rPr>
          <w:rFonts w:ascii="Arial" w:hAnsi="Arial"/>
          <w:sz w:val="22"/>
        </w:rPr>
        <w:t xml:space="preserve">Aktau (East, Caspian region), </w:t>
      </w:r>
    </w:p>
    <w:p w14:paraId="5C591F5A" w14:textId="77777777" w:rsidR="00975528" w:rsidRDefault="00707482" w:rsidP="007D6892">
      <w:pPr>
        <w:pStyle w:val="ListParagraph"/>
        <w:numPr>
          <w:ilvl w:val="0"/>
          <w:numId w:val="32"/>
        </w:numPr>
        <w:contextualSpacing/>
        <w:rPr>
          <w:rFonts w:ascii="Arial" w:hAnsi="Arial"/>
          <w:sz w:val="22"/>
        </w:rPr>
      </w:pPr>
      <w:r w:rsidRPr="00975528">
        <w:rPr>
          <w:rFonts w:ascii="Arial" w:hAnsi="Arial"/>
          <w:sz w:val="22"/>
        </w:rPr>
        <w:t xml:space="preserve">Semei (West, UN Joint Semei Programme), and </w:t>
      </w:r>
    </w:p>
    <w:p w14:paraId="6214AAB1" w14:textId="77777777" w:rsidR="003451C7" w:rsidRPr="00975528" w:rsidRDefault="00707482" w:rsidP="007D6892">
      <w:pPr>
        <w:pStyle w:val="ListParagraph"/>
        <w:numPr>
          <w:ilvl w:val="0"/>
          <w:numId w:val="32"/>
        </w:numPr>
        <w:spacing w:line="276" w:lineRule="auto"/>
        <w:contextualSpacing/>
        <w:rPr>
          <w:rFonts w:ascii="Arial" w:hAnsi="Arial"/>
          <w:sz w:val="22"/>
        </w:rPr>
      </w:pPr>
      <w:r w:rsidRPr="00975528">
        <w:rPr>
          <w:rFonts w:ascii="Arial" w:hAnsi="Arial"/>
          <w:sz w:val="22"/>
        </w:rPr>
        <w:t xml:space="preserve">Pavlodar (North). </w:t>
      </w:r>
    </w:p>
    <w:p w14:paraId="4DE530D3" w14:textId="77777777" w:rsidR="00D22B86" w:rsidRDefault="00A159BB" w:rsidP="00A159BB">
      <w:pPr>
        <w:pStyle w:val="Bodynumbered"/>
        <w:rPr>
          <w:lang w:val="en-US"/>
        </w:rPr>
      </w:pPr>
      <w:r w:rsidRPr="00065863">
        <w:rPr>
          <w:lang w:val="en-US"/>
        </w:rPr>
        <w:t>Preliminary GHG inventories completed for the above pilot cities during the PPG phase on the basis of the available statistical data have yielded the following sectoral GHG profiles:</w:t>
      </w:r>
    </w:p>
    <w:p w14:paraId="6C8EF766" w14:textId="77777777" w:rsidR="00A159BB" w:rsidRDefault="00C05729" w:rsidP="00A159BB">
      <w:pPr>
        <w:pStyle w:val="Bodynumbered"/>
        <w:numPr>
          <w:ilvl w:val="0"/>
          <w:numId w:val="0"/>
        </w:numPr>
        <w:ind w:left="720" w:hanging="360"/>
        <w:rPr>
          <w:lang w:val="en-US"/>
        </w:rPr>
      </w:pPr>
      <w:r w:rsidRPr="007A29D0">
        <w:rPr>
          <w:noProof/>
          <w:lang w:val="en-US"/>
        </w:rPr>
        <w:drawing>
          <wp:inline distT="0" distB="0" distL="0" distR="0" wp14:anchorId="522D6682" wp14:editId="32C25894">
            <wp:extent cx="5732145" cy="3441065"/>
            <wp:effectExtent l="0" t="0" r="20955" b="26035"/>
            <wp:docPr id="2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3B601B6" w14:textId="77777777" w:rsidR="00A159BB" w:rsidRDefault="00A159BB" w:rsidP="00A159BB">
      <w:pPr>
        <w:pStyle w:val="Bodynumbered"/>
        <w:numPr>
          <w:ilvl w:val="0"/>
          <w:numId w:val="0"/>
        </w:numPr>
        <w:ind w:left="360"/>
        <w:jc w:val="center"/>
        <w:rPr>
          <w:lang w:val="en-US"/>
        </w:rPr>
      </w:pPr>
      <w:r w:rsidRPr="002B529C">
        <w:rPr>
          <w:b/>
        </w:rPr>
        <w:t xml:space="preserve">Figure </w:t>
      </w:r>
      <w:r w:rsidR="00B71B33">
        <w:rPr>
          <w:b/>
        </w:rPr>
        <w:t>4</w:t>
      </w:r>
      <w:r w:rsidRPr="002B529C">
        <w:rPr>
          <w:b/>
        </w:rPr>
        <w:t xml:space="preserve">. </w:t>
      </w:r>
      <w:r>
        <w:rPr>
          <w:b/>
        </w:rPr>
        <w:t>Sectoral GHG profiles of the pilot cities</w:t>
      </w:r>
    </w:p>
    <w:p w14:paraId="386C6E1F" w14:textId="77777777" w:rsidR="00810025" w:rsidRPr="002F6128" w:rsidRDefault="00810025" w:rsidP="00CB7C6B">
      <w:pPr>
        <w:pStyle w:val="Bodynumbered"/>
        <w:ind w:left="360"/>
        <w:rPr>
          <w:lang w:val="en-US"/>
        </w:rPr>
      </w:pPr>
      <w:r w:rsidRPr="005B5602">
        <w:rPr>
          <w:lang w:val="en-US"/>
        </w:rPr>
        <w:t xml:space="preserve">The delivery of this </w:t>
      </w:r>
      <w:r w:rsidR="00282A9E">
        <w:rPr>
          <w:lang w:val="en-US"/>
        </w:rPr>
        <w:t>O</w:t>
      </w:r>
      <w:r w:rsidRPr="005B5602">
        <w:rPr>
          <w:lang w:val="en-US"/>
        </w:rPr>
        <w:t xml:space="preserve">utput will include the following specific activities. </w:t>
      </w:r>
    </w:p>
    <w:p w14:paraId="32C96E49" w14:textId="1B96B43B" w:rsidR="00EB2D3E" w:rsidRDefault="00EB2D3E" w:rsidP="00CB7C6B">
      <w:pPr>
        <w:autoSpaceDE w:val="0"/>
        <w:autoSpaceDN w:val="0"/>
        <w:adjustRightInd w:val="0"/>
        <w:spacing w:line="276" w:lineRule="auto"/>
        <w:ind w:left="1440" w:hanging="1440"/>
        <w:jc w:val="left"/>
      </w:pPr>
      <w:r w:rsidRPr="00EB2D3E">
        <w:t>Activity 1.1.1</w:t>
      </w:r>
      <w:r>
        <w:tab/>
        <w:t>Develop methodology / standardized approach fo</w:t>
      </w:r>
      <w:r w:rsidR="0098727F">
        <w:t>r undertaking urban inventories and</w:t>
      </w:r>
      <w:r>
        <w:t xml:space="preserve"> baselines in line with international best practices and realities on the ground</w:t>
      </w:r>
      <w:r w:rsidR="0098727F">
        <w:t xml:space="preserve"> (in coordination with activity 1.2.1)</w:t>
      </w:r>
      <w:r>
        <w:t>. This methodology will be tested and refined in subsequent activities, and later adopted by the government for official use across Kazakhstan (Component 5B).</w:t>
      </w:r>
      <w:r w:rsidR="007D6892">
        <w:t xml:space="preserve"> The methodologies will make use of and build upon existing protocols as outlined in Annex H</w:t>
      </w:r>
    </w:p>
    <w:p w14:paraId="7498A3E2" w14:textId="77777777" w:rsidR="00D621B7" w:rsidRDefault="00CB7C6B" w:rsidP="00CB7C6B">
      <w:pPr>
        <w:autoSpaceDE w:val="0"/>
        <w:autoSpaceDN w:val="0"/>
        <w:adjustRightInd w:val="0"/>
        <w:spacing w:line="276" w:lineRule="auto"/>
        <w:ind w:left="1440" w:hanging="1440"/>
        <w:jc w:val="left"/>
        <w:rPr>
          <w:lang w:val="en-US"/>
        </w:rPr>
      </w:pPr>
      <w:r>
        <w:t>Activity 1.1.2</w:t>
      </w:r>
      <w:r w:rsidR="00EB2D3E">
        <w:tab/>
      </w:r>
      <w:r w:rsidR="002D1D27">
        <w:t>A</w:t>
      </w:r>
      <w:r w:rsidR="002E31EC">
        <w:t>ss</w:t>
      </w:r>
      <w:r w:rsidR="000C1D92">
        <w:t>ess</w:t>
      </w:r>
      <w:r w:rsidR="002D1D27">
        <w:t xml:space="preserve"> </w:t>
      </w:r>
      <w:r w:rsidR="00D621B7">
        <w:t xml:space="preserve">the </w:t>
      </w:r>
      <w:r w:rsidR="002D1D27">
        <w:t xml:space="preserve">shortlisted </w:t>
      </w:r>
      <w:r w:rsidR="000413BF">
        <w:t>akimat</w:t>
      </w:r>
      <w:r w:rsidR="002D1D27">
        <w:t>s based on the above-mentioned criteria of willingness</w:t>
      </w:r>
      <w:r w:rsidR="00494E04">
        <w:t xml:space="preserve"> and bankability for inclusion </w:t>
      </w:r>
      <w:r w:rsidR="002F6128">
        <w:t xml:space="preserve">as “innovators” </w:t>
      </w:r>
      <w:r w:rsidR="00494E04">
        <w:t xml:space="preserve">in the first phase of </w:t>
      </w:r>
      <w:r w:rsidR="002F6128">
        <w:t>the NAMA development process.</w:t>
      </w:r>
      <w:r w:rsidR="00D621B7">
        <w:t xml:space="preserve"> Up to </w:t>
      </w:r>
      <w:r w:rsidR="00BD56DE">
        <w:t>four</w:t>
      </w:r>
      <w:r w:rsidR="00D621B7">
        <w:t xml:space="preserve"> (</w:t>
      </w:r>
      <w:r w:rsidR="00BD56DE">
        <w:t>4</w:t>
      </w:r>
      <w:r w:rsidR="00D621B7">
        <w:t xml:space="preserve">) </w:t>
      </w:r>
      <w:r w:rsidR="000413BF">
        <w:rPr>
          <w:lang w:val="en-US"/>
        </w:rPr>
        <w:t>akimat</w:t>
      </w:r>
      <w:r w:rsidR="00D621B7">
        <w:rPr>
          <w:lang w:val="en-US"/>
        </w:rPr>
        <w:t xml:space="preserve">s will be chosen </w:t>
      </w:r>
      <w:r w:rsidR="00790D40">
        <w:rPr>
          <w:lang w:val="en-US"/>
        </w:rPr>
        <w:t>as</w:t>
      </w:r>
      <w:r w:rsidR="00D621B7">
        <w:rPr>
          <w:lang w:val="en-US"/>
        </w:rPr>
        <w:t xml:space="preserve"> the “innovators” (see </w:t>
      </w:r>
      <w:r w:rsidR="000C746E">
        <w:fldChar w:fldCharType="begin"/>
      </w:r>
      <w:r w:rsidR="000C746E">
        <w:instrText xml:space="preserve"> REF _Ref249161549 \h  \* MERGEFORMAT </w:instrText>
      </w:r>
      <w:r w:rsidR="000C746E">
        <w:fldChar w:fldCharType="separate"/>
      </w:r>
      <w:r w:rsidR="003B3B2B" w:rsidRPr="005B5602">
        <w:rPr>
          <w:b/>
        </w:rPr>
        <w:t xml:space="preserve">Figure </w:t>
      </w:r>
      <w:r w:rsidR="003B3B2B">
        <w:rPr>
          <w:b/>
        </w:rPr>
        <w:t>3</w:t>
      </w:r>
      <w:r w:rsidR="000C746E">
        <w:fldChar w:fldCharType="end"/>
      </w:r>
      <w:r w:rsidR="00D621B7">
        <w:rPr>
          <w:lang w:val="en-US"/>
        </w:rPr>
        <w:t xml:space="preserve">) in that they will be the first </w:t>
      </w:r>
      <w:r w:rsidR="000413BF">
        <w:rPr>
          <w:lang w:val="en-US"/>
        </w:rPr>
        <w:t>akimat</w:t>
      </w:r>
      <w:r w:rsidR="00D621B7">
        <w:rPr>
          <w:lang w:val="en-US"/>
        </w:rPr>
        <w:t>s involved in the urban NAMA development process</w:t>
      </w:r>
      <w:r w:rsidR="00790D40">
        <w:rPr>
          <w:lang w:val="en-US"/>
        </w:rPr>
        <w:t xml:space="preserve"> under the Project</w:t>
      </w:r>
      <w:r w:rsidR="00D621B7">
        <w:rPr>
          <w:lang w:val="en-US"/>
        </w:rPr>
        <w:t>.</w:t>
      </w:r>
    </w:p>
    <w:p w14:paraId="1ED40C3D" w14:textId="77777777" w:rsidR="000C1D92" w:rsidRDefault="00494E04" w:rsidP="00CB7C6B">
      <w:pPr>
        <w:spacing w:line="276" w:lineRule="auto"/>
        <w:ind w:left="1440" w:hanging="1440"/>
        <w:jc w:val="left"/>
      </w:pPr>
      <w:r>
        <w:t>Activity 1.1.</w:t>
      </w:r>
      <w:r w:rsidR="00EB2D3E">
        <w:t>3</w:t>
      </w:r>
      <w:r w:rsidR="00CB7C6B">
        <w:tab/>
      </w:r>
      <w:r w:rsidR="00306F1A">
        <w:t>Establish</w:t>
      </w:r>
      <w:r w:rsidR="004F42F4" w:rsidRPr="004F42F4">
        <w:t xml:space="preserve"> a Working/Coordinating Group for each </w:t>
      </w:r>
      <w:r w:rsidR="004F42F4">
        <w:t xml:space="preserve">city. This working group will include a broad range of stakeholders including </w:t>
      </w:r>
      <w:r w:rsidR="004F42F4" w:rsidRPr="004F42F4">
        <w:t>a representative of the Oblast akimat.</w:t>
      </w:r>
      <w:r w:rsidR="004F42F4">
        <w:t xml:space="preserve"> Consultations will then take place</w:t>
      </w:r>
      <w:r w:rsidR="004F42F4" w:rsidRPr="004F42F4">
        <w:t xml:space="preserve"> </w:t>
      </w:r>
      <w:r>
        <w:t xml:space="preserve">with </w:t>
      </w:r>
      <w:r w:rsidR="000C1D92">
        <w:t xml:space="preserve">each </w:t>
      </w:r>
      <w:r w:rsidR="00790D40">
        <w:t xml:space="preserve">“innovator” </w:t>
      </w:r>
      <w:r w:rsidR="000413BF">
        <w:t>akimat</w:t>
      </w:r>
      <w:r w:rsidR="002F6128">
        <w:t xml:space="preserve"> t</w:t>
      </w:r>
      <w:r w:rsidR="00790D40">
        <w:t>o ensure full understanding of</w:t>
      </w:r>
      <w:r w:rsidR="002F6128">
        <w:t xml:space="preserve"> the Project</w:t>
      </w:r>
      <w:r w:rsidR="0019037C">
        <w:t xml:space="preserve"> and NAMAs including the fit with local priorities</w:t>
      </w:r>
      <w:r w:rsidR="002F6128">
        <w:t xml:space="preserve">. </w:t>
      </w:r>
      <w:r w:rsidR="000413BF">
        <w:t>akimat</w:t>
      </w:r>
    </w:p>
    <w:p w14:paraId="47E652CE" w14:textId="77777777" w:rsidR="004065BF" w:rsidRPr="005B5602" w:rsidRDefault="000C1D92" w:rsidP="00CB7C6B">
      <w:pPr>
        <w:spacing w:line="276" w:lineRule="auto"/>
        <w:ind w:left="1440" w:hanging="1440"/>
        <w:jc w:val="left"/>
      </w:pPr>
      <w:r>
        <w:t>Activity 1.1.</w:t>
      </w:r>
      <w:r w:rsidR="00EB2D3E">
        <w:t>4</w:t>
      </w:r>
      <w:r w:rsidR="00CB7C6B">
        <w:tab/>
      </w:r>
      <w:r>
        <w:t xml:space="preserve">Support the “innovator” </w:t>
      </w:r>
      <w:r w:rsidR="000413BF">
        <w:t>akimat</w:t>
      </w:r>
      <w:r>
        <w:t xml:space="preserve">s with addressing </w:t>
      </w:r>
      <w:r w:rsidR="004936EF">
        <w:t xml:space="preserve">urban </w:t>
      </w:r>
      <w:r>
        <w:t>planning-related barriers, including any knowledge and/or institutional issues related to their full participation in the Project.</w:t>
      </w:r>
      <w:r w:rsidR="00790D40">
        <w:t xml:space="preserve"> Based on a survey of capacity, consultants will provide information packages and/or initial training initiatives to support the </w:t>
      </w:r>
      <w:r w:rsidR="000413BF">
        <w:t>akimat</w:t>
      </w:r>
      <w:r w:rsidR="00790D40">
        <w:t xml:space="preserve">s. </w:t>
      </w:r>
      <w:r w:rsidR="000A1339">
        <w:t>All training and information will be used with the subsequent akimats involved under this Output and as inputs to Component 5 and (Output 5.5 Knowledge resources).</w:t>
      </w:r>
    </w:p>
    <w:p w14:paraId="6A039016" w14:textId="77777777" w:rsidR="000C1D92" w:rsidRDefault="000C1D92" w:rsidP="00CB7C6B">
      <w:pPr>
        <w:spacing w:line="276" w:lineRule="auto"/>
        <w:ind w:left="1440" w:hanging="1440"/>
        <w:jc w:val="left"/>
      </w:pPr>
      <w:r>
        <w:t>Activity 1.1.</w:t>
      </w:r>
      <w:r w:rsidR="004F42F4">
        <w:t>5</w:t>
      </w:r>
      <w:r w:rsidR="00CB7C6B">
        <w:tab/>
      </w:r>
      <w:r w:rsidR="00790D40">
        <w:t>P</w:t>
      </w:r>
      <w:r w:rsidR="002F6128">
        <w:t xml:space="preserve">rovide </w:t>
      </w:r>
      <w:r>
        <w:t>intensive technical (</w:t>
      </w:r>
      <w:r w:rsidR="002F6128">
        <w:t>consultant</w:t>
      </w:r>
      <w:r>
        <w:t>)</w:t>
      </w:r>
      <w:r w:rsidR="00790D40">
        <w:t xml:space="preserve"> support for each of the “innovator” </w:t>
      </w:r>
      <w:r w:rsidR="000413BF">
        <w:t>akimat</w:t>
      </w:r>
      <w:r w:rsidR="00790D40">
        <w:t xml:space="preserve">s to </w:t>
      </w:r>
      <w:r>
        <w:t>establish the</w:t>
      </w:r>
      <w:r w:rsidR="00767992">
        <w:t>ir</w:t>
      </w:r>
      <w:r>
        <w:t xml:space="preserve"> baseline scenario, including the</w:t>
      </w:r>
      <w:r w:rsidR="00C4057C">
        <w:t>ir clearly-defined</w:t>
      </w:r>
      <w:r>
        <w:t xml:space="preserve"> urban NAMA boundaries</w:t>
      </w:r>
      <w:r w:rsidR="00102FB0">
        <w:t xml:space="preserve"> (e.g. entities within the urban area)</w:t>
      </w:r>
      <w:r>
        <w:t>, scope, current financial flows, technology base and value chain</w:t>
      </w:r>
      <w:r w:rsidR="00767992">
        <w:t xml:space="preserve"> as appropriate</w:t>
      </w:r>
      <w:r>
        <w:t xml:space="preserve">. </w:t>
      </w:r>
      <w:r w:rsidR="00C4057C">
        <w:t>The appropriate protocols for determining these baseline emissions and emissions reductions will be recommended through the Project.</w:t>
      </w:r>
      <w:r w:rsidR="004936EF">
        <w:t xml:space="preserve"> </w:t>
      </w:r>
      <w:r w:rsidR="00790D40">
        <w:t xml:space="preserve">To ensure that the Project is efficient and is geared for scale-up, the Project will work with both international consultants and local </w:t>
      </w:r>
      <w:r w:rsidR="005A5CCB">
        <w:t>experts</w:t>
      </w:r>
      <w:r w:rsidR="00790D40">
        <w:t xml:space="preserve">, with the long-term goal of building capacity of local experts to establish the NAMA baseline scenario and urban GHG inventories in other </w:t>
      </w:r>
      <w:r w:rsidR="000413BF">
        <w:t>akimat</w:t>
      </w:r>
      <w:r w:rsidR="00790D40">
        <w:t>s.</w:t>
      </w:r>
    </w:p>
    <w:p w14:paraId="25BB815F" w14:textId="77777777" w:rsidR="000A1339" w:rsidRDefault="00790D40" w:rsidP="00CB7C6B">
      <w:pPr>
        <w:spacing w:line="276" w:lineRule="auto"/>
        <w:ind w:left="1440" w:hanging="1440"/>
        <w:jc w:val="left"/>
      </w:pPr>
      <w:r>
        <w:t>Activity 1.1.</w:t>
      </w:r>
      <w:r w:rsidR="004F42F4">
        <w:t>6</w:t>
      </w:r>
      <w:r w:rsidR="00CB7C6B">
        <w:tab/>
      </w:r>
      <w:r w:rsidR="002E31EC">
        <w:t>Establish a core NAMA working group comprised of champions f</w:t>
      </w:r>
      <w:r>
        <w:t>rom the “innovator”</w:t>
      </w:r>
      <w:r w:rsidR="002E31EC">
        <w:t xml:space="preserve"> </w:t>
      </w:r>
      <w:r w:rsidR="000413BF">
        <w:t>akimat</w:t>
      </w:r>
      <w:r>
        <w:t xml:space="preserve">s and national level members for training, </w:t>
      </w:r>
      <w:r w:rsidR="002E31EC">
        <w:t>discuss</w:t>
      </w:r>
      <w:r>
        <w:t>ion,</w:t>
      </w:r>
      <w:r w:rsidR="002E31EC">
        <w:t xml:space="preserve"> and review examples of </w:t>
      </w:r>
      <w:r w:rsidR="002F6128">
        <w:t>potential</w:t>
      </w:r>
      <w:r w:rsidR="002E31EC">
        <w:t xml:space="preserve"> projects relevant for NAMAs</w:t>
      </w:r>
      <w:r>
        <w:t>.</w:t>
      </w:r>
      <w:r w:rsidR="000A1339">
        <w:t xml:space="preserve"> This group will also be tasked with identifying key lessons as input to Component 5 (Output 5.5 lessons learned).</w:t>
      </w:r>
    </w:p>
    <w:p w14:paraId="255EEA23" w14:textId="77777777" w:rsidR="000A1339" w:rsidRDefault="000A1339" w:rsidP="00CB7C6B">
      <w:pPr>
        <w:spacing w:line="276" w:lineRule="auto"/>
        <w:ind w:left="1440" w:hanging="1440"/>
        <w:jc w:val="left"/>
      </w:pPr>
      <w:r>
        <w:t>Activity 1.1.</w:t>
      </w:r>
      <w:r w:rsidR="004F42F4">
        <w:t>7</w:t>
      </w:r>
      <w:r w:rsidR="00CB7C6B">
        <w:tab/>
      </w:r>
      <w:r w:rsidR="00A22267">
        <w:t xml:space="preserve">Identify the </w:t>
      </w:r>
      <w:r>
        <w:t xml:space="preserve">second round of up to </w:t>
      </w:r>
      <w:r w:rsidR="00BD56DE">
        <w:t>eleven</w:t>
      </w:r>
      <w:r>
        <w:t xml:space="preserve"> (1</w:t>
      </w:r>
      <w:r w:rsidR="00BD56DE">
        <w:t>1</w:t>
      </w:r>
      <w:r>
        <w:t xml:space="preserve">) </w:t>
      </w:r>
      <w:r w:rsidR="000413BF">
        <w:t>akimat</w:t>
      </w:r>
      <w:r>
        <w:t xml:space="preserve">s </w:t>
      </w:r>
      <w:r w:rsidR="00A22267">
        <w:t>and engage</w:t>
      </w:r>
      <w:r>
        <w:t xml:space="preserve"> as above</w:t>
      </w:r>
      <w:r w:rsidR="00A22267">
        <w:t xml:space="preserve"> (activities 1.1.1 and 1.1.2) for the</w:t>
      </w:r>
      <w:r>
        <w:t xml:space="preserve"> “early adopters”. This group of </w:t>
      </w:r>
      <w:r w:rsidR="000413BF">
        <w:t>akimat</w:t>
      </w:r>
      <w:r>
        <w:t xml:space="preserve">s will benefit from the project’s experience with the “innovator” </w:t>
      </w:r>
      <w:r w:rsidR="000413BF">
        <w:t>akimat</w:t>
      </w:r>
      <w:r>
        <w:t>s, in particular awareness of the pilot experiences under the project.</w:t>
      </w:r>
    </w:p>
    <w:p w14:paraId="45490546" w14:textId="77777777" w:rsidR="00CB7C6B" w:rsidRDefault="0019037C" w:rsidP="00CB7C6B">
      <w:pPr>
        <w:spacing w:line="276" w:lineRule="auto"/>
        <w:ind w:left="1440" w:hanging="1440"/>
        <w:jc w:val="left"/>
      </w:pPr>
      <w:r>
        <w:t>Activity 1.1.</w:t>
      </w:r>
      <w:r w:rsidR="004F42F4">
        <w:t>8</w:t>
      </w:r>
      <w:r w:rsidR="00CB7C6B">
        <w:tab/>
      </w:r>
      <w:r>
        <w:t xml:space="preserve">Provide technical (consultant) support for each of the “early adopter” </w:t>
      </w:r>
      <w:r w:rsidR="000413BF">
        <w:t>akimat</w:t>
      </w:r>
      <w:r>
        <w:t>s to establish their baseline scenario, including their clearly-defined urban NAMA boundaries (e.g. entities within the urban area), scope, current financial flows, technology base and value chain as appropriate</w:t>
      </w:r>
      <w:r w:rsidR="003B18E3">
        <w:t>.</w:t>
      </w:r>
      <w:r w:rsidR="00CB7C6B">
        <w:t xml:space="preserve"> </w:t>
      </w:r>
    </w:p>
    <w:p w14:paraId="1D5C2FFD" w14:textId="77777777" w:rsidR="00493BE4" w:rsidRPr="003B18E3" w:rsidRDefault="00CB7C6B" w:rsidP="00CB7C6B">
      <w:pPr>
        <w:spacing w:line="276" w:lineRule="auto"/>
        <w:ind w:left="1440" w:hanging="1440"/>
        <w:jc w:val="left"/>
      </w:pPr>
      <w:r>
        <w:t>Activity 1.1.9</w:t>
      </w:r>
      <w:r>
        <w:tab/>
        <w:t>To support this learning “twinning arrangements” will be facilitated, first between innovators and more advanced cities from the West and then between early adopters and innovators.</w:t>
      </w:r>
    </w:p>
    <w:p w14:paraId="74A9C36A" w14:textId="77777777" w:rsidR="00E13FA2" w:rsidRPr="005B5602" w:rsidRDefault="00E13FA2" w:rsidP="00CB7C6B">
      <w:pPr>
        <w:spacing w:line="276" w:lineRule="auto"/>
      </w:pPr>
    </w:p>
    <w:p w14:paraId="2FBAB6CA" w14:textId="77777777" w:rsidR="00E13FA2" w:rsidRPr="005E6183" w:rsidRDefault="00E13FA2" w:rsidP="005E6183">
      <w:pPr>
        <w:ind w:left="1440" w:hanging="1080"/>
        <w:rPr>
          <w:b/>
          <w:i/>
        </w:rPr>
      </w:pPr>
      <w:r w:rsidRPr="005E6183">
        <w:rPr>
          <w:b/>
          <w:i/>
        </w:rPr>
        <w:t xml:space="preserve">Output 1.2 Abatement potential and cost curves for 15 cities developed (including for pilot district in Astana implemented under Component 4) </w:t>
      </w:r>
    </w:p>
    <w:p w14:paraId="290331D6" w14:textId="77777777" w:rsidR="00C244C5" w:rsidRPr="00C244C5" w:rsidRDefault="00C244C5" w:rsidP="00C244C5">
      <w:pPr>
        <w:pStyle w:val="Bodynumbered"/>
        <w:ind w:left="360"/>
        <w:rPr>
          <w:lang w:val="en-US"/>
        </w:rPr>
      </w:pPr>
      <w:r w:rsidRPr="005B5602">
        <w:rPr>
          <w:lang w:val="en-US"/>
        </w:rPr>
        <w:t xml:space="preserve">The </w:t>
      </w:r>
      <w:r w:rsidR="000413BF">
        <w:rPr>
          <w:lang w:val="en-US"/>
        </w:rPr>
        <w:t>akimat</w:t>
      </w:r>
      <w:r>
        <w:rPr>
          <w:lang w:val="en-US"/>
        </w:rPr>
        <w:t xml:space="preserve">s noted under Output 1.1 – both the “innovators” and the “early adopters” – will also be technically supported in </w:t>
      </w:r>
      <w:r w:rsidR="00582C71">
        <w:rPr>
          <w:lang w:val="en-US"/>
        </w:rPr>
        <w:t xml:space="preserve">conducting initial cost estimates, including </w:t>
      </w:r>
      <w:r>
        <w:rPr>
          <w:lang w:val="en-US"/>
        </w:rPr>
        <w:t xml:space="preserve">the development of abatement potential and cost curves associated with their potential NAMAs.  </w:t>
      </w:r>
      <w:r w:rsidRPr="00C244C5">
        <w:rPr>
          <w:lang w:val="en-US"/>
        </w:rPr>
        <w:t xml:space="preserve">The intent is to ensure that the </w:t>
      </w:r>
      <w:r w:rsidR="000413BF">
        <w:rPr>
          <w:lang w:val="en-US"/>
        </w:rPr>
        <w:t>akimat</w:t>
      </w:r>
      <w:r w:rsidRPr="00C244C5">
        <w:rPr>
          <w:lang w:val="en-US"/>
        </w:rPr>
        <w:t xml:space="preserve">s are able to access and use appropriate decision-making support tools for the prioritisation processes, and care will be taken to determine which technique is most suitable. </w:t>
      </w:r>
    </w:p>
    <w:p w14:paraId="7A9B9908" w14:textId="77777777" w:rsidR="00C244C5" w:rsidRDefault="005A5CCB" w:rsidP="00C244C5">
      <w:pPr>
        <w:pStyle w:val="Bodynumbered"/>
        <w:ind w:left="360"/>
        <w:rPr>
          <w:lang w:val="en-US"/>
        </w:rPr>
      </w:pPr>
      <w:r w:rsidRPr="005B5602">
        <w:rPr>
          <w:lang w:val="en-US"/>
        </w:rPr>
        <w:t>Delivery</w:t>
      </w:r>
      <w:r w:rsidR="00C244C5" w:rsidRPr="005B5602">
        <w:rPr>
          <w:lang w:val="en-US"/>
        </w:rPr>
        <w:t xml:space="preserve"> of this </w:t>
      </w:r>
      <w:r w:rsidR="00C244C5">
        <w:rPr>
          <w:lang w:val="en-US"/>
        </w:rPr>
        <w:t>O</w:t>
      </w:r>
      <w:r w:rsidR="00C244C5" w:rsidRPr="005B5602">
        <w:rPr>
          <w:lang w:val="en-US"/>
        </w:rPr>
        <w:t xml:space="preserve">utput will include the following specific activities. </w:t>
      </w:r>
    </w:p>
    <w:p w14:paraId="3E4AD43F" w14:textId="77777777" w:rsidR="00D22B86" w:rsidRDefault="00D22B86" w:rsidP="00111C94">
      <w:pPr>
        <w:ind w:left="1440" w:hanging="1440"/>
        <w:jc w:val="left"/>
        <w:rPr>
          <w:lang w:val="en-US"/>
        </w:rPr>
      </w:pPr>
      <w:r w:rsidRPr="00D22B86">
        <w:rPr>
          <w:lang w:val="en-US"/>
        </w:rPr>
        <w:t>Activity 1.</w:t>
      </w:r>
      <w:r>
        <w:rPr>
          <w:lang w:val="en-US"/>
        </w:rPr>
        <w:t>2</w:t>
      </w:r>
      <w:r w:rsidRPr="00D22B86">
        <w:rPr>
          <w:lang w:val="en-US"/>
        </w:rPr>
        <w:t>.1:</w:t>
      </w:r>
      <w:r w:rsidRPr="00D22B86">
        <w:rPr>
          <w:lang w:val="en-US"/>
        </w:rPr>
        <w:tab/>
        <w:t xml:space="preserve">Develop methodology / standardized approach for preparing abatement cost curves in line with international best practices </w:t>
      </w:r>
      <w:r>
        <w:rPr>
          <w:lang w:val="en-US"/>
        </w:rPr>
        <w:t xml:space="preserve">and </w:t>
      </w:r>
      <w:r w:rsidRPr="00D22B86">
        <w:rPr>
          <w:lang w:val="en-US"/>
        </w:rPr>
        <w:t>on the ground</w:t>
      </w:r>
      <w:r>
        <w:rPr>
          <w:lang w:val="en-US"/>
        </w:rPr>
        <w:t xml:space="preserve"> realities (with activity 1.1.1)</w:t>
      </w:r>
      <w:r w:rsidRPr="00D22B86">
        <w:rPr>
          <w:lang w:val="en-US"/>
        </w:rPr>
        <w:t>.</w:t>
      </w:r>
    </w:p>
    <w:p w14:paraId="57BD56F7" w14:textId="77777777" w:rsidR="005A5CCB" w:rsidRDefault="00C244C5" w:rsidP="00111C94">
      <w:pPr>
        <w:ind w:left="1440" w:hanging="1440"/>
        <w:jc w:val="left"/>
        <w:rPr>
          <w:lang w:val="en-US"/>
        </w:rPr>
      </w:pPr>
      <w:r>
        <w:rPr>
          <w:lang w:val="en-US"/>
        </w:rPr>
        <w:t>Activity 1.2.</w:t>
      </w:r>
      <w:r w:rsidR="00D22B86">
        <w:rPr>
          <w:lang w:val="en-US"/>
        </w:rPr>
        <w:t>2</w:t>
      </w:r>
      <w:r>
        <w:rPr>
          <w:lang w:val="en-US"/>
        </w:rPr>
        <w:t xml:space="preserve"> </w:t>
      </w:r>
      <w:r w:rsidR="005A5CCB">
        <w:rPr>
          <w:lang w:val="en-US"/>
        </w:rPr>
        <w:t xml:space="preserve">Conduct abatement potential studies through provision of expert (consultant) support to the “innovator” </w:t>
      </w:r>
      <w:r w:rsidR="000413BF">
        <w:rPr>
          <w:lang w:val="en-US"/>
        </w:rPr>
        <w:t>akimat</w:t>
      </w:r>
      <w:r w:rsidR="005A5CCB">
        <w:rPr>
          <w:lang w:val="en-US"/>
        </w:rPr>
        <w:t xml:space="preserve">s. Similar to Output 1.1, </w:t>
      </w:r>
      <w:r w:rsidR="005A5CCB" w:rsidRPr="005A5CCB">
        <w:rPr>
          <w:lang w:val="en-US"/>
        </w:rPr>
        <w:t xml:space="preserve">to ensure that the Project is efficient and is geared for scale-up, the Project will work with both international consultants and local experts, with the long-term goal of building capacity of local experts to provide support for abatement potential and cost curve analysis in the other </w:t>
      </w:r>
      <w:r w:rsidR="000413BF">
        <w:rPr>
          <w:lang w:val="en-US"/>
        </w:rPr>
        <w:t>akimat</w:t>
      </w:r>
      <w:r w:rsidR="005A5CCB" w:rsidRPr="005A5CCB">
        <w:rPr>
          <w:lang w:val="en-US"/>
        </w:rPr>
        <w:t>s.</w:t>
      </w:r>
    </w:p>
    <w:p w14:paraId="15BE3905" w14:textId="77777777" w:rsidR="005A5CCB" w:rsidRDefault="005A5CCB" w:rsidP="00111C94">
      <w:pPr>
        <w:ind w:left="1440" w:hanging="1440"/>
        <w:jc w:val="left"/>
      </w:pPr>
      <w:r>
        <w:rPr>
          <w:lang w:val="en-US"/>
        </w:rPr>
        <w:t>Activity 1.2.</w:t>
      </w:r>
      <w:r w:rsidR="00D22B86">
        <w:rPr>
          <w:lang w:val="en-US"/>
        </w:rPr>
        <w:t>3</w:t>
      </w:r>
      <w:r>
        <w:rPr>
          <w:lang w:val="en-US"/>
        </w:rPr>
        <w:t xml:space="preserve"> </w:t>
      </w:r>
      <w:r w:rsidR="00D22B86">
        <w:rPr>
          <w:lang w:val="en-US"/>
        </w:rPr>
        <w:tab/>
      </w:r>
      <w:r>
        <w:t xml:space="preserve">Engage with the second round of up to </w:t>
      </w:r>
      <w:r w:rsidR="00BD56DE">
        <w:t>eleven</w:t>
      </w:r>
      <w:r>
        <w:t xml:space="preserve"> (1</w:t>
      </w:r>
      <w:r w:rsidR="00BD56DE">
        <w:t>1</w:t>
      </w:r>
      <w:r>
        <w:t xml:space="preserve">) </w:t>
      </w:r>
      <w:r w:rsidR="000413BF">
        <w:t>akimat</w:t>
      </w:r>
      <w:r>
        <w:t xml:space="preserve">s as above (activity 1.2.1) for the “early adopters”. This group of </w:t>
      </w:r>
      <w:r w:rsidR="000413BF">
        <w:t>akimat</w:t>
      </w:r>
      <w:r>
        <w:t xml:space="preserve">s will benefit from the project’s experience with the “innovator” </w:t>
      </w:r>
      <w:r w:rsidR="000413BF">
        <w:t>akimat</w:t>
      </w:r>
      <w:r>
        <w:t>s, in particular awareness of the pilot experiences under the project.</w:t>
      </w:r>
    </w:p>
    <w:p w14:paraId="3D9E2EE3" w14:textId="77777777" w:rsidR="00E13FA2" w:rsidRPr="005B5602" w:rsidRDefault="00E13FA2" w:rsidP="00E13FA2">
      <w:pPr>
        <w:ind w:left="1440" w:hanging="1080"/>
      </w:pPr>
    </w:p>
    <w:p w14:paraId="78798B89" w14:textId="77777777" w:rsidR="00E13FA2" w:rsidRPr="005E6183" w:rsidRDefault="00442495" w:rsidP="005E6183">
      <w:pPr>
        <w:ind w:left="1440" w:hanging="1080"/>
        <w:rPr>
          <w:b/>
          <w:i/>
        </w:rPr>
      </w:pPr>
      <w:r>
        <w:rPr>
          <w:b/>
          <w:i/>
        </w:rPr>
        <w:t>Output</w:t>
      </w:r>
      <w:r w:rsidR="00E13FA2" w:rsidRPr="005E6183">
        <w:rPr>
          <w:b/>
          <w:i/>
        </w:rPr>
        <w:t xml:space="preserve"> 1.3 Priority urban NAMAs identified, fact-sheets prepared and discussed with main stakeholders</w:t>
      </w:r>
    </w:p>
    <w:p w14:paraId="69EAF523" w14:textId="77777777" w:rsidR="00F3734C" w:rsidRPr="00F3734C" w:rsidRDefault="00F3734C" w:rsidP="003419C7">
      <w:pPr>
        <w:pStyle w:val="Bodynumbered"/>
        <w:ind w:left="360"/>
        <w:rPr>
          <w:lang w:val="en-US"/>
        </w:rPr>
      </w:pPr>
      <w:r w:rsidRPr="00F3734C">
        <w:rPr>
          <w:lang w:val="en-US"/>
        </w:rPr>
        <w:t>Based on the result of abatement potential study and consistent with established GHG targets, priority emission reduction projects (</w:t>
      </w:r>
      <w:r>
        <w:rPr>
          <w:lang w:val="en-US"/>
        </w:rPr>
        <w:t>“</w:t>
      </w:r>
      <w:r w:rsidRPr="00F3734C">
        <w:rPr>
          <w:lang w:val="en-US"/>
        </w:rPr>
        <w:t>investment-grade</w:t>
      </w:r>
      <w:r>
        <w:rPr>
          <w:lang w:val="en-US"/>
        </w:rPr>
        <w:t>”</w:t>
      </w:r>
      <w:r w:rsidRPr="00F3734C">
        <w:rPr>
          <w:lang w:val="en-US"/>
        </w:rPr>
        <w:t>) will be identified, their cost established, discussed and proposed for implementation. A series of stakeholder consultation</w:t>
      </w:r>
      <w:r w:rsidR="000B0E27">
        <w:rPr>
          <w:lang w:val="en-US"/>
        </w:rPr>
        <w:t>s</w:t>
      </w:r>
      <w:r w:rsidRPr="00F3734C">
        <w:rPr>
          <w:lang w:val="en-US"/>
        </w:rPr>
        <w:t xml:space="preserve"> will be organized to solicit inputs from civil society and cities’ residents and align prioritized investment with local socio-economic development priorities.  </w:t>
      </w:r>
    </w:p>
    <w:p w14:paraId="75CB2EFB" w14:textId="77777777" w:rsidR="00442495" w:rsidRDefault="00442495" w:rsidP="00442495">
      <w:pPr>
        <w:pStyle w:val="Bodynumbered"/>
        <w:ind w:left="360"/>
        <w:rPr>
          <w:lang w:val="en-US"/>
        </w:rPr>
      </w:pPr>
      <w:r w:rsidRPr="005B5602">
        <w:rPr>
          <w:lang w:val="en-US"/>
        </w:rPr>
        <w:t xml:space="preserve">Delivery of this </w:t>
      </w:r>
      <w:r>
        <w:rPr>
          <w:lang w:val="en-US"/>
        </w:rPr>
        <w:t>O</w:t>
      </w:r>
      <w:r w:rsidRPr="005B5602">
        <w:rPr>
          <w:lang w:val="en-US"/>
        </w:rPr>
        <w:t xml:space="preserve">utput will include the following specific activities. </w:t>
      </w:r>
    </w:p>
    <w:p w14:paraId="0ED64946" w14:textId="77777777" w:rsidR="00442495" w:rsidRDefault="00442495" w:rsidP="00111C94">
      <w:pPr>
        <w:ind w:left="1440" w:hanging="1440"/>
        <w:jc w:val="left"/>
        <w:rPr>
          <w:lang w:val="en-US"/>
        </w:rPr>
      </w:pPr>
      <w:r>
        <w:rPr>
          <w:lang w:val="en-US"/>
        </w:rPr>
        <w:t xml:space="preserve">Activity 1.3.1 </w:t>
      </w:r>
      <w:r w:rsidR="00B31C6E">
        <w:rPr>
          <w:lang w:val="en-US"/>
        </w:rPr>
        <w:tab/>
      </w:r>
      <w:r>
        <w:rPr>
          <w:lang w:val="en-US"/>
        </w:rPr>
        <w:t xml:space="preserve">Identify </w:t>
      </w:r>
      <w:r w:rsidRPr="00F3734C">
        <w:rPr>
          <w:lang w:val="en-US"/>
        </w:rPr>
        <w:t>priority emission reduction projects (</w:t>
      </w:r>
      <w:r>
        <w:rPr>
          <w:lang w:val="en-US"/>
        </w:rPr>
        <w:t>“</w:t>
      </w:r>
      <w:r w:rsidRPr="00F3734C">
        <w:rPr>
          <w:lang w:val="en-US"/>
        </w:rPr>
        <w:t>investment-grade</w:t>
      </w:r>
      <w:r>
        <w:rPr>
          <w:lang w:val="en-US"/>
        </w:rPr>
        <w:t>”</w:t>
      </w:r>
      <w:r w:rsidRPr="00F3734C">
        <w:rPr>
          <w:lang w:val="en-US"/>
        </w:rPr>
        <w:t>)</w:t>
      </w:r>
      <w:r>
        <w:rPr>
          <w:lang w:val="en-US"/>
        </w:rPr>
        <w:t xml:space="preserve"> b</w:t>
      </w:r>
      <w:r w:rsidRPr="00F3734C">
        <w:rPr>
          <w:lang w:val="en-US"/>
        </w:rPr>
        <w:t>ased on the result</w:t>
      </w:r>
      <w:r>
        <w:rPr>
          <w:lang w:val="en-US"/>
        </w:rPr>
        <w:t>s</w:t>
      </w:r>
      <w:r w:rsidRPr="00F3734C">
        <w:rPr>
          <w:lang w:val="en-US"/>
        </w:rPr>
        <w:t xml:space="preserve"> of </w:t>
      </w:r>
      <w:r>
        <w:rPr>
          <w:lang w:val="en-US"/>
        </w:rPr>
        <w:t>the abatement potential studies,</w:t>
      </w:r>
      <w:r w:rsidRPr="00F3734C">
        <w:rPr>
          <w:lang w:val="en-US"/>
        </w:rPr>
        <w:t xml:space="preserve"> </w:t>
      </w:r>
      <w:r>
        <w:rPr>
          <w:lang w:val="en-US"/>
        </w:rPr>
        <w:t xml:space="preserve">initial cost estimates, </w:t>
      </w:r>
      <w:r w:rsidRPr="00F3734C">
        <w:rPr>
          <w:lang w:val="en-US"/>
        </w:rPr>
        <w:t xml:space="preserve">established GHG targets, </w:t>
      </w:r>
      <w:r>
        <w:rPr>
          <w:lang w:val="en-US"/>
        </w:rPr>
        <w:t xml:space="preserve">etc. Similar to Outputs 1.1 and 1.2, this will be done in a phased manner, working first with the “innovators” and then with the “early adopters”. </w:t>
      </w:r>
      <w:r w:rsidR="0002243B">
        <w:rPr>
          <w:lang w:val="en-US"/>
        </w:rPr>
        <w:t xml:space="preserve">This may involve convening and working with a </w:t>
      </w:r>
      <w:r w:rsidR="0002243B" w:rsidRPr="00F3734C">
        <w:rPr>
          <w:lang w:val="en-US"/>
        </w:rPr>
        <w:t xml:space="preserve">national </w:t>
      </w:r>
      <w:r w:rsidR="0002243B">
        <w:rPr>
          <w:lang w:val="en-US"/>
        </w:rPr>
        <w:t xml:space="preserve">or sub-national </w:t>
      </w:r>
      <w:r w:rsidR="0002243B" w:rsidRPr="00F3734C">
        <w:rPr>
          <w:lang w:val="en-US"/>
        </w:rPr>
        <w:t>NAMA</w:t>
      </w:r>
      <w:r w:rsidR="0002243B">
        <w:rPr>
          <w:lang w:val="en-US"/>
        </w:rPr>
        <w:t xml:space="preserve"> planning or coordination group</w:t>
      </w:r>
      <w:r w:rsidR="0002243B" w:rsidRPr="00F3734C">
        <w:rPr>
          <w:lang w:val="en-US"/>
        </w:rPr>
        <w:t xml:space="preserve"> </w:t>
      </w:r>
      <w:r w:rsidR="0002243B">
        <w:rPr>
          <w:lang w:val="en-US"/>
        </w:rPr>
        <w:t>or committee</w:t>
      </w:r>
      <w:r w:rsidR="0002243B" w:rsidRPr="00F3734C">
        <w:rPr>
          <w:lang w:val="en-US"/>
        </w:rPr>
        <w:t>.</w:t>
      </w:r>
      <w:r w:rsidR="00CB7C6B">
        <w:rPr>
          <w:lang w:val="en-US"/>
        </w:rPr>
        <w:t xml:space="preserve"> At present no such committee exists.</w:t>
      </w:r>
    </w:p>
    <w:p w14:paraId="4DC5C018" w14:textId="77777777" w:rsidR="00442495" w:rsidRDefault="00442495" w:rsidP="00442495">
      <w:pPr>
        <w:ind w:left="1440" w:hanging="1440"/>
        <w:rPr>
          <w:lang w:val="en-US"/>
        </w:rPr>
      </w:pPr>
      <w:r>
        <w:rPr>
          <w:lang w:val="en-US"/>
        </w:rPr>
        <w:t>Activity 1.3.2</w:t>
      </w:r>
      <w:r w:rsidR="00CB7C6B">
        <w:rPr>
          <w:lang w:val="en-US"/>
        </w:rPr>
        <w:tab/>
      </w:r>
      <w:r>
        <w:rPr>
          <w:lang w:val="en-US"/>
        </w:rPr>
        <w:t>Develo</w:t>
      </w:r>
      <w:r w:rsidR="006A3578">
        <w:rPr>
          <w:lang w:val="en-US"/>
        </w:rPr>
        <w:t xml:space="preserve">p fact-sheets/ </w:t>
      </w:r>
      <w:r>
        <w:rPr>
          <w:lang w:val="en-US"/>
        </w:rPr>
        <w:t xml:space="preserve">draft concept notes </w:t>
      </w:r>
      <w:r w:rsidR="006A3578">
        <w:rPr>
          <w:lang w:val="en-US"/>
        </w:rPr>
        <w:t xml:space="preserve">/ initial proposals </w:t>
      </w:r>
      <w:r>
        <w:rPr>
          <w:lang w:val="en-US"/>
        </w:rPr>
        <w:t xml:space="preserve">for each </w:t>
      </w:r>
      <w:r w:rsidR="00285F14">
        <w:rPr>
          <w:lang w:val="en-US"/>
        </w:rPr>
        <w:t>priority emissions reduction project</w:t>
      </w:r>
      <w:r>
        <w:rPr>
          <w:lang w:val="en-US"/>
        </w:rPr>
        <w:t>, including</w:t>
      </w:r>
      <w:r w:rsidR="0002243B">
        <w:rPr>
          <w:lang w:val="en-US"/>
        </w:rPr>
        <w:t xml:space="preserve"> the following information</w:t>
      </w:r>
      <w:r>
        <w:rPr>
          <w:lang w:val="en-US"/>
        </w:rPr>
        <w:t>:</w:t>
      </w:r>
    </w:p>
    <w:p w14:paraId="3667455E" w14:textId="77777777" w:rsidR="00442495" w:rsidRPr="0002243B" w:rsidRDefault="0002243B" w:rsidP="007D6892">
      <w:pPr>
        <w:pStyle w:val="ListParagraph"/>
        <w:numPr>
          <w:ilvl w:val="0"/>
          <w:numId w:val="33"/>
        </w:numPr>
        <w:rPr>
          <w:rFonts w:ascii="Arial" w:hAnsi="Arial"/>
          <w:sz w:val="22"/>
        </w:rPr>
      </w:pPr>
      <w:r w:rsidRPr="0002243B">
        <w:rPr>
          <w:rFonts w:ascii="Arial" w:hAnsi="Arial"/>
          <w:sz w:val="22"/>
        </w:rPr>
        <w:t>Summary</w:t>
      </w:r>
      <w:r w:rsidR="00442495" w:rsidRPr="0002243B">
        <w:rPr>
          <w:rFonts w:ascii="Arial" w:hAnsi="Arial"/>
          <w:sz w:val="22"/>
        </w:rPr>
        <w:t xml:space="preserve"> of </w:t>
      </w:r>
      <w:r w:rsidR="006A3578">
        <w:rPr>
          <w:rFonts w:ascii="Arial" w:hAnsi="Arial"/>
          <w:sz w:val="22"/>
        </w:rPr>
        <w:t>project/</w:t>
      </w:r>
      <w:r w:rsidR="00442495" w:rsidRPr="0002243B">
        <w:rPr>
          <w:rFonts w:ascii="Arial" w:hAnsi="Arial"/>
          <w:sz w:val="22"/>
        </w:rPr>
        <w:t>activities/actions</w:t>
      </w:r>
      <w:r w:rsidRPr="0002243B">
        <w:rPr>
          <w:rFonts w:ascii="Arial" w:hAnsi="Arial"/>
          <w:sz w:val="22"/>
        </w:rPr>
        <w:t>;</w:t>
      </w:r>
    </w:p>
    <w:p w14:paraId="32DCE929" w14:textId="77777777" w:rsidR="00285F14" w:rsidRDefault="00442495" w:rsidP="007D6892">
      <w:pPr>
        <w:pStyle w:val="ListParagraph"/>
        <w:numPr>
          <w:ilvl w:val="0"/>
          <w:numId w:val="33"/>
        </w:numPr>
        <w:rPr>
          <w:rFonts w:ascii="Arial" w:hAnsi="Arial"/>
          <w:sz w:val="22"/>
        </w:rPr>
      </w:pPr>
      <w:r w:rsidRPr="0002243B">
        <w:rPr>
          <w:rFonts w:ascii="Arial" w:hAnsi="Arial"/>
          <w:sz w:val="22"/>
        </w:rPr>
        <w:t>Cost estimates, budgets and funding needs</w:t>
      </w:r>
      <w:r w:rsidR="0002243B" w:rsidRPr="0002243B">
        <w:rPr>
          <w:rFonts w:ascii="Arial" w:hAnsi="Arial"/>
          <w:sz w:val="22"/>
        </w:rPr>
        <w:t>;</w:t>
      </w:r>
    </w:p>
    <w:p w14:paraId="5FE9A4B5" w14:textId="77777777" w:rsidR="006A3578" w:rsidRDefault="00285F14" w:rsidP="007D6892">
      <w:pPr>
        <w:pStyle w:val="ListParagraph"/>
        <w:numPr>
          <w:ilvl w:val="0"/>
          <w:numId w:val="33"/>
        </w:numPr>
        <w:rPr>
          <w:rFonts w:ascii="Arial" w:hAnsi="Arial"/>
          <w:sz w:val="22"/>
        </w:rPr>
      </w:pPr>
      <w:r>
        <w:rPr>
          <w:rFonts w:ascii="Arial" w:hAnsi="Arial"/>
          <w:sz w:val="22"/>
        </w:rPr>
        <w:t>Possible policy instruments or measures required</w:t>
      </w:r>
      <w:r w:rsidR="006A3578">
        <w:rPr>
          <w:rFonts w:ascii="Arial" w:hAnsi="Arial"/>
          <w:sz w:val="22"/>
        </w:rPr>
        <w:t>, and already-exisitng actions with similar goals</w:t>
      </w:r>
      <w:r>
        <w:rPr>
          <w:rFonts w:ascii="Arial" w:hAnsi="Arial"/>
          <w:sz w:val="22"/>
        </w:rPr>
        <w:t>;</w:t>
      </w:r>
    </w:p>
    <w:p w14:paraId="2160934A" w14:textId="77777777" w:rsidR="006A3578" w:rsidRDefault="006A3578" w:rsidP="007D6892">
      <w:pPr>
        <w:pStyle w:val="ListParagraph"/>
        <w:numPr>
          <w:ilvl w:val="0"/>
          <w:numId w:val="33"/>
        </w:numPr>
        <w:rPr>
          <w:rFonts w:ascii="Arial" w:hAnsi="Arial"/>
          <w:sz w:val="22"/>
        </w:rPr>
      </w:pPr>
      <w:r>
        <w:rPr>
          <w:rFonts w:ascii="Arial" w:hAnsi="Arial"/>
          <w:sz w:val="22"/>
        </w:rPr>
        <w:t>National contribution (including financial);</w:t>
      </w:r>
    </w:p>
    <w:p w14:paraId="10FF4811" w14:textId="77777777" w:rsidR="006A3578" w:rsidRPr="006A3578" w:rsidRDefault="006A3578" w:rsidP="007D6892">
      <w:pPr>
        <w:pStyle w:val="ListParagraph"/>
        <w:numPr>
          <w:ilvl w:val="0"/>
          <w:numId w:val="33"/>
        </w:numPr>
        <w:rPr>
          <w:rFonts w:ascii="Arial" w:hAnsi="Arial"/>
          <w:sz w:val="22"/>
        </w:rPr>
      </w:pPr>
      <w:r>
        <w:rPr>
          <w:rFonts w:ascii="Arial" w:hAnsi="Arial"/>
          <w:sz w:val="22"/>
        </w:rPr>
        <w:t>Estimated emissions reductions;</w:t>
      </w:r>
    </w:p>
    <w:p w14:paraId="2C7C60E9" w14:textId="77777777" w:rsidR="00442495" w:rsidRPr="0002243B" w:rsidRDefault="00442495" w:rsidP="007D6892">
      <w:pPr>
        <w:pStyle w:val="ListParagraph"/>
        <w:numPr>
          <w:ilvl w:val="0"/>
          <w:numId w:val="33"/>
        </w:numPr>
        <w:rPr>
          <w:rFonts w:ascii="Arial" w:hAnsi="Arial"/>
          <w:sz w:val="22"/>
        </w:rPr>
      </w:pPr>
      <w:r w:rsidRPr="0002243B">
        <w:rPr>
          <w:rFonts w:ascii="Arial" w:hAnsi="Arial"/>
          <w:sz w:val="22"/>
        </w:rPr>
        <w:t>Implementation modalities</w:t>
      </w:r>
      <w:r w:rsidR="0002243B" w:rsidRPr="0002243B">
        <w:rPr>
          <w:rFonts w:ascii="Arial" w:hAnsi="Arial"/>
          <w:sz w:val="22"/>
        </w:rPr>
        <w:t>;</w:t>
      </w:r>
    </w:p>
    <w:p w14:paraId="3A9E8EFB" w14:textId="77777777" w:rsidR="00442495" w:rsidRPr="0002243B" w:rsidRDefault="00442495" w:rsidP="007D6892">
      <w:pPr>
        <w:pStyle w:val="ListParagraph"/>
        <w:numPr>
          <w:ilvl w:val="0"/>
          <w:numId w:val="33"/>
        </w:numPr>
        <w:rPr>
          <w:rFonts w:ascii="Arial" w:hAnsi="Arial"/>
          <w:sz w:val="22"/>
        </w:rPr>
      </w:pPr>
      <w:r w:rsidRPr="0002243B">
        <w:rPr>
          <w:rFonts w:ascii="Arial" w:hAnsi="Arial"/>
          <w:sz w:val="22"/>
        </w:rPr>
        <w:t>Probable stakeholders</w:t>
      </w:r>
      <w:r w:rsidR="0002243B" w:rsidRPr="0002243B">
        <w:rPr>
          <w:rFonts w:ascii="Arial" w:hAnsi="Arial"/>
          <w:sz w:val="22"/>
        </w:rPr>
        <w:t>;</w:t>
      </w:r>
    </w:p>
    <w:p w14:paraId="6FDFFFD5" w14:textId="77777777" w:rsidR="00442495" w:rsidRPr="0002243B" w:rsidRDefault="00442495" w:rsidP="007D6892">
      <w:pPr>
        <w:pStyle w:val="ListParagraph"/>
        <w:numPr>
          <w:ilvl w:val="0"/>
          <w:numId w:val="33"/>
        </w:numPr>
        <w:rPr>
          <w:rFonts w:ascii="Arial" w:hAnsi="Arial"/>
          <w:sz w:val="22"/>
        </w:rPr>
      </w:pPr>
      <w:r w:rsidRPr="0002243B">
        <w:rPr>
          <w:rFonts w:ascii="Arial" w:hAnsi="Arial"/>
          <w:sz w:val="22"/>
        </w:rPr>
        <w:t xml:space="preserve">NAMA’s prime benefits and </w:t>
      </w:r>
      <w:r w:rsidR="006A3578">
        <w:rPr>
          <w:rFonts w:ascii="Arial" w:hAnsi="Arial"/>
          <w:sz w:val="22"/>
        </w:rPr>
        <w:t xml:space="preserve">substantial </w:t>
      </w:r>
      <w:r w:rsidRPr="0002243B">
        <w:rPr>
          <w:rFonts w:ascii="Arial" w:hAnsi="Arial"/>
          <w:sz w:val="22"/>
        </w:rPr>
        <w:t>co-benefits</w:t>
      </w:r>
      <w:r w:rsidR="0002243B" w:rsidRPr="0002243B">
        <w:rPr>
          <w:rFonts w:ascii="Arial" w:hAnsi="Arial"/>
          <w:sz w:val="22"/>
        </w:rPr>
        <w:t>;</w:t>
      </w:r>
    </w:p>
    <w:p w14:paraId="7F66879C" w14:textId="77777777" w:rsidR="00442495" w:rsidRPr="0002243B" w:rsidRDefault="00442495" w:rsidP="007D6892">
      <w:pPr>
        <w:pStyle w:val="ListParagraph"/>
        <w:numPr>
          <w:ilvl w:val="0"/>
          <w:numId w:val="33"/>
        </w:numPr>
        <w:rPr>
          <w:rFonts w:ascii="Arial" w:hAnsi="Arial"/>
          <w:sz w:val="22"/>
        </w:rPr>
      </w:pPr>
      <w:r w:rsidRPr="0002243B">
        <w:rPr>
          <w:rFonts w:ascii="Arial" w:hAnsi="Arial"/>
          <w:sz w:val="22"/>
        </w:rPr>
        <w:t>Details of MRV system.</w:t>
      </w:r>
    </w:p>
    <w:p w14:paraId="1B6D67FB" w14:textId="77777777" w:rsidR="00984534" w:rsidRDefault="006A3578" w:rsidP="00111C94">
      <w:pPr>
        <w:ind w:left="1440" w:hanging="1440"/>
        <w:jc w:val="left"/>
        <w:rPr>
          <w:lang w:val="en-US"/>
        </w:rPr>
      </w:pPr>
      <w:r w:rsidRPr="006A3578">
        <w:rPr>
          <w:lang w:val="en-US"/>
        </w:rPr>
        <w:t>Activity 1.3.</w:t>
      </w:r>
      <w:r>
        <w:rPr>
          <w:lang w:val="en-US"/>
        </w:rPr>
        <w:t>3</w:t>
      </w:r>
      <w:r w:rsidR="00CB7C6B">
        <w:rPr>
          <w:lang w:val="en-US"/>
        </w:rPr>
        <w:tab/>
      </w:r>
      <w:r w:rsidRPr="006A3578">
        <w:rPr>
          <w:lang w:val="en-US"/>
        </w:rPr>
        <w:t xml:space="preserve">Develop </w:t>
      </w:r>
      <w:r w:rsidR="00984534">
        <w:rPr>
          <w:lang w:val="en-US"/>
        </w:rPr>
        <w:t xml:space="preserve">a </w:t>
      </w:r>
      <w:r w:rsidR="00A450C6">
        <w:rPr>
          <w:lang w:val="en-US"/>
        </w:rPr>
        <w:t>stakeholder engagement strategy</w:t>
      </w:r>
      <w:r w:rsidR="004400EF">
        <w:rPr>
          <w:lang w:val="en-US"/>
        </w:rPr>
        <w:t xml:space="preserve"> for each </w:t>
      </w:r>
      <w:r w:rsidR="000413BF">
        <w:rPr>
          <w:lang w:val="en-US"/>
        </w:rPr>
        <w:t>akimat</w:t>
      </w:r>
      <w:r w:rsidR="004400EF">
        <w:rPr>
          <w:lang w:val="en-US"/>
        </w:rPr>
        <w:t>/project</w:t>
      </w:r>
      <w:r w:rsidR="00A450C6">
        <w:rPr>
          <w:lang w:val="en-US"/>
        </w:rPr>
        <w:t>, ensuring that</w:t>
      </w:r>
      <w:r w:rsidR="004400EF">
        <w:rPr>
          <w:lang w:val="en-US"/>
        </w:rPr>
        <w:t xml:space="preserve"> there is identification and engagement planned with all major stakeholders - both supportive and potentially non-supportive – thereby ensuring that it is an inclusive process.</w:t>
      </w:r>
      <w:r w:rsidR="001F2382">
        <w:rPr>
          <w:lang w:val="en-US"/>
        </w:rPr>
        <w:t xml:space="preserve"> This consultation will include broader public consultations about </w:t>
      </w:r>
      <w:r w:rsidR="001F2382" w:rsidRPr="001F2382">
        <w:rPr>
          <w:lang w:val="en-US"/>
        </w:rPr>
        <w:t>priority projects</w:t>
      </w:r>
      <w:r w:rsidR="001F2382">
        <w:rPr>
          <w:lang w:val="en-US"/>
        </w:rPr>
        <w:t xml:space="preserve">, potentially via </w:t>
      </w:r>
      <w:r w:rsidR="001F2382" w:rsidRPr="001F2382">
        <w:rPr>
          <w:lang w:val="en-US"/>
        </w:rPr>
        <w:t xml:space="preserve">TV debates </w:t>
      </w:r>
      <w:r w:rsidR="001F2382">
        <w:rPr>
          <w:lang w:val="en-US"/>
        </w:rPr>
        <w:t>to enhance transparency, ownership and local buy-in</w:t>
      </w:r>
      <w:r w:rsidR="001F2382" w:rsidRPr="001F2382">
        <w:rPr>
          <w:lang w:val="en-US"/>
        </w:rPr>
        <w:t>.</w:t>
      </w:r>
    </w:p>
    <w:p w14:paraId="4F3AC8D9" w14:textId="77777777" w:rsidR="00647344" w:rsidRDefault="00647344" w:rsidP="00111C94">
      <w:pPr>
        <w:ind w:left="1440" w:hanging="1440"/>
        <w:jc w:val="left"/>
        <w:rPr>
          <w:lang w:val="en-US"/>
        </w:rPr>
      </w:pPr>
      <w:r w:rsidRPr="006A3578">
        <w:rPr>
          <w:lang w:val="en-US"/>
        </w:rPr>
        <w:t>Activity 1.3.</w:t>
      </w:r>
      <w:r>
        <w:rPr>
          <w:lang w:val="en-US"/>
        </w:rPr>
        <w:t>4</w:t>
      </w:r>
      <w:r w:rsidRPr="006A3578">
        <w:rPr>
          <w:lang w:val="en-US"/>
        </w:rPr>
        <w:t xml:space="preserve"> </w:t>
      </w:r>
      <w:r>
        <w:rPr>
          <w:lang w:val="en-US"/>
        </w:rPr>
        <w:t xml:space="preserve">Implement the stakeholder engagement strategy for each </w:t>
      </w:r>
      <w:r w:rsidR="000413BF">
        <w:rPr>
          <w:lang w:val="en-US"/>
        </w:rPr>
        <w:t>akimat</w:t>
      </w:r>
      <w:r>
        <w:rPr>
          <w:lang w:val="en-US"/>
        </w:rPr>
        <w:t>/project, documenting the engagement process to demonstrate that it is well administered.</w:t>
      </w:r>
    </w:p>
    <w:p w14:paraId="1D37FD4F" w14:textId="77777777" w:rsidR="006A3578" w:rsidRPr="006A3578" w:rsidRDefault="006A3578" w:rsidP="006A3578">
      <w:pPr>
        <w:ind w:left="1440" w:hanging="1440"/>
        <w:rPr>
          <w:lang w:val="en-US"/>
        </w:rPr>
      </w:pPr>
    </w:p>
    <w:p w14:paraId="07FD7653" w14:textId="77777777" w:rsidR="00E13FA2" w:rsidRPr="005E6183" w:rsidRDefault="00E13FA2" w:rsidP="005E6183">
      <w:pPr>
        <w:ind w:left="1440" w:hanging="1080"/>
        <w:rPr>
          <w:b/>
          <w:i/>
        </w:rPr>
      </w:pPr>
      <w:r w:rsidRPr="005E6183">
        <w:rPr>
          <w:b/>
          <w:i/>
        </w:rPr>
        <w:t>Output 1.4 Urban GHG reduction targets established and officially adopted by Akimats</w:t>
      </w:r>
    </w:p>
    <w:p w14:paraId="21B11197" w14:textId="77777777" w:rsidR="005E6183" w:rsidRPr="009709E8" w:rsidRDefault="009709E8" w:rsidP="009709E8">
      <w:pPr>
        <w:pStyle w:val="Bodynumbered"/>
        <w:ind w:left="360"/>
        <w:rPr>
          <w:lang w:val="en-US"/>
        </w:rPr>
      </w:pPr>
      <w:r w:rsidRPr="009709E8">
        <w:rPr>
          <w:lang w:val="en-US"/>
        </w:rPr>
        <w:t xml:space="preserve">A necessary condition of a successful NAMA is government involvement and commitment. </w:t>
      </w:r>
      <w:r w:rsidR="00E762B5" w:rsidRPr="00B31C6E">
        <w:rPr>
          <w:lang w:val="en-US"/>
        </w:rPr>
        <w:t xml:space="preserve">Based on the analysis and finding of sectoral baselines and abatement potential, city-wide GHG emission targets will be proposed and adopted by </w:t>
      </w:r>
      <w:r w:rsidR="00E762B5" w:rsidRPr="003419C7">
        <w:rPr>
          <w:lang w:val="en-US"/>
        </w:rPr>
        <w:t xml:space="preserve">the city and </w:t>
      </w:r>
      <w:r w:rsidR="00E762B5" w:rsidRPr="00B31C6E">
        <w:rPr>
          <w:lang w:val="en-US"/>
        </w:rPr>
        <w:t>regional authorities</w:t>
      </w:r>
      <w:r w:rsidR="00E762B5" w:rsidRPr="00F3734C">
        <w:rPr>
          <w:lang w:val="en-US"/>
        </w:rPr>
        <w:t>.</w:t>
      </w:r>
      <w:r w:rsidR="00E762B5">
        <w:rPr>
          <w:lang w:val="en-US"/>
        </w:rPr>
        <w:t xml:space="preserve"> The project will seek to integrate the targets into other strategic planning documents of municipalities and regional authorities, which may include the </w:t>
      </w:r>
      <w:r w:rsidR="00E762B5" w:rsidRPr="00B31C6E">
        <w:rPr>
          <w:lang w:val="en-US"/>
        </w:rPr>
        <w:t xml:space="preserve">5-year strategic plans of natural resources and environmental management administrations (offices) of </w:t>
      </w:r>
      <w:r w:rsidR="00E762B5">
        <w:rPr>
          <w:lang w:val="en-US"/>
        </w:rPr>
        <w:t xml:space="preserve">the </w:t>
      </w:r>
      <w:r w:rsidR="00E762B5" w:rsidRPr="00B31C6E">
        <w:rPr>
          <w:lang w:val="en-US"/>
        </w:rPr>
        <w:t xml:space="preserve">Oblast </w:t>
      </w:r>
      <w:r w:rsidR="00E762B5">
        <w:rPr>
          <w:lang w:val="en-US"/>
        </w:rPr>
        <w:t>a</w:t>
      </w:r>
      <w:r w:rsidR="00E762B5" w:rsidRPr="00B31C6E">
        <w:rPr>
          <w:lang w:val="en-US"/>
        </w:rPr>
        <w:t xml:space="preserve">kimats </w:t>
      </w:r>
      <w:r w:rsidR="00E762B5">
        <w:rPr>
          <w:lang w:val="en-US"/>
        </w:rPr>
        <w:t xml:space="preserve">(plus </w:t>
      </w:r>
      <w:r w:rsidR="00E762B5" w:rsidRPr="00B31C6E">
        <w:rPr>
          <w:lang w:val="en-US"/>
        </w:rPr>
        <w:t>Astana and Almaty</w:t>
      </w:r>
      <w:r w:rsidR="00E762B5">
        <w:rPr>
          <w:lang w:val="en-US"/>
        </w:rPr>
        <w:t>)</w:t>
      </w:r>
      <w:r w:rsidR="00E762B5" w:rsidRPr="00B31C6E">
        <w:rPr>
          <w:lang w:val="en-US"/>
        </w:rPr>
        <w:t xml:space="preserve"> (current plans are for 2011-2015) and also into 3-year energy saving plans developed recently by all </w:t>
      </w:r>
      <w:r w:rsidR="00E762B5">
        <w:rPr>
          <w:lang w:val="en-US"/>
        </w:rPr>
        <w:t xml:space="preserve">Oblasts </w:t>
      </w:r>
      <w:r w:rsidR="00E762B5" w:rsidRPr="00B31C6E">
        <w:rPr>
          <w:lang w:val="en-US"/>
        </w:rPr>
        <w:t xml:space="preserve">regions </w:t>
      </w:r>
      <w:r w:rsidR="00E762B5">
        <w:rPr>
          <w:lang w:val="en-US"/>
        </w:rPr>
        <w:t xml:space="preserve">(plus </w:t>
      </w:r>
      <w:r w:rsidR="00E762B5" w:rsidRPr="00B31C6E">
        <w:rPr>
          <w:lang w:val="en-US"/>
        </w:rPr>
        <w:t>Astana and Almaty</w:t>
      </w:r>
      <w:r w:rsidR="00E762B5">
        <w:rPr>
          <w:lang w:val="en-US"/>
        </w:rPr>
        <w:t>)</w:t>
      </w:r>
      <w:r w:rsidR="00E762B5" w:rsidRPr="00B31C6E">
        <w:rPr>
          <w:lang w:val="en-US"/>
        </w:rPr>
        <w:t xml:space="preserve">. GHG targets can </w:t>
      </w:r>
      <w:r w:rsidR="00E762B5">
        <w:rPr>
          <w:lang w:val="en-US"/>
        </w:rPr>
        <w:t xml:space="preserve">also </w:t>
      </w:r>
      <w:r w:rsidR="00E762B5" w:rsidRPr="00B31C6E">
        <w:rPr>
          <w:lang w:val="en-US"/>
        </w:rPr>
        <w:t xml:space="preserve">be part of energy saving plans of housing </w:t>
      </w:r>
      <w:r w:rsidR="00E762B5">
        <w:rPr>
          <w:lang w:val="en-US"/>
        </w:rPr>
        <w:t>and</w:t>
      </w:r>
      <w:r w:rsidR="00E762B5" w:rsidRPr="00B31C6E">
        <w:rPr>
          <w:lang w:val="en-US"/>
        </w:rPr>
        <w:t xml:space="preserve"> municipal utility departments of local akimats</w:t>
      </w:r>
      <w:r w:rsidR="00E762B5">
        <w:rPr>
          <w:lang w:val="en-US"/>
        </w:rPr>
        <w:t xml:space="preserve">, and </w:t>
      </w:r>
      <w:r w:rsidR="00E762B5" w:rsidRPr="00B31C6E">
        <w:rPr>
          <w:lang w:val="en-US"/>
        </w:rPr>
        <w:t xml:space="preserve">should also be integrated into strategic plans of oblast-level offices of natural resources and environmental management. </w:t>
      </w:r>
      <w:r w:rsidR="00E762B5">
        <w:rPr>
          <w:lang w:val="en-US"/>
        </w:rPr>
        <w:t xml:space="preserve">While </w:t>
      </w:r>
      <w:r w:rsidR="00E762B5" w:rsidRPr="00B31C6E">
        <w:rPr>
          <w:lang w:val="en-US"/>
        </w:rPr>
        <w:t>Ministries have no direct leverage with akimats (regional or local) to monitor implementation of government programs</w:t>
      </w:r>
      <w:r w:rsidR="00E762B5">
        <w:rPr>
          <w:lang w:val="en-US"/>
        </w:rPr>
        <w:t xml:space="preserve">, and </w:t>
      </w:r>
      <w:r w:rsidR="00E762B5" w:rsidRPr="00B31C6E">
        <w:rPr>
          <w:lang w:val="en-US"/>
        </w:rPr>
        <w:t xml:space="preserve">in the context of the Green </w:t>
      </w:r>
      <w:r w:rsidR="005313EB">
        <w:rPr>
          <w:lang w:val="en-US"/>
        </w:rPr>
        <w:t>Economy Concept</w:t>
      </w:r>
      <w:r w:rsidR="00E762B5" w:rsidRPr="00B31C6E">
        <w:rPr>
          <w:lang w:val="en-US"/>
        </w:rPr>
        <w:t xml:space="preserve">, the Ministry of Environment and Water Resources </w:t>
      </w:r>
      <w:r w:rsidR="00E762B5">
        <w:rPr>
          <w:lang w:val="en-US"/>
        </w:rPr>
        <w:t xml:space="preserve">is </w:t>
      </w:r>
      <w:r w:rsidR="00E762B5" w:rsidRPr="00B31C6E">
        <w:rPr>
          <w:lang w:val="en-US"/>
        </w:rPr>
        <w:t>currently develo</w:t>
      </w:r>
      <w:r w:rsidR="00E762B5">
        <w:rPr>
          <w:lang w:val="en-US"/>
        </w:rPr>
        <w:t>ping</w:t>
      </w:r>
      <w:r w:rsidR="00E762B5" w:rsidRPr="00B31C6E">
        <w:rPr>
          <w:lang w:val="en-US"/>
        </w:rPr>
        <w:t xml:space="preserve"> a concept of a 'green rating' </w:t>
      </w:r>
      <w:r w:rsidR="00E762B5">
        <w:rPr>
          <w:lang w:val="en-US"/>
        </w:rPr>
        <w:t xml:space="preserve">for akims </w:t>
      </w:r>
      <w:r w:rsidR="00E762B5" w:rsidRPr="00B31C6E">
        <w:rPr>
          <w:lang w:val="en-US"/>
        </w:rPr>
        <w:t xml:space="preserve">to be officially used for assessing </w:t>
      </w:r>
      <w:r w:rsidR="00E762B5">
        <w:rPr>
          <w:lang w:val="en-US"/>
        </w:rPr>
        <w:t xml:space="preserve">their </w:t>
      </w:r>
      <w:r w:rsidR="00E762B5" w:rsidRPr="00B31C6E">
        <w:rPr>
          <w:lang w:val="en-US"/>
        </w:rPr>
        <w:t xml:space="preserve">effectiveness in implementing </w:t>
      </w:r>
      <w:r w:rsidR="005313EB">
        <w:rPr>
          <w:lang w:val="en-US"/>
        </w:rPr>
        <w:t xml:space="preserve">the </w:t>
      </w:r>
      <w:r w:rsidR="00E762B5" w:rsidRPr="00B31C6E">
        <w:rPr>
          <w:lang w:val="en-US"/>
        </w:rPr>
        <w:t>strategy</w:t>
      </w:r>
      <w:r w:rsidR="00CB7C6B">
        <w:rPr>
          <w:lang w:val="en-US"/>
        </w:rPr>
        <w:t>. This work is only at initial stages, but there is interest in MEWR to expand coverage to other criteria including climate change</w:t>
      </w:r>
      <w:r w:rsidR="00E762B5" w:rsidRPr="00B31C6E">
        <w:rPr>
          <w:lang w:val="en-US"/>
        </w:rPr>
        <w:t xml:space="preserve">. Among other things, the rating will include </w:t>
      </w:r>
      <w:r w:rsidR="00E762B5">
        <w:rPr>
          <w:lang w:val="en-US"/>
        </w:rPr>
        <w:t xml:space="preserve">energy efficiency </w:t>
      </w:r>
      <w:r w:rsidR="00E762B5" w:rsidRPr="00B31C6E">
        <w:rPr>
          <w:lang w:val="en-US"/>
        </w:rPr>
        <w:t xml:space="preserve">indicators and the project </w:t>
      </w:r>
      <w:r w:rsidR="00E762B5">
        <w:rPr>
          <w:lang w:val="en-US"/>
        </w:rPr>
        <w:t xml:space="preserve">may </w:t>
      </w:r>
      <w:r w:rsidR="00E762B5" w:rsidRPr="00B31C6E">
        <w:rPr>
          <w:lang w:val="en-US"/>
        </w:rPr>
        <w:t xml:space="preserve">help </w:t>
      </w:r>
      <w:r w:rsidR="00E762B5">
        <w:rPr>
          <w:lang w:val="en-US"/>
        </w:rPr>
        <w:t xml:space="preserve">to </w:t>
      </w:r>
      <w:r w:rsidR="00E762B5" w:rsidRPr="00B31C6E">
        <w:rPr>
          <w:lang w:val="en-US"/>
        </w:rPr>
        <w:t xml:space="preserve">develop some </w:t>
      </w:r>
      <w:r w:rsidR="00E762B5">
        <w:rPr>
          <w:lang w:val="en-US"/>
        </w:rPr>
        <w:t xml:space="preserve">other appropriate </w:t>
      </w:r>
      <w:r w:rsidR="00E762B5" w:rsidRPr="00B31C6E">
        <w:rPr>
          <w:lang w:val="en-US"/>
        </w:rPr>
        <w:t xml:space="preserve">indicators. In this case, some targets can </w:t>
      </w:r>
      <w:r w:rsidR="00E762B5">
        <w:rPr>
          <w:lang w:val="en-US"/>
        </w:rPr>
        <w:t xml:space="preserve">also </w:t>
      </w:r>
      <w:r w:rsidR="00E762B5" w:rsidRPr="00B31C6E">
        <w:rPr>
          <w:lang w:val="en-US"/>
        </w:rPr>
        <w:t>be part of the akim's green rating.</w:t>
      </w:r>
      <w:r w:rsidR="00E762B5">
        <w:rPr>
          <w:lang w:val="en-US"/>
        </w:rPr>
        <w:t xml:space="preserve"> </w:t>
      </w:r>
      <w:r w:rsidR="00E762B5" w:rsidRPr="00F3734C">
        <w:rPr>
          <w:lang w:val="en-US"/>
        </w:rPr>
        <w:t xml:space="preserve">City-wide targets will be consistent with national target and sector target, as defined in the </w:t>
      </w:r>
      <w:r w:rsidR="005313EB">
        <w:rPr>
          <w:lang w:val="en-US"/>
        </w:rPr>
        <w:t>Concept for Transition to Green Economy</w:t>
      </w:r>
      <w:r w:rsidR="00E762B5" w:rsidRPr="00F3734C">
        <w:rPr>
          <w:lang w:val="en-US"/>
        </w:rPr>
        <w:t>.</w:t>
      </w:r>
      <w:r w:rsidR="00E762B5">
        <w:rPr>
          <w:lang w:val="en-US"/>
        </w:rPr>
        <w:t xml:space="preserve"> </w:t>
      </w:r>
    </w:p>
    <w:p w14:paraId="20FC939E" w14:textId="77777777" w:rsidR="009709E8" w:rsidRDefault="009709E8" w:rsidP="00111C94">
      <w:pPr>
        <w:pStyle w:val="Bodynumbered"/>
        <w:keepNext/>
        <w:keepLines/>
        <w:ind w:left="360"/>
        <w:rPr>
          <w:lang w:val="en-US"/>
        </w:rPr>
      </w:pPr>
      <w:r w:rsidRPr="005B5602">
        <w:rPr>
          <w:lang w:val="en-US"/>
        </w:rPr>
        <w:t xml:space="preserve">Delivery of this </w:t>
      </w:r>
      <w:r>
        <w:rPr>
          <w:lang w:val="en-US"/>
        </w:rPr>
        <w:t>O</w:t>
      </w:r>
      <w:r w:rsidRPr="005B5602">
        <w:rPr>
          <w:lang w:val="en-US"/>
        </w:rPr>
        <w:t xml:space="preserve">utput will include the following specific activities. </w:t>
      </w:r>
    </w:p>
    <w:p w14:paraId="14B7CC00" w14:textId="77777777" w:rsidR="00290A80" w:rsidRPr="00290A80" w:rsidRDefault="009709E8" w:rsidP="00A9789F">
      <w:pPr>
        <w:ind w:left="1440" w:hanging="1440"/>
        <w:jc w:val="left"/>
        <w:rPr>
          <w:lang w:val="en-US"/>
        </w:rPr>
      </w:pPr>
      <w:r>
        <w:rPr>
          <w:lang w:val="en-US"/>
        </w:rPr>
        <w:t>Activity 1.</w:t>
      </w:r>
      <w:r w:rsidR="009B7ABA">
        <w:rPr>
          <w:lang w:val="en-US"/>
        </w:rPr>
        <w:t>4</w:t>
      </w:r>
      <w:r>
        <w:rPr>
          <w:lang w:val="en-US"/>
        </w:rPr>
        <w:t xml:space="preserve">.1 </w:t>
      </w:r>
      <w:r w:rsidR="00E762B5">
        <w:rPr>
          <w:lang w:val="en-US"/>
        </w:rPr>
        <w:tab/>
        <w:t>Support the d</w:t>
      </w:r>
      <w:r w:rsidR="00290A80">
        <w:rPr>
          <w:lang w:val="en-US"/>
        </w:rPr>
        <w:t>evelop</w:t>
      </w:r>
      <w:r w:rsidR="00E762B5">
        <w:rPr>
          <w:lang w:val="en-US"/>
        </w:rPr>
        <w:t xml:space="preserve">ment of </w:t>
      </w:r>
      <w:r w:rsidR="00290A80">
        <w:rPr>
          <w:lang w:val="en-US"/>
        </w:rPr>
        <w:t>resolution</w:t>
      </w:r>
      <w:r w:rsidR="00E762B5">
        <w:rPr>
          <w:lang w:val="en-US"/>
        </w:rPr>
        <w:t>s for the adoption of targets and the integration of targets and investment plans into relevant strategic planning documents at the utility, municipal and regional authority levels</w:t>
      </w:r>
      <w:r w:rsidR="00290A80">
        <w:rPr>
          <w:lang w:val="en-US"/>
        </w:rPr>
        <w:t>.</w:t>
      </w:r>
    </w:p>
    <w:p w14:paraId="6A19C6EF" w14:textId="77777777" w:rsidR="005E6183" w:rsidRDefault="005E6183" w:rsidP="005B02B2"/>
    <w:p w14:paraId="79F19BBB" w14:textId="77777777" w:rsidR="005B02B2" w:rsidRPr="008449E0" w:rsidRDefault="005B02B2" w:rsidP="00392F24">
      <w:pPr>
        <w:pStyle w:val="Heading3"/>
        <w:keepLines/>
      </w:pPr>
      <w:bookmarkStart w:id="49" w:name="_Toc362384277"/>
      <w:bookmarkStart w:id="50" w:name="_Toc393448993"/>
      <w:r w:rsidRPr="008449E0">
        <w:t>Component 2: Institutional framework for urban NAMAs</w:t>
      </w:r>
      <w:bookmarkEnd w:id="49"/>
      <w:bookmarkEnd w:id="50"/>
    </w:p>
    <w:p w14:paraId="44F05E21" w14:textId="77777777" w:rsidR="00DE3244" w:rsidRPr="00DE3244" w:rsidRDefault="00DE3244" w:rsidP="005E76E4">
      <w:pPr>
        <w:pStyle w:val="Bodynumbered"/>
      </w:pPr>
      <w:r w:rsidRPr="00DE3244">
        <w:t xml:space="preserve">Component 2 consists of facilitating investment in urban infrastructure covered by the proposed NAMAs. </w:t>
      </w:r>
      <w:r w:rsidR="005E76E4">
        <w:t xml:space="preserve">As such, this Component deals largely with the “Development Phase” where the urban NAMA concepts </w:t>
      </w:r>
      <w:r w:rsidR="005E76E4" w:rsidRPr="00DE3244">
        <w:t>defined under Component 1 (Output 1.3)</w:t>
      </w:r>
      <w:r w:rsidR="005E76E4">
        <w:t xml:space="preserve"> are taken into practice by addressing the institutional, technical, legal and social aspects of the urban NAMAs </w:t>
      </w:r>
      <w:r w:rsidR="005E76E4" w:rsidRPr="00BD56DE">
        <w:rPr>
          <w:vertAlign w:val="superscript"/>
        </w:rPr>
        <w:footnoteReference w:id="23"/>
      </w:r>
      <w:r w:rsidR="005E76E4">
        <w:t xml:space="preserve">. </w:t>
      </w:r>
      <w:r w:rsidR="005E76E4" w:rsidRPr="00DE3244">
        <w:t xml:space="preserve">Work </w:t>
      </w:r>
      <w:r w:rsidR="005E76E4">
        <w:t>will i</w:t>
      </w:r>
      <w:r w:rsidR="005E76E4" w:rsidRPr="00DE3244">
        <w:t>nvolve building capacity of Akimats to tender and negotiate with</w:t>
      </w:r>
      <w:r w:rsidR="00CB7C6B">
        <w:t xml:space="preserve"> the NMF,</w:t>
      </w:r>
      <w:r w:rsidR="005E76E4" w:rsidRPr="00DE3244">
        <w:t xml:space="preserve"> private investors</w:t>
      </w:r>
      <w:r w:rsidR="00CB7C6B">
        <w:t xml:space="preserve"> and international financial institutions</w:t>
      </w:r>
      <w:r w:rsidR="005E76E4" w:rsidRPr="00DE3244">
        <w:t xml:space="preserve">, and </w:t>
      </w:r>
      <w:r w:rsidR="005E76E4">
        <w:t xml:space="preserve">providing </w:t>
      </w:r>
      <w:r w:rsidR="005E76E4" w:rsidRPr="00DE3244">
        <w:t>technical / legal support to form and/or strengthen PPPs</w:t>
      </w:r>
      <w:r w:rsidR="00BC356B">
        <w:t xml:space="preserve"> or other appropriate legal structures</w:t>
      </w:r>
      <w:r w:rsidR="005E76E4" w:rsidRPr="00DE3244">
        <w:t xml:space="preserve">. </w:t>
      </w:r>
    </w:p>
    <w:p w14:paraId="5457E1F1" w14:textId="77777777" w:rsidR="005B02B2" w:rsidRPr="008449E0" w:rsidRDefault="005B02B2" w:rsidP="00392F24">
      <w:pPr>
        <w:pStyle w:val="Bodynumbered"/>
        <w:keepNext/>
        <w:keepLines/>
      </w:pPr>
      <w:r w:rsidRPr="008449E0">
        <w:t xml:space="preserve">The desired Outcome of Component 2 is the establishment of public-private partnerships </w:t>
      </w:r>
      <w:r w:rsidR="001F2382">
        <w:t xml:space="preserve">or other appropriate institutional structures (concessions, public and private) </w:t>
      </w:r>
      <w:r w:rsidRPr="008449E0">
        <w:t xml:space="preserve">for the implementation of urban NAMAs (Outcome 2). As discussed in Section </w:t>
      </w:r>
      <w:r w:rsidR="00EE1A48" w:rsidRPr="008449E0">
        <w:fldChar w:fldCharType="begin"/>
      </w:r>
      <w:r w:rsidRPr="008449E0">
        <w:instrText xml:space="preserve"> REF _Ref362036265 \r \h </w:instrText>
      </w:r>
      <w:r w:rsidR="00EE1A48" w:rsidRPr="008449E0">
        <w:fldChar w:fldCharType="separate"/>
      </w:r>
      <w:r w:rsidR="003B3B2B">
        <w:t>1.3</w:t>
      </w:r>
      <w:r w:rsidR="00EE1A48" w:rsidRPr="008449E0">
        <w:fldChar w:fldCharType="end"/>
      </w:r>
      <w:r w:rsidRPr="008449E0">
        <w:t xml:space="preserve">, baseline activities may involve the establishment </w:t>
      </w:r>
      <w:r w:rsidRPr="008449E0">
        <w:rPr>
          <w:rFonts w:cs="Times"/>
        </w:rPr>
        <w:t xml:space="preserve">and capacity building in general management and operational effectiveness. </w:t>
      </w:r>
      <w:r w:rsidRPr="008449E0">
        <w:t>There are no plans under BAU</w:t>
      </w:r>
      <w:r w:rsidR="008449E0" w:rsidRPr="008449E0">
        <w:t>, for example,</w:t>
      </w:r>
      <w:r w:rsidRPr="008449E0">
        <w:t xml:space="preserve"> to specifically develop MMCs’ capacity to identify and implement low-carbon projects or the preparation banka</w:t>
      </w:r>
      <w:r w:rsidR="008449E0">
        <w:t>ble emission reduction projects. T</w:t>
      </w:r>
      <w:r w:rsidRPr="008449E0">
        <w:t>he proposed set of activities u</w:t>
      </w:r>
      <w:r w:rsidR="008449E0">
        <w:t>nder</w:t>
      </w:r>
      <w:r w:rsidRPr="008449E0">
        <w:t xml:space="preserve"> Component 2 is </w:t>
      </w:r>
      <w:r w:rsidR="008449E0">
        <w:t xml:space="preserve">considered to be </w:t>
      </w:r>
      <w:r w:rsidRPr="008449E0">
        <w:t xml:space="preserve">fully additional.  </w:t>
      </w:r>
    </w:p>
    <w:p w14:paraId="4A83BF1B" w14:textId="77777777" w:rsidR="005B02B2" w:rsidRPr="005B5602" w:rsidRDefault="005B02B2" w:rsidP="005B02B2">
      <w:pPr>
        <w:pStyle w:val="Bodynumbered"/>
      </w:pPr>
      <w:r w:rsidRPr="005B5602">
        <w:t>Technical assistance undertaken under Component 2 wi</w:t>
      </w:r>
      <w:r w:rsidR="00CC27B2" w:rsidRPr="005B5602">
        <w:t>ll generate three Outputs that are described in turn below</w:t>
      </w:r>
      <w:r w:rsidRPr="005B5602">
        <w:t>:</w:t>
      </w:r>
    </w:p>
    <w:p w14:paraId="3B473F82" w14:textId="77777777" w:rsidR="005B02B2" w:rsidRPr="005B5602" w:rsidRDefault="005B02B2" w:rsidP="00CC27B2">
      <w:pPr>
        <w:ind w:left="1440" w:hanging="1080"/>
      </w:pPr>
      <w:r w:rsidRPr="005B5602">
        <w:t xml:space="preserve">Output 2.1. </w:t>
      </w:r>
      <w:r w:rsidR="00CC27B2" w:rsidRPr="005B5602">
        <w:t>Institutional structures developed to facilitate fifteen (15) investments</w:t>
      </w:r>
    </w:p>
    <w:p w14:paraId="375C29C1" w14:textId="77777777" w:rsidR="005B02B2" w:rsidRPr="005B5602" w:rsidRDefault="00054CD1" w:rsidP="00CC27B2">
      <w:pPr>
        <w:ind w:left="1440" w:hanging="1080"/>
      </w:pPr>
      <w:r w:rsidRPr="005B5602">
        <w:t xml:space="preserve">Output 2.2. </w:t>
      </w:r>
      <w:r w:rsidR="00CC27B2" w:rsidRPr="005B5602">
        <w:t xml:space="preserve">Bankable project documentation </w:t>
      </w:r>
      <w:r w:rsidR="00E84A0B">
        <w:t xml:space="preserve">for the emission reduction projects </w:t>
      </w:r>
      <w:r w:rsidR="00CC27B2" w:rsidRPr="005B5602">
        <w:t>prepared</w:t>
      </w:r>
      <w:r w:rsidR="005B02B2" w:rsidRPr="005B5602">
        <w:t xml:space="preserve"> based on urban NAMAs </w:t>
      </w:r>
    </w:p>
    <w:p w14:paraId="65BAAE8C" w14:textId="77777777" w:rsidR="005B02B2" w:rsidRPr="005B5602" w:rsidRDefault="005B02B2" w:rsidP="00CC27B2">
      <w:pPr>
        <w:ind w:left="1440" w:hanging="1080"/>
      </w:pPr>
      <w:r w:rsidRPr="005B5602">
        <w:t>Output 2.</w:t>
      </w:r>
      <w:r w:rsidR="00392F24">
        <w:t>3</w:t>
      </w:r>
      <w:r w:rsidRPr="005B5602">
        <w:t xml:space="preserve">. Public </w:t>
      </w:r>
      <w:r w:rsidR="00CC27B2" w:rsidRPr="005B5602">
        <w:t xml:space="preserve">service </w:t>
      </w:r>
      <w:r w:rsidRPr="005B5602">
        <w:t xml:space="preserve">contracts signed/tariffs </w:t>
      </w:r>
      <w:r w:rsidR="00CC27B2" w:rsidRPr="005B5602">
        <w:t>agreed</w:t>
      </w:r>
    </w:p>
    <w:p w14:paraId="45C71E1B" w14:textId="77777777" w:rsidR="0015223A" w:rsidRPr="005B5602" w:rsidRDefault="0015223A" w:rsidP="005B02B2">
      <w:pPr>
        <w:pStyle w:val="Bodynumbered"/>
        <w:numPr>
          <w:ilvl w:val="0"/>
          <w:numId w:val="0"/>
        </w:numPr>
      </w:pPr>
    </w:p>
    <w:p w14:paraId="02DAC535" w14:textId="77777777" w:rsidR="00E13FA2" w:rsidRPr="00392F24" w:rsidRDefault="00E13FA2" w:rsidP="00E13FA2">
      <w:pPr>
        <w:ind w:left="1440" w:hanging="1080"/>
        <w:rPr>
          <w:b/>
          <w:i/>
        </w:rPr>
      </w:pPr>
      <w:r w:rsidRPr="00392F24">
        <w:rPr>
          <w:b/>
          <w:i/>
        </w:rPr>
        <w:t>Output 2.1. Institutional structures developed to facilitate fifteen (15) investments</w:t>
      </w:r>
    </w:p>
    <w:p w14:paraId="1DCC3C1A" w14:textId="77777777" w:rsidR="006729E7" w:rsidRPr="005B5602" w:rsidRDefault="006729E7" w:rsidP="006729E7">
      <w:pPr>
        <w:pStyle w:val="Bodynumbered"/>
      </w:pPr>
      <w:r>
        <w:rPr>
          <w:lang w:val="en-US"/>
        </w:rPr>
        <w:t>The activities under this output deal directly with barriers concerning the l</w:t>
      </w:r>
      <w:r w:rsidRPr="005B5602">
        <w:t xml:space="preserve">ack of </w:t>
      </w:r>
      <w:r>
        <w:t>institutional capacity to support the formulation of</w:t>
      </w:r>
      <w:r w:rsidRPr="005B5602">
        <w:t xml:space="preserve"> “bankable” </w:t>
      </w:r>
      <w:r>
        <w:t xml:space="preserve">project proposals. As noted in Section </w:t>
      </w:r>
      <w:r w:rsidR="00EE1A48">
        <w:fldChar w:fldCharType="begin"/>
      </w:r>
      <w:r w:rsidR="00E30D71">
        <w:instrText xml:space="preserve"> REF _Ref249383198 \r \h </w:instrText>
      </w:r>
      <w:r w:rsidR="00EE1A48">
        <w:fldChar w:fldCharType="separate"/>
      </w:r>
      <w:r w:rsidR="003B3B2B">
        <w:t>1.4</w:t>
      </w:r>
      <w:r w:rsidR="00EE1A48">
        <w:fldChar w:fldCharType="end"/>
      </w:r>
      <w:r>
        <w:t xml:space="preserve">, there is significant need for support to address the </w:t>
      </w:r>
      <w:r>
        <w:rPr>
          <w:lang w:val="en-US"/>
        </w:rPr>
        <w:t>l</w:t>
      </w:r>
      <w:r w:rsidRPr="005B5602">
        <w:t xml:space="preserve">ack of experience and capacity </w:t>
      </w:r>
      <w:r>
        <w:t>in structuring</w:t>
      </w:r>
      <w:r w:rsidRPr="005B5602">
        <w:t xml:space="preserve"> financing for municipal energy efficiency investments</w:t>
      </w:r>
      <w:r>
        <w:t>. Further, there is a l</w:t>
      </w:r>
      <w:r w:rsidRPr="005B5602">
        <w:t xml:space="preserve">ack of experience with </w:t>
      </w:r>
      <w:r>
        <w:t xml:space="preserve">establishing </w:t>
      </w:r>
      <w:r w:rsidRPr="005B5602">
        <w:t>transparent and competitive tendering for infrastructure development and management.</w:t>
      </w:r>
    </w:p>
    <w:p w14:paraId="3F2A6D9E" w14:textId="77777777" w:rsidR="00DA3F7B" w:rsidRPr="005B5602" w:rsidRDefault="009B7ABA" w:rsidP="005B02B2">
      <w:pPr>
        <w:pStyle w:val="Bodynumbered"/>
      </w:pPr>
      <w:r>
        <w:t xml:space="preserve">This Output will </w:t>
      </w:r>
      <w:r w:rsidR="0004466C">
        <w:t xml:space="preserve">involve </w:t>
      </w:r>
      <w:r>
        <w:t>work</w:t>
      </w:r>
      <w:r w:rsidR="0004466C">
        <w:t>ing</w:t>
      </w:r>
      <w:r w:rsidR="0015223A" w:rsidRPr="005B5602">
        <w:t xml:space="preserve"> </w:t>
      </w:r>
      <w:r w:rsidR="0004466C">
        <w:t xml:space="preserve">closely </w:t>
      </w:r>
      <w:r w:rsidR="0015223A" w:rsidRPr="005B5602">
        <w:t xml:space="preserve">with the </w:t>
      </w:r>
      <w:r w:rsidR="0004466C">
        <w:t xml:space="preserve">four (4) </w:t>
      </w:r>
      <w:r>
        <w:t xml:space="preserve">“innovator” </w:t>
      </w:r>
      <w:r w:rsidR="000413BF">
        <w:t>akimat</w:t>
      </w:r>
      <w:r>
        <w:t>s that have developed urban NAMA concepts under Component 1.</w:t>
      </w:r>
      <w:r w:rsidR="0004466C">
        <w:t xml:space="preserve"> </w:t>
      </w:r>
      <w:r w:rsidR="001F2382">
        <w:t>Practically, to identify appropriate structures</w:t>
      </w:r>
      <w:r w:rsidR="000B0E27">
        <w:t xml:space="preserve"> for each project that are acceptable to funders,</w:t>
      </w:r>
      <w:r w:rsidR="001F2382">
        <w:t xml:space="preserve"> </w:t>
      </w:r>
      <w:r w:rsidR="000B0E27">
        <w:t xml:space="preserve">initial </w:t>
      </w:r>
      <w:r w:rsidR="001F2382">
        <w:t xml:space="preserve">dialogue with potential investors will </w:t>
      </w:r>
      <w:r w:rsidR="000B0E27">
        <w:t>take place using the factsheets developed in output 1.3. Based on these discussions the most bankable projects will be identified, and institution-building needs for each project explored</w:t>
      </w:r>
      <w:r w:rsidR="00E84A0B">
        <w:t xml:space="preserve">. Following agreements with </w:t>
      </w:r>
      <w:r w:rsidR="000413BF">
        <w:t>akimat</w:t>
      </w:r>
      <w:r w:rsidR="00E84A0B">
        <w:t>s and regional authorities tailored technical support will be provided to address the needs.</w:t>
      </w:r>
    </w:p>
    <w:p w14:paraId="59BC0B68" w14:textId="77777777" w:rsidR="009B7ABA" w:rsidRDefault="009B7ABA" w:rsidP="009B7ABA">
      <w:pPr>
        <w:pStyle w:val="Bodynumbered"/>
        <w:rPr>
          <w:lang w:val="en-US"/>
        </w:rPr>
      </w:pPr>
      <w:r w:rsidRPr="005B5602">
        <w:rPr>
          <w:lang w:val="en-US"/>
        </w:rPr>
        <w:t xml:space="preserve">Delivery of this </w:t>
      </w:r>
      <w:r>
        <w:rPr>
          <w:lang w:val="en-US"/>
        </w:rPr>
        <w:t>O</w:t>
      </w:r>
      <w:r w:rsidRPr="005B5602">
        <w:rPr>
          <w:lang w:val="en-US"/>
        </w:rPr>
        <w:t xml:space="preserve">utput will include the following specific activities. </w:t>
      </w:r>
    </w:p>
    <w:p w14:paraId="1E0E79C9" w14:textId="77777777" w:rsidR="000B0E27" w:rsidRDefault="009B7ABA" w:rsidP="009B7ABA">
      <w:pPr>
        <w:ind w:left="1440" w:hanging="1440"/>
        <w:jc w:val="left"/>
        <w:rPr>
          <w:lang w:val="en-US"/>
        </w:rPr>
      </w:pPr>
      <w:r>
        <w:rPr>
          <w:lang w:val="en-US"/>
        </w:rPr>
        <w:t xml:space="preserve">Activity 2.1.1 </w:t>
      </w:r>
      <w:r w:rsidR="000B0E27">
        <w:rPr>
          <w:lang w:val="en-US"/>
        </w:rPr>
        <w:tab/>
      </w:r>
      <w:r w:rsidR="00E84A0B">
        <w:rPr>
          <w:lang w:val="en-US"/>
        </w:rPr>
        <w:t>Discuss</w:t>
      </w:r>
      <w:r w:rsidR="000B0E27">
        <w:rPr>
          <w:lang w:val="en-US"/>
        </w:rPr>
        <w:t xml:space="preserve"> project factsheets </w:t>
      </w:r>
      <w:r w:rsidR="00E84A0B">
        <w:rPr>
          <w:lang w:val="en-US"/>
        </w:rPr>
        <w:t xml:space="preserve">with </w:t>
      </w:r>
      <w:r w:rsidR="000B0E27">
        <w:rPr>
          <w:lang w:val="en-US"/>
        </w:rPr>
        <w:t xml:space="preserve">potential investors and </w:t>
      </w:r>
      <w:r w:rsidR="00E84A0B">
        <w:rPr>
          <w:lang w:val="en-US"/>
        </w:rPr>
        <w:t xml:space="preserve">with them identify institutional-building and project structuring needs and opportunities. </w:t>
      </w:r>
    </w:p>
    <w:p w14:paraId="2C62E82A" w14:textId="77777777" w:rsidR="00C6010F" w:rsidRDefault="000B0E27" w:rsidP="000B0E27">
      <w:pPr>
        <w:ind w:left="1440" w:hanging="1440"/>
        <w:jc w:val="left"/>
        <w:rPr>
          <w:lang w:val="en-US"/>
        </w:rPr>
      </w:pPr>
      <w:r>
        <w:rPr>
          <w:lang w:val="en-US"/>
        </w:rPr>
        <w:t>Activity 2.1.2</w:t>
      </w:r>
      <w:r>
        <w:rPr>
          <w:lang w:val="en-US"/>
        </w:rPr>
        <w:tab/>
      </w:r>
      <w:r w:rsidR="00C6010F">
        <w:rPr>
          <w:lang w:val="en-US"/>
        </w:rPr>
        <w:t xml:space="preserve">Assess the </w:t>
      </w:r>
      <w:r w:rsidR="00796E87">
        <w:rPr>
          <w:lang w:val="en-US"/>
        </w:rPr>
        <w:t>institutional</w:t>
      </w:r>
      <w:r w:rsidR="00C6010F">
        <w:rPr>
          <w:lang w:val="en-US"/>
        </w:rPr>
        <w:t xml:space="preserve"> needs of the </w:t>
      </w:r>
      <w:r w:rsidR="00E84A0B">
        <w:rPr>
          <w:lang w:val="en-US"/>
        </w:rPr>
        <w:t xml:space="preserve">projects </w:t>
      </w:r>
      <w:r w:rsidR="000413BF">
        <w:rPr>
          <w:lang w:val="en-US"/>
        </w:rPr>
        <w:t>akimat</w:t>
      </w:r>
      <w:r w:rsidR="005313EB">
        <w:rPr>
          <w:lang w:val="en-US"/>
        </w:rPr>
        <w:t xml:space="preserve"> </w:t>
      </w:r>
      <w:r w:rsidR="00E84A0B">
        <w:rPr>
          <w:lang w:val="en-US"/>
        </w:rPr>
        <w:t>through dialogue with city and regional authorities, agree actions and cost sharing, and prepare ToR for technical assistance activities</w:t>
      </w:r>
      <w:r w:rsidR="00C6010F">
        <w:rPr>
          <w:lang w:val="en-US"/>
        </w:rPr>
        <w:t>.</w:t>
      </w:r>
    </w:p>
    <w:p w14:paraId="69716C6C" w14:textId="77777777" w:rsidR="00C6010F" w:rsidRDefault="00C6010F" w:rsidP="00C6010F">
      <w:pPr>
        <w:ind w:left="1440" w:hanging="1440"/>
        <w:jc w:val="left"/>
        <w:rPr>
          <w:lang w:val="en-US"/>
        </w:rPr>
      </w:pPr>
      <w:r>
        <w:rPr>
          <w:lang w:val="en-US"/>
        </w:rPr>
        <w:t>Activity 2.1.</w:t>
      </w:r>
      <w:r w:rsidR="00E84A0B">
        <w:rPr>
          <w:lang w:val="en-US"/>
        </w:rPr>
        <w:t xml:space="preserve">3 </w:t>
      </w:r>
      <w:r w:rsidR="000B0E27">
        <w:rPr>
          <w:lang w:val="en-US"/>
        </w:rPr>
        <w:tab/>
      </w:r>
      <w:r w:rsidR="00E84A0B">
        <w:rPr>
          <w:lang w:val="en-US"/>
        </w:rPr>
        <w:t>Provide targeted support as needed to address needs</w:t>
      </w:r>
      <w:r>
        <w:rPr>
          <w:lang w:val="en-US"/>
        </w:rPr>
        <w:t xml:space="preserve">. This </w:t>
      </w:r>
      <w:r w:rsidR="00796E87">
        <w:rPr>
          <w:lang w:val="en-US"/>
        </w:rPr>
        <w:t>will</w:t>
      </w:r>
      <w:r>
        <w:rPr>
          <w:lang w:val="en-US"/>
        </w:rPr>
        <w:t xml:space="preserve"> involve </w:t>
      </w:r>
      <w:r w:rsidR="00796E87">
        <w:rPr>
          <w:lang w:val="en-US"/>
        </w:rPr>
        <w:t xml:space="preserve">a range of </w:t>
      </w:r>
      <w:r w:rsidR="006437B3">
        <w:rPr>
          <w:lang w:val="en-US"/>
        </w:rPr>
        <w:t xml:space="preserve">training </w:t>
      </w:r>
      <w:r w:rsidR="00796E87">
        <w:rPr>
          <w:lang w:val="en-US"/>
        </w:rPr>
        <w:t xml:space="preserve">and technical assistance </w:t>
      </w:r>
      <w:r w:rsidR="006437B3">
        <w:rPr>
          <w:lang w:val="en-US"/>
        </w:rPr>
        <w:t>on</w:t>
      </w:r>
      <w:r w:rsidR="00796E87">
        <w:rPr>
          <w:lang w:val="en-US"/>
        </w:rPr>
        <w:t>, for example,</w:t>
      </w:r>
      <w:r w:rsidR="006437B3">
        <w:rPr>
          <w:lang w:val="en-US"/>
        </w:rPr>
        <w:t xml:space="preserve"> </w:t>
      </w:r>
      <w:r w:rsidR="006729E7">
        <w:t>establishi</w:t>
      </w:r>
      <w:r w:rsidR="006729E7" w:rsidRPr="005B5602">
        <w:t>ng institutional structures for investment</w:t>
      </w:r>
      <w:r w:rsidR="006729E7">
        <w:t xml:space="preserve"> including creating and managing</w:t>
      </w:r>
      <w:r w:rsidR="006729E7" w:rsidRPr="005B5602">
        <w:t xml:space="preserve"> new institutional and financing mechanisms such as </w:t>
      </w:r>
      <w:r w:rsidR="006729E7">
        <w:t>ESCOs</w:t>
      </w:r>
      <w:r w:rsidR="006729E7" w:rsidRPr="005B5602">
        <w:t>, Performance Contracts</w:t>
      </w:r>
      <w:r w:rsidR="00E84A0B">
        <w:t>, concession agreements, public service contracts,</w:t>
      </w:r>
      <w:r w:rsidR="006729E7" w:rsidRPr="005B5602">
        <w:t xml:space="preserve"> and private-public partners</w:t>
      </w:r>
      <w:r w:rsidR="006729E7">
        <w:t xml:space="preserve">hips; </w:t>
      </w:r>
      <w:r w:rsidR="006437B3">
        <w:rPr>
          <w:lang w:val="en-US"/>
        </w:rPr>
        <w:t>preparation of budgets, progress reports and proposals; negotiations with private investors;</w:t>
      </w:r>
      <w:r w:rsidR="00796E87">
        <w:rPr>
          <w:lang w:val="en-US"/>
        </w:rPr>
        <w:t xml:space="preserve"> </w:t>
      </w:r>
      <w:r>
        <w:rPr>
          <w:lang w:val="en-US"/>
        </w:rPr>
        <w:t xml:space="preserve">and technical </w:t>
      </w:r>
      <w:r w:rsidR="006437B3">
        <w:rPr>
          <w:lang w:val="en-US"/>
        </w:rPr>
        <w:t xml:space="preserve">issues </w:t>
      </w:r>
      <w:r>
        <w:rPr>
          <w:lang w:val="en-US"/>
        </w:rPr>
        <w:t>concerning the development of their proposed urban NAMAs</w:t>
      </w:r>
      <w:r w:rsidR="00CB7C6B">
        <w:rPr>
          <w:lang w:val="en-US"/>
        </w:rPr>
        <w:t xml:space="preserve"> (see Annex B for an overview on the status of ESCOs in Kazakhstan)</w:t>
      </w:r>
      <w:r>
        <w:rPr>
          <w:lang w:val="en-US"/>
        </w:rPr>
        <w:t>.</w:t>
      </w:r>
    </w:p>
    <w:p w14:paraId="3F594AEB" w14:textId="77777777" w:rsidR="00796E87" w:rsidRDefault="00796E87" w:rsidP="009B7ABA">
      <w:pPr>
        <w:ind w:left="1440" w:hanging="1440"/>
        <w:jc w:val="left"/>
        <w:rPr>
          <w:lang w:val="en-US"/>
        </w:rPr>
      </w:pPr>
    </w:p>
    <w:p w14:paraId="5F9BF17C" w14:textId="77777777" w:rsidR="00796E87" w:rsidRPr="00796E87" w:rsidRDefault="00796E87" w:rsidP="00796E87">
      <w:pPr>
        <w:ind w:left="1440" w:hanging="1080"/>
        <w:rPr>
          <w:b/>
        </w:rPr>
      </w:pPr>
      <w:r w:rsidRPr="00796E87">
        <w:rPr>
          <w:b/>
        </w:rPr>
        <w:t xml:space="preserve">Output 2.2. Bankable project documentation </w:t>
      </w:r>
      <w:r w:rsidR="00E84A0B">
        <w:rPr>
          <w:b/>
        </w:rPr>
        <w:t xml:space="preserve">for the emission reduction projects </w:t>
      </w:r>
      <w:r w:rsidRPr="00796E87">
        <w:rPr>
          <w:b/>
        </w:rPr>
        <w:t xml:space="preserve">prepared based on urban NAMAs </w:t>
      </w:r>
    </w:p>
    <w:p w14:paraId="7C8C1343" w14:textId="77777777" w:rsidR="009258C5" w:rsidRDefault="008561B6" w:rsidP="00796E87">
      <w:pPr>
        <w:pStyle w:val="Bodynumbered"/>
        <w:rPr>
          <w:lang w:val="en-US"/>
        </w:rPr>
      </w:pPr>
      <w:r>
        <w:rPr>
          <w:lang w:val="en-US"/>
        </w:rPr>
        <w:t xml:space="preserve">This output speaks directly to the significant barrier faced by the </w:t>
      </w:r>
      <w:r w:rsidR="000413BF">
        <w:rPr>
          <w:lang w:val="en-US"/>
        </w:rPr>
        <w:t>akimat</w:t>
      </w:r>
      <w:r>
        <w:rPr>
          <w:lang w:val="en-US"/>
        </w:rPr>
        <w:t xml:space="preserve">s of lacking </w:t>
      </w:r>
      <w:r w:rsidRPr="005B5602">
        <w:t xml:space="preserve">local capacity </w:t>
      </w:r>
      <w:r>
        <w:t xml:space="preserve">and manpower </w:t>
      </w:r>
      <w:r w:rsidRPr="005B5602">
        <w:t>to formulate “bankable” energy efficiency project proposals</w:t>
      </w:r>
      <w:r>
        <w:t xml:space="preserve">. </w:t>
      </w:r>
      <w:r w:rsidR="009258C5">
        <w:rPr>
          <w:lang w:val="en-US"/>
        </w:rPr>
        <w:t>Rather than developing and</w:t>
      </w:r>
      <w:r w:rsidR="00CC7946">
        <w:rPr>
          <w:lang w:val="en-US"/>
        </w:rPr>
        <w:t xml:space="preserve"> adopting business plans, the </w:t>
      </w:r>
      <w:r>
        <w:rPr>
          <w:lang w:val="en-US"/>
        </w:rPr>
        <w:t xml:space="preserve">focus of the </w:t>
      </w:r>
      <w:r w:rsidR="00CC7946">
        <w:rPr>
          <w:lang w:val="en-US"/>
        </w:rPr>
        <w:t xml:space="preserve">Development Phase of the NAMAs </w:t>
      </w:r>
      <w:r>
        <w:rPr>
          <w:lang w:val="en-US"/>
        </w:rPr>
        <w:t xml:space="preserve">is </w:t>
      </w:r>
      <w:r w:rsidR="00CC7946">
        <w:rPr>
          <w:lang w:val="en-US"/>
        </w:rPr>
        <w:t xml:space="preserve">documenting the urban NAMAs as priority investments. </w:t>
      </w:r>
      <w:r w:rsidR="009258C5">
        <w:rPr>
          <w:lang w:val="en-US"/>
        </w:rPr>
        <w:t xml:space="preserve"> </w:t>
      </w:r>
    </w:p>
    <w:p w14:paraId="24CBDCCA" w14:textId="77777777" w:rsidR="00796E87" w:rsidRDefault="00796E87" w:rsidP="00796E87">
      <w:pPr>
        <w:pStyle w:val="Bodynumbered"/>
        <w:rPr>
          <w:lang w:val="en-US"/>
        </w:rPr>
      </w:pPr>
      <w:r w:rsidRPr="005B5602">
        <w:rPr>
          <w:lang w:val="en-US"/>
        </w:rPr>
        <w:t xml:space="preserve">Delivery of this </w:t>
      </w:r>
      <w:r>
        <w:rPr>
          <w:lang w:val="en-US"/>
        </w:rPr>
        <w:t>O</w:t>
      </w:r>
      <w:r w:rsidRPr="005B5602">
        <w:rPr>
          <w:lang w:val="en-US"/>
        </w:rPr>
        <w:t xml:space="preserve">utput will </w:t>
      </w:r>
      <w:r w:rsidR="00CC7946">
        <w:rPr>
          <w:lang w:val="en-US"/>
        </w:rPr>
        <w:t xml:space="preserve">be closely aligned with the work conducted for each investment under Output 2.1, and will </w:t>
      </w:r>
      <w:r w:rsidRPr="005B5602">
        <w:rPr>
          <w:lang w:val="en-US"/>
        </w:rPr>
        <w:t xml:space="preserve">include the following specific activities. </w:t>
      </w:r>
    </w:p>
    <w:p w14:paraId="3BE1F724" w14:textId="77777777" w:rsidR="009258C5" w:rsidRDefault="00796E87" w:rsidP="009258C5">
      <w:pPr>
        <w:pStyle w:val="Bodynumbered"/>
        <w:numPr>
          <w:ilvl w:val="0"/>
          <w:numId w:val="0"/>
        </w:numPr>
        <w:ind w:left="720" w:hanging="360"/>
        <w:rPr>
          <w:lang w:val="en-US"/>
        </w:rPr>
      </w:pPr>
      <w:r>
        <w:rPr>
          <w:lang w:val="en-US"/>
        </w:rPr>
        <w:t xml:space="preserve">Activity 2.2.1 Assess the capacity needs of the </w:t>
      </w:r>
      <w:r w:rsidR="000413BF">
        <w:rPr>
          <w:lang w:val="en-US"/>
        </w:rPr>
        <w:t>akimat</w:t>
      </w:r>
      <w:r>
        <w:rPr>
          <w:lang w:val="en-US"/>
        </w:rPr>
        <w:t>s to concerning their ability to develop bankable emission reduction projects</w:t>
      </w:r>
      <w:r w:rsidR="008561B6">
        <w:rPr>
          <w:lang w:val="en-US"/>
        </w:rPr>
        <w:t xml:space="preserve"> from their proposed urban NAMA investment</w:t>
      </w:r>
      <w:r>
        <w:rPr>
          <w:lang w:val="en-US"/>
        </w:rPr>
        <w:t>.</w:t>
      </w:r>
    </w:p>
    <w:p w14:paraId="66D2FE09" w14:textId="77777777" w:rsidR="009258C5" w:rsidRPr="009258C5" w:rsidRDefault="00796E87" w:rsidP="009258C5">
      <w:pPr>
        <w:pStyle w:val="Bodynumbered"/>
        <w:numPr>
          <w:ilvl w:val="0"/>
          <w:numId w:val="0"/>
        </w:numPr>
        <w:ind w:left="720" w:hanging="360"/>
        <w:rPr>
          <w:lang w:val="en-US"/>
        </w:rPr>
      </w:pPr>
      <w:r>
        <w:rPr>
          <w:lang w:val="en-US"/>
        </w:rPr>
        <w:t xml:space="preserve">Activity 2.2.2 Support the </w:t>
      </w:r>
      <w:r w:rsidR="000413BF">
        <w:rPr>
          <w:lang w:val="en-US"/>
        </w:rPr>
        <w:t>akimat</w:t>
      </w:r>
      <w:r>
        <w:rPr>
          <w:lang w:val="en-US"/>
        </w:rPr>
        <w:t xml:space="preserve">s to strengthen their capacity to develop financial documentation related to their proposed urban NAMAs, by providing a range of training and technical assistance on, for example, </w:t>
      </w:r>
      <w:r w:rsidR="009258C5" w:rsidRPr="005B5602">
        <w:t xml:space="preserve">working with technical experts to carry out analysis of options </w:t>
      </w:r>
      <w:r w:rsidR="009258C5">
        <w:t xml:space="preserve">and preparation of investments; </w:t>
      </w:r>
      <w:r w:rsidR="009258C5">
        <w:rPr>
          <w:lang w:val="en-US"/>
        </w:rPr>
        <w:t>prepar</w:t>
      </w:r>
      <w:r w:rsidR="008561B6">
        <w:rPr>
          <w:lang w:val="en-US"/>
        </w:rPr>
        <w:t>e</w:t>
      </w:r>
      <w:r w:rsidR="009258C5">
        <w:rPr>
          <w:lang w:val="en-US"/>
        </w:rPr>
        <w:t xml:space="preserve"> investment documentation for municipal projects</w:t>
      </w:r>
      <w:r w:rsidR="008561B6">
        <w:t xml:space="preserve">; understand </w:t>
      </w:r>
      <w:r w:rsidR="008561B6" w:rsidRPr="008561B6">
        <w:t>related international climate financing mechanisms to address urban infrastructure, including incremental or donor funding</w:t>
      </w:r>
      <w:r w:rsidR="008561B6" w:rsidRPr="005B5602">
        <w:t>, or mechanisms to facilitate funding of urban infrastructure from the domestic ETS</w:t>
      </w:r>
      <w:r w:rsidR="00AA005E">
        <w:t xml:space="preserve"> and other relevant national and international sources</w:t>
      </w:r>
      <w:r w:rsidR="008561B6">
        <w:t>.</w:t>
      </w:r>
    </w:p>
    <w:p w14:paraId="476896EE" w14:textId="77777777" w:rsidR="009258C5" w:rsidRDefault="009258C5" w:rsidP="005B02B2">
      <w:pPr>
        <w:pStyle w:val="Bodynumbered"/>
        <w:numPr>
          <w:ilvl w:val="0"/>
          <w:numId w:val="0"/>
        </w:numPr>
      </w:pPr>
    </w:p>
    <w:p w14:paraId="12730560" w14:textId="77777777" w:rsidR="00CC7946" w:rsidRPr="00CC7946" w:rsidRDefault="00CC7946" w:rsidP="00CC7946">
      <w:pPr>
        <w:ind w:left="1440" w:hanging="1080"/>
        <w:rPr>
          <w:b/>
        </w:rPr>
      </w:pPr>
      <w:r w:rsidRPr="00CC7946">
        <w:rPr>
          <w:b/>
        </w:rPr>
        <w:t>Output 2.3. Public service contracts signed/tariffs agreed</w:t>
      </w:r>
    </w:p>
    <w:p w14:paraId="61A1F057" w14:textId="77777777" w:rsidR="00C6010F" w:rsidRPr="005B5602" w:rsidRDefault="008561B6" w:rsidP="008561B6">
      <w:pPr>
        <w:pStyle w:val="Bodynumbered"/>
      </w:pPr>
      <w:r>
        <w:rPr>
          <w:lang w:val="en-US"/>
        </w:rPr>
        <w:t xml:space="preserve">This output responds to the </w:t>
      </w:r>
      <w:r w:rsidR="001F020D">
        <w:rPr>
          <w:lang w:val="en-US"/>
        </w:rPr>
        <w:t>capacity and awareness</w:t>
      </w:r>
      <w:r>
        <w:rPr>
          <w:lang w:val="en-US"/>
        </w:rPr>
        <w:t xml:space="preserve"> barrier faced by the </w:t>
      </w:r>
      <w:r w:rsidR="000413BF">
        <w:rPr>
          <w:lang w:val="en-US"/>
        </w:rPr>
        <w:t>akimat</w:t>
      </w:r>
      <w:r>
        <w:rPr>
          <w:lang w:val="en-US"/>
        </w:rPr>
        <w:t xml:space="preserve">s </w:t>
      </w:r>
      <w:r>
        <w:t>concerning</w:t>
      </w:r>
      <w:r w:rsidR="00C6010F" w:rsidRPr="008561B6">
        <w:t xml:space="preserve"> structuring public service contracts conducive to EE, including the possibility of negotiated</w:t>
      </w:r>
      <w:r w:rsidR="00C6010F" w:rsidRPr="005B5602">
        <w:t xml:space="preserve"> tariffs with the </w:t>
      </w:r>
      <w:r w:rsidR="001F020D">
        <w:t xml:space="preserve">Agency for the Regulation of </w:t>
      </w:r>
      <w:r w:rsidR="00C6010F" w:rsidRPr="005B5602">
        <w:t>Natural Monopol</w:t>
      </w:r>
      <w:r w:rsidR="001F020D">
        <w:t>ies</w:t>
      </w:r>
      <w:r w:rsidR="007A55E3">
        <w:t xml:space="preserve"> (ARNM)</w:t>
      </w:r>
      <w:r w:rsidR="00C6010F" w:rsidRPr="005B5602">
        <w:t>.</w:t>
      </w:r>
      <w:r>
        <w:t xml:space="preserve"> </w:t>
      </w:r>
      <w:r w:rsidR="007A55E3">
        <w:t>Support will be provided as needed to akimats, private investors and ARNM agree tariffs that facilitates bankable projects while providing safeguards to vulnerable people, proposing and piloting alternative schemes.</w:t>
      </w:r>
    </w:p>
    <w:p w14:paraId="1C8E29DA" w14:textId="77777777" w:rsidR="008561B6" w:rsidRDefault="008561B6" w:rsidP="008561B6">
      <w:pPr>
        <w:pStyle w:val="Bodynumbered"/>
        <w:rPr>
          <w:lang w:val="en-US"/>
        </w:rPr>
      </w:pPr>
      <w:r w:rsidRPr="005B5602">
        <w:rPr>
          <w:lang w:val="en-US"/>
        </w:rPr>
        <w:t xml:space="preserve">Delivery of this </w:t>
      </w:r>
      <w:r>
        <w:rPr>
          <w:lang w:val="en-US"/>
        </w:rPr>
        <w:t>O</w:t>
      </w:r>
      <w:r w:rsidRPr="005B5602">
        <w:rPr>
          <w:lang w:val="en-US"/>
        </w:rPr>
        <w:t xml:space="preserve">utput will </w:t>
      </w:r>
      <w:r>
        <w:rPr>
          <w:lang w:val="en-US"/>
        </w:rPr>
        <w:t xml:space="preserve">be closely aligned with the work conducted for each investment under Output 2.1 and 2.2, and will </w:t>
      </w:r>
      <w:r w:rsidRPr="005B5602">
        <w:rPr>
          <w:lang w:val="en-US"/>
        </w:rPr>
        <w:t xml:space="preserve">include the following specific activities. </w:t>
      </w:r>
    </w:p>
    <w:p w14:paraId="14E8476C" w14:textId="77777777" w:rsidR="00D623B7" w:rsidRDefault="00D623B7" w:rsidP="00D623B7">
      <w:pPr>
        <w:pStyle w:val="Bodynumbered"/>
        <w:numPr>
          <w:ilvl w:val="0"/>
          <w:numId w:val="0"/>
        </w:numPr>
        <w:ind w:left="720" w:hanging="360"/>
      </w:pPr>
      <w:r>
        <w:rPr>
          <w:lang w:val="en-US"/>
        </w:rPr>
        <w:t>Activity 2.3</w:t>
      </w:r>
      <w:r w:rsidR="008561B6">
        <w:rPr>
          <w:lang w:val="en-US"/>
        </w:rPr>
        <w:t>.1 Assess</w:t>
      </w:r>
      <w:r>
        <w:rPr>
          <w:lang w:val="en-US"/>
        </w:rPr>
        <w:t xml:space="preserve"> / analyse</w:t>
      </w:r>
      <w:r w:rsidR="008561B6">
        <w:rPr>
          <w:lang w:val="en-US"/>
        </w:rPr>
        <w:t xml:space="preserve"> the </w:t>
      </w:r>
      <w:r>
        <w:rPr>
          <w:lang w:val="en-US"/>
        </w:rPr>
        <w:t xml:space="preserve">institutional and capacity </w:t>
      </w:r>
      <w:r w:rsidR="008561B6">
        <w:rPr>
          <w:lang w:val="en-US"/>
        </w:rPr>
        <w:t xml:space="preserve">needs of the </w:t>
      </w:r>
      <w:r w:rsidR="000413BF">
        <w:rPr>
          <w:lang w:val="en-US"/>
        </w:rPr>
        <w:t>akimat</w:t>
      </w:r>
      <w:r w:rsidR="008561B6">
        <w:rPr>
          <w:lang w:val="en-US"/>
        </w:rPr>
        <w:t xml:space="preserve">s </w:t>
      </w:r>
      <w:r>
        <w:rPr>
          <w:lang w:val="en-US"/>
        </w:rPr>
        <w:t>surrounding the establishment of</w:t>
      </w:r>
      <w:r w:rsidR="00DA3F7B" w:rsidRPr="005B5602">
        <w:t xml:space="preserve"> public service contracts give</w:t>
      </w:r>
      <w:r>
        <w:t>n</w:t>
      </w:r>
      <w:r w:rsidR="00DA3F7B" w:rsidRPr="005B5602">
        <w:t xml:space="preserve"> to public private partnerships for services. </w:t>
      </w:r>
      <w:r w:rsidRPr="005B5602">
        <w:t xml:space="preserve">Analysis of institutional structures </w:t>
      </w:r>
      <w:r>
        <w:t xml:space="preserve">will be </w:t>
      </w:r>
      <w:r w:rsidRPr="005B5602">
        <w:t>based on an understanding of investment potential, redraft</w:t>
      </w:r>
      <w:r>
        <w:t>ing potential of</w:t>
      </w:r>
      <w:r w:rsidRPr="005B5602">
        <w:t xml:space="preserve"> public service contracts, negotiations with central government on tariffs</w:t>
      </w:r>
      <w:r>
        <w:t>, etc</w:t>
      </w:r>
      <w:r w:rsidRPr="005B5602">
        <w:t xml:space="preserve">. </w:t>
      </w:r>
      <w:r>
        <w:t xml:space="preserve">The </w:t>
      </w:r>
      <w:r w:rsidRPr="00F3734C">
        <w:rPr>
          <w:lang w:val="en-US"/>
        </w:rPr>
        <w:t xml:space="preserve">incentive structures </w:t>
      </w:r>
      <w:r>
        <w:rPr>
          <w:lang w:val="en-US"/>
        </w:rPr>
        <w:t xml:space="preserve">surrounding </w:t>
      </w:r>
      <w:r w:rsidRPr="00F3734C">
        <w:rPr>
          <w:lang w:val="en-US"/>
        </w:rPr>
        <w:t>planning and legislation</w:t>
      </w:r>
      <w:r>
        <w:rPr>
          <w:lang w:val="en-US"/>
        </w:rPr>
        <w:t xml:space="preserve"> may also be examined. </w:t>
      </w:r>
      <w:r>
        <w:t>Local legal firms will be engaged for this analysis.</w:t>
      </w:r>
      <w:r w:rsidRPr="005B5602">
        <w:t xml:space="preserve"> </w:t>
      </w:r>
    </w:p>
    <w:p w14:paraId="2E08A8B1" w14:textId="77777777" w:rsidR="00D623B7" w:rsidRDefault="00D623B7" w:rsidP="00D623B7">
      <w:pPr>
        <w:pStyle w:val="Bodynumbered"/>
        <w:numPr>
          <w:ilvl w:val="0"/>
          <w:numId w:val="0"/>
        </w:numPr>
        <w:ind w:left="720" w:hanging="360"/>
      </w:pPr>
      <w:r>
        <w:rPr>
          <w:lang w:val="en-US"/>
        </w:rPr>
        <w:t xml:space="preserve">Activity 2.3.2 Support the strengthening of the institutional and capacity needs of the </w:t>
      </w:r>
      <w:r w:rsidR="000413BF">
        <w:rPr>
          <w:lang w:val="en-US"/>
        </w:rPr>
        <w:t>akimat</w:t>
      </w:r>
      <w:r>
        <w:rPr>
          <w:lang w:val="en-US"/>
        </w:rPr>
        <w:t xml:space="preserve">s based on the analysis (carried out under 2.3.1). Again, local legal firms will be engaged to provide targeted support to ultimately agree public service contracts and tariffs. </w:t>
      </w:r>
      <w:r w:rsidR="001F020D">
        <w:rPr>
          <w:lang w:val="en-US"/>
        </w:rPr>
        <w:t xml:space="preserve">This work will, where necessary, include support </w:t>
      </w:r>
      <w:r w:rsidR="007A55E3">
        <w:rPr>
          <w:lang w:val="en-US"/>
        </w:rPr>
        <w:t xml:space="preserve">to Akimats, private investors and the </w:t>
      </w:r>
      <w:r w:rsidR="00220AA1">
        <w:rPr>
          <w:lang w:val="en-US"/>
        </w:rPr>
        <w:t>ARNM</w:t>
      </w:r>
    </w:p>
    <w:p w14:paraId="1D3C5975" w14:textId="77777777" w:rsidR="005B02B2" w:rsidRPr="005B5602" w:rsidRDefault="005B02B2" w:rsidP="005B02B2"/>
    <w:p w14:paraId="2F409819" w14:textId="77777777" w:rsidR="005B02B2" w:rsidRPr="005B5602" w:rsidRDefault="00054CD1" w:rsidP="004445B5">
      <w:pPr>
        <w:pStyle w:val="Heading3"/>
      </w:pPr>
      <w:bookmarkStart w:id="51" w:name="_Toc362384278"/>
      <w:bookmarkStart w:id="52" w:name="_Toc393448994"/>
      <w:r w:rsidRPr="005B5602">
        <w:t xml:space="preserve">Component 3: Financing </w:t>
      </w:r>
      <w:r w:rsidR="005B02B2" w:rsidRPr="005B5602">
        <w:t>for urban NAMAs</w:t>
      </w:r>
      <w:bookmarkEnd w:id="51"/>
      <w:bookmarkEnd w:id="52"/>
    </w:p>
    <w:p w14:paraId="5C17D291" w14:textId="77777777" w:rsidR="00C8392D" w:rsidRDefault="005B02B2" w:rsidP="00054CD1">
      <w:pPr>
        <w:pStyle w:val="Bodynumbered"/>
      </w:pPr>
      <w:r w:rsidRPr="005B5602">
        <w:t xml:space="preserve">The desired Outcome of Component 3 is </w:t>
      </w:r>
      <w:r w:rsidR="00744050">
        <w:t xml:space="preserve">the levering of </w:t>
      </w:r>
      <w:r w:rsidRPr="005B5602">
        <w:t>new and additional financing for urban NAMAs (Outcome 3)</w:t>
      </w:r>
      <w:r w:rsidR="00CC40D7">
        <w:t xml:space="preserve"> from banks, government and donors</w:t>
      </w:r>
      <w:r w:rsidRPr="005B5602">
        <w:t xml:space="preserve">. Component 3 </w:t>
      </w:r>
      <w:r w:rsidR="00C8392D">
        <w:t>will</w:t>
      </w:r>
      <w:r w:rsidRPr="005B5602">
        <w:t xml:space="preserve"> </w:t>
      </w:r>
      <w:r w:rsidR="00C8392D">
        <w:t>provide finance for emission reduction investments for urban NAMAs identified through Components 1 and 2; establish a ‘pilot NAMA fund’</w:t>
      </w:r>
      <w:r w:rsidR="00CC40D7">
        <w:t xml:space="preserve"> initially using GEF </w:t>
      </w:r>
      <w:r w:rsidR="00744050">
        <w:t xml:space="preserve">and Government </w:t>
      </w:r>
      <w:r w:rsidR="00CC40D7">
        <w:t>funds</w:t>
      </w:r>
      <w:r w:rsidR="00C8392D">
        <w:t>; facilitate financing for pilot NAMA projects</w:t>
      </w:r>
      <w:r w:rsidR="00CC40D7">
        <w:t xml:space="preserve"> (blending funds from GEF,</w:t>
      </w:r>
      <w:r w:rsidR="00744050">
        <w:t xml:space="preserve"> the government,</w:t>
      </w:r>
      <w:r w:rsidR="00CC40D7">
        <w:t xml:space="preserve"> other donors, concessional funding, private sector and bank finance as possible)</w:t>
      </w:r>
      <w:r w:rsidR="00C8392D">
        <w:t xml:space="preserve">; </w:t>
      </w:r>
      <w:r w:rsidR="00CC40D7">
        <w:t xml:space="preserve">develop </w:t>
      </w:r>
      <w:r w:rsidR="00C8392D">
        <w:t>a diversification strategy and associated mechanisms to lever additional financing f</w:t>
      </w:r>
      <w:r w:rsidR="00FA409D">
        <w:t>r</w:t>
      </w:r>
      <w:r w:rsidR="00C8392D">
        <w:t xml:space="preserve">om a range of sources, and develop a proposal for national level fund to facilitate the </w:t>
      </w:r>
      <w:r w:rsidR="00744050">
        <w:t>National Fund for Modernization (NFM)</w:t>
      </w:r>
      <w:r w:rsidR="00C8392D">
        <w:t xml:space="preserve">. </w:t>
      </w:r>
      <w:r w:rsidRPr="005B5602">
        <w:t xml:space="preserve"> This would be additional to the baseline as there are no plans under BAU to </w:t>
      </w:r>
      <w:r w:rsidR="00CC40D7">
        <w:t xml:space="preserve">create such a fund focused on </w:t>
      </w:r>
      <w:r w:rsidRPr="005B5602">
        <w:t xml:space="preserve">low carbon </w:t>
      </w:r>
      <w:r w:rsidR="00CC40D7">
        <w:t xml:space="preserve">urban infrastructure </w:t>
      </w:r>
      <w:r w:rsidRPr="005B5602">
        <w:t xml:space="preserve">projects (see Section </w:t>
      </w:r>
      <w:r w:rsidR="00EE1A48" w:rsidRPr="005B5602">
        <w:fldChar w:fldCharType="begin"/>
      </w:r>
      <w:r w:rsidRPr="005B5602">
        <w:instrText xml:space="preserve"> REF _Ref362036265 \r \h </w:instrText>
      </w:r>
      <w:r w:rsidR="00EE1A48" w:rsidRPr="005B5602">
        <w:fldChar w:fldCharType="separate"/>
      </w:r>
      <w:r w:rsidR="003B3B2B">
        <w:t>1.3</w:t>
      </w:r>
      <w:r w:rsidR="00EE1A48" w:rsidRPr="005B5602">
        <w:fldChar w:fldCharType="end"/>
      </w:r>
      <w:r w:rsidRPr="005B5602">
        <w:t xml:space="preserve">). </w:t>
      </w:r>
    </w:p>
    <w:p w14:paraId="18F5FC90" w14:textId="77777777" w:rsidR="005B02B2" w:rsidRPr="005B5602" w:rsidRDefault="005B02B2" w:rsidP="00FA409D">
      <w:pPr>
        <w:pStyle w:val="Bodynumbered"/>
      </w:pPr>
      <w:r w:rsidRPr="005B5602">
        <w:t>In addition to GEF funding</w:t>
      </w:r>
      <w:r w:rsidRPr="00C05729">
        <w:t>, EADB</w:t>
      </w:r>
      <w:r w:rsidR="00CB7C6B" w:rsidRPr="00C05729">
        <w:t>,</w:t>
      </w:r>
      <w:r w:rsidRPr="00C05729">
        <w:t xml:space="preserve"> and </w:t>
      </w:r>
      <w:r w:rsidR="00CC40D7" w:rsidRPr="00C05729">
        <w:t xml:space="preserve">the </w:t>
      </w:r>
      <w:r w:rsidR="00744050" w:rsidRPr="00C05729">
        <w:t>NFM</w:t>
      </w:r>
      <w:r w:rsidR="00CC40D7" w:rsidRPr="00C05729">
        <w:t xml:space="preserve"> </w:t>
      </w:r>
      <w:r w:rsidRPr="00C05729">
        <w:t>will provide additional</w:t>
      </w:r>
      <w:r w:rsidRPr="005B5602">
        <w:t xml:space="preserve"> </w:t>
      </w:r>
      <w:r w:rsidR="00C8392D">
        <w:t>financing for PPP window of</w:t>
      </w:r>
      <w:r w:rsidR="00C05729">
        <w:t xml:space="preserve"> over </w:t>
      </w:r>
      <w:r w:rsidR="00C8392D" w:rsidRPr="00B4587D">
        <w:t>USD</w:t>
      </w:r>
      <w:r w:rsidR="00C05729" w:rsidRPr="00B4587D">
        <w:t xml:space="preserve"> 30</w:t>
      </w:r>
      <w:r w:rsidRPr="00B4587D">
        <w:t xml:space="preserve"> million.</w:t>
      </w:r>
      <w:r w:rsidRPr="005B5602">
        <w:t xml:space="preserve"> The catalytic impact of additional GEF support will be that it will </w:t>
      </w:r>
      <w:r w:rsidR="00C8392D">
        <w:t>fund</w:t>
      </w:r>
      <w:r w:rsidRPr="005B5602">
        <w:t xml:space="preserve"> low-carbon urban investment projects implemented by PPPs and thus unlock substantial private sector investment in the sector.</w:t>
      </w:r>
      <w:r w:rsidR="00FA409D">
        <w:t xml:space="preserve"> In the medium term, following the completion of the GEF-funded project, </w:t>
      </w:r>
      <w:r w:rsidR="00735482">
        <w:t>while the need to grant funding will be reduced given the first-mover demonstration effect of the project, some incremental costs representing global environmental benefits will remain. T</w:t>
      </w:r>
      <w:r w:rsidR="00FA409D">
        <w:t xml:space="preserve">he aim it to replace GEF funding </w:t>
      </w:r>
      <w:r w:rsidR="00735482">
        <w:t xml:space="preserve">for these costs </w:t>
      </w:r>
      <w:r w:rsidR="00FA409D">
        <w:t xml:space="preserve">with other funding from national sources (carbon finance from the domestic ETS, other government funding for sustainable urban modernization), and international funding (via NAMA funding). This diversification / </w:t>
      </w:r>
      <w:r w:rsidR="00FA409D" w:rsidRPr="00FA409D">
        <w:t xml:space="preserve">“exit” strategy </w:t>
      </w:r>
      <w:r w:rsidR="00FA409D">
        <w:t xml:space="preserve">is addressed </w:t>
      </w:r>
      <w:r w:rsidR="00735482">
        <w:t>through</w:t>
      </w:r>
      <w:r w:rsidR="00FA409D">
        <w:t xml:space="preserve"> output 3.4. </w:t>
      </w:r>
    </w:p>
    <w:p w14:paraId="2FE6EBC4" w14:textId="77777777" w:rsidR="005952C0" w:rsidRDefault="005952C0" w:rsidP="005B02B2">
      <w:pPr>
        <w:pStyle w:val="Bodynumbered"/>
      </w:pPr>
      <w:r>
        <w:t xml:space="preserve">Component 3 includes GEF funding for both Investment (output 3.1) and Technical Assistance (output 3.2, 3.3 and 3.4). </w:t>
      </w:r>
      <w:r w:rsidR="00613D12">
        <w:t xml:space="preserve">The Technical Assistance activities of </w:t>
      </w:r>
      <w:r>
        <w:t xml:space="preserve">Outputs 3.2 and 3.3 directly support </w:t>
      </w:r>
      <w:r w:rsidR="00613D12">
        <w:t xml:space="preserve">the practical implementation of the Investments under </w:t>
      </w:r>
      <w:r w:rsidR="00076C5F">
        <w:t>O</w:t>
      </w:r>
      <w:r w:rsidR="00613D12">
        <w:t>utput</w:t>
      </w:r>
      <w:r w:rsidR="001F2143">
        <w:t xml:space="preserve"> 3.1.</w:t>
      </w:r>
      <w:r w:rsidR="00613D12">
        <w:t xml:space="preserve">  </w:t>
      </w:r>
    </w:p>
    <w:p w14:paraId="48EF94AC" w14:textId="77777777" w:rsidR="005B02B2" w:rsidRPr="005B5602" w:rsidRDefault="00C8392D" w:rsidP="005B02B2">
      <w:pPr>
        <w:pStyle w:val="Bodynumbered"/>
      </w:pPr>
      <w:r w:rsidRPr="005B5602">
        <w:t xml:space="preserve">To promote Outcome 3, technical assistance and investment finance </w:t>
      </w:r>
      <w:r>
        <w:t xml:space="preserve">will be </w:t>
      </w:r>
      <w:r w:rsidRPr="005B5602">
        <w:t xml:space="preserve">provided </w:t>
      </w:r>
      <w:r>
        <w:t>to</w:t>
      </w:r>
      <w:r w:rsidR="00054CD1" w:rsidRPr="005B5602">
        <w:t xml:space="preserve"> deliver five</w:t>
      </w:r>
      <w:r w:rsidR="00392F24">
        <w:t xml:space="preserve"> Outputs</w:t>
      </w:r>
      <w:r w:rsidR="005B02B2" w:rsidRPr="005B5602">
        <w:t>:</w:t>
      </w:r>
    </w:p>
    <w:p w14:paraId="2A27557D" w14:textId="02F1B879" w:rsidR="005B02B2" w:rsidRPr="005B5602" w:rsidRDefault="00054CD1" w:rsidP="00054CD1">
      <w:pPr>
        <w:ind w:left="1440" w:hanging="1080"/>
      </w:pPr>
      <w:r w:rsidRPr="005B5602">
        <w:t>Output 3.1</w:t>
      </w:r>
      <w:r w:rsidR="005B02B2" w:rsidRPr="005B5602">
        <w:t xml:space="preserve"> </w:t>
      </w:r>
      <w:r w:rsidR="00B66ECF" w:rsidRPr="00B66ECF">
        <w:t xml:space="preserve">Performance based financing mechanism for urban NAMAs </w:t>
      </w:r>
      <w:r w:rsidR="001F2143">
        <w:t>(Investment)</w:t>
      </w:r>
    </w:p>
    <w:p w14:paraId="42076F6E" w14:textId="77777777" w:rsidR="005D304B" w:rsidRPr="005B5602" w:rsidRDefault="005B02B2" w:rsidP="00054CD1">
      <w:pPr>
        <w:ind w:left="1440" w:hanging="1080"/>
      </w:pPr>
      <w:r w:rsidRPr="005B5602">
        <w:t>Output 3.</w:t>
      </w:r>
      <w:r w:rsidR="00054CD1" w:rsidRPr="005B5602">
        <w:t>2 Pilot NAMA fund established, managed and evaluated</w:t>
      </w:r>
      <w:r w:rsidR="001F2143">
        <w:t xml:space="preserve"> (TA to support 3.1)</w:t>
      </w:r>
    </w:p>
    <w:p w14:paraId="324AB2B1" w14:textId="77777777" w:rsidR="005D304B" w:rsidRPr="006677E0" w:rsidRDefault="005D304B" w:rsidP="005D304B">
      <w:pPr>
        <w:ind w:left="1440" w:hanging="1080"/>
      </w:pPr>
      <w:r w:rsidRPr="005B5602">
        <w:t xml:space="preserve">Output 3.3 </w:t>
      </w:r>
      <w:r w:rsidR="00554FA6" w:rsidRPr="006677E0">
        <w:t>Financing for pilot NAMA project facilitated</w:t>
      </w:r>
      <w:r w:rsidR="001F2143">
        <w:t xml:space="preserve"> (TA to support 3.1)</w:t>
      </w:r>
    </w:p>
    <w:p w14:paraId="76B60112" w14:textId="77777777" w:rsidR="005B02B2" w:rsidRPr="006677E0" w:rsidRDefault="005D304B" w:rsidP="00B66ECF">
      <w:pPr>
        <w:ind w:left="1440" w:hanging="1080"/>
        <w:jc w:val="left"/>
      </w:pPr>
      <w:r w:rsidRPr="006677E0">
        <w:t xml:space="preserve">Output 3.4 Funding </w:t>
      </w:r>
      <w:r w:rsidR="00554FA6" w:rsidRPr="006677E0">
        <w:t xml:space="preserve">diversification strategy and mechanisms to leverage additional financing from public, </w:t>
      </w:r>
      <w:r w:rsidRPr="006677E0">
        <w:t>private and internation</w:t>
      </w:r>
      <w:r w:rsidR="001F2143">
        <w:t>al sources of funding developed including a p</w:t>
      </w:r>
      <w:r w:rsidRPr="006677E0">
        <w:t xml:space="preserve">roposal for </w:t>
      </w:r>
      <w:r w:rsidR="001F2143">
        <w:t xml:space="preserve">how the </w:t>
      </w:r>
      <w:r w:rsidR="00744050">
        <w:t>NFM</w:t>
      </w:r>
      <w:r w:rsidR="001F2143">
        <w:t xml:space="preserve"> can be structured efficiently.</w:t>
      </w:r>
    </w:p>
    <w:p w14:paraId="3F540866" w14:textId="77777777" w:rsidR="006677E0" w:rsidRDefault="006677E0" w:rsidP="005B02B2">
      <w:pPr>
        <w:pStyle w:val="Bodynumbered"/>
        <w:numPr>
          <w:ilvl w:val="0"/>
          <w:numId w:val="0"/>
        </w:numPr>
      </w:pPr>
    </w:p>
    <w:p w14:paraId="15D30A72" w14:textId="66563E34" w:rsidR="006677E0" w:rsidRDefault="006677E0" w:rsidP="006677E0">
      <w:pPr>
        <w:ind w:left="1440" w:hanging="1080"/>
        <w:rPr>
          <w:b/>
          <w:i/>
        </w:rPr>
      </w:pPr>
      <w:r w:rsidRPr="006677E0">
        <w:rPr>
          <w:b/>
          <w:i/>
        </w:rPr>
        <w:t xml:space="preserve">Output 3.1 </w:t>
      </w:r>
      <w:r w:rsidR="002D5B0C">
        <w:rPr>
          <w:b/>
          <w:i/>
        </w:rPr>
        <w:t>Performance based financing mechanism for urban</w:t>
      </w:r>
      <w:r w:rsidR="004747CD">
        <w:rPr>
          <w:b/>
          <w:i/>
        </w:rPr>
        <w:t xml:space="preserve"> NAMAs</w:t>
      </w:r>
    </w:p>
    <w:p w14:paraId="5C4485A3" w14:textId="62E554BB" w:rsidR="000F622F" w:rsidRDefault="000F622F" w:rsidP="0001188A">
      <w:pPr>
        <w:pStyle w:val="Bodynumbered"/>
      </w:pPr>
      <w:r>
        <w:t xml:space="preserve">The urban NAMAs identified through Component 1 and 2 will be financed in part </w:t>
      </w:r>
      <w:r w:rsidR="00D11B5D">
        <w:t>through this output. Investment funds from the GEF</w:t>
      </w:r>
      <w:r>
        <w:t xml:space="preserve"> will be provided </w:t>
      </w:r>
      <w:r w:rsidR="00D11B5D">
        <w:t xml:space="preserve">to urban NAMA projects on favourable terms, </w:t>
      </w:r>
      <w:r w:rsidR="00650E35">
        <w:t xml:space="preserve">taking the form of </w:t>
      </w:r>
      <w:r w:rsidR="002D5B0C">
        <w:t xml:space="preserve">performance based </w:t>
      </w:r>
      <w:r w:rsidR="00D11B5D">
        <w:t>concessional grants</w:t>
      </w:r>
      <w:r w:rsidR="00650E35">
        <w:t xml:space="preserve"> or other suitable incentive</w:t>
      </w:r>
      <w:r w:rsidR="00D11B5D">
        <w:t>, to facilitate</w:t>
      </w:r>
      <w:r w:rsidRPr="005B5602">
        <w:t xml:space="preserve"> investment</w:t>
      </w:r>
      <w:r w:rsidR="00D11B5D">
        <w:t xml:space="preserve"> by IFIs</w:t>
      </w:r>
      <w:r w:rsidR="0001188A">
        <w:t xml:space="preserve">, other banks, and, where possible </w:t>
      </w:r>
      <w:r w:rsidR="00D11B5D">
        <w:t>other donors.</w:t>
      </w:r>
      <w:r w:rsidR="0001188A">
        <w:t xml:space="preserve"> This investment component will be operationalized through the TA activities of Outputs 3.2</w:t>
      </w:r>
      <w:r w:rsidR="00744050">
        <w:t>,</w:t>
      </w:r>
      <w:r w:rsidR="000527E0">
        <w:t xml:space="preserve"> </w:t>
      </w:r>
      <w:r w:rsidR="0001188A">
        <w:t>3.3</w:t>
      </w:r>
      <w:r w:rsidR="00744050">
        <w:t xml:space="preserve"> and 3.4</w:t>
      </w:r>
      <w:r w:rsidR="0001188A">
        <w:t>.</w:t>
      </w:r>
      <w:r w:rsidR="00D11B5D">
        <w:t xml:space="preserve"> </w:t>
      </w:r>
    </w:p>
    <w:p w14:paraId="4BC7B055" w14:textId="14CEC8F6" w:rsidR="00F11201" w:rsidRDefault="002C78D7" w:rsidP="002C78D7">
      <w:pPr>
        <w:pStyle w:val="Bodynumbered"/>
      </w:pPr>
      <w:r w:rsidRPr="002C78D7">
        <w:t xml:space="preserve">Various options will be considered for the </w:t>
      </w:r>
      <w:r w:rsidR="006470C0">
        <w:t xml:space="preserve">Pilot </w:t>
      </w:r>
      <w:r w:rsidRPr="002C78D7">
        <w:t>NAMA fund, with the preferred option being a separate credit line within the NMF for NAMA-related projects/financing</w:t>
      </w:r>
      <w:r w:rsidR="006470C0">
        <w:rPr>
          <w:rStyle w:val="FootnoteReference"/>
        </w:rPr>
        <w:footnoteReference w:id="24"/>
      </w:r>
      <w:r w:rsidRPr="002C78D7">
        <w:t xml:space="preserve">. UNDP has experience in Kazakhstan with negotiating and then implementing a separate credit line of this kind within the Fund for Financial Support of Agriculture (FFSA). In that case UNDP used the institutional arrangements, disbursement and collection system that already existed at FFSA for a biodiversity-related micro-credit program within the UNDP-GEF biodiversity conservation project. In the case of the NMF, the scale and scope of financing is bigger, and the UNDP/GEF project would also need to assist the Ministry </w:t>
      </w:r>
      <w:r w:rsidR="00A3207A">
        <w:t>of Regional Development</w:t>
      </w:r>
      <w:r w:rsidR="00A3207A" w:rsidRPr="002C78D7">
        <w:t xml:space="preserve"> </w:t>
      </w:r>
      <w:r w:rsidRPr="002C78D7">
        <w:t>in making this Fund operational. The present GEF project would assist the Ministry and NMF with practical strategies, including development of selection criteria, which at present are non-existent in the NPM-2020. This mode of cooperation would also be used for the construction activities under Component 4.</w:t>
      </w:r>
    </w:p>
    <w:p w14:paraId="46C478DB" w14:textId="30E1D103" w:rsidR="008427AA" w:rsidRDefault="006470C0" w:rsidP="00993D28">
      <w:pPr>
        <w:pStyle w:val="Bodynumbered"/>
      </w:pPr>
      <w:r>
        <w:rPr>
          <w:lang w:val="en-US"/>
        </w:rPr>
        <w:t xml:space="preserve">GEF-funded investment resources of USD 3.0 million will contribute to the Pilot NAMA fund providing some form of performance based grant, with the purpose of unlocking investment funds. </w:t>
      </w:r>
      <w:r w:rsidR="002D5B0C">
        <w:t>Performance based g</w:t>
      </w:r>
      <w:r w:rsidR="008427AA">
        <w:t xml:space="preserve">rants are required to address first-mover risks for urban NAMA projects along with incremental costs related to the global mitigation benefits. Together, these two factors mean that urban NAMA projects, and in particular the pilot projects developed within the scope of this GEF project </w:t>
      </w:r>
      <w:r w:rsidR="00744050">
        <w:t xml:space="preserve">may </w:t>
      </w:r>
      <w:r w:rsidR="008427AA">
        <w:t>require grant funding if they are to be realized.</w:t>
      </w:r>
    </w:p>
    <w:p w14:paraId="7A5D4A70" w14:textId="77777777" w:rsidR="00993D28" w:rsidRPr="00993D28" w:rsidRDefault="008427AA" w:rsidP="00993D28">
      <w:pPr>
        <w:pStyle w:val="Bodynumbered"/>
      </w:pPr>
      <w:r>
        <w:t xml:space="preserve">The </w:t>
      </w:r>
      <w:r w:rsidR="002D5B0C">
        <w:t xml:space="preserve">performance based </w:t>
      </w:r>
      <w:r w:rsidR="005D39F2" w:rsidRPr="005D39F2">
        <w:t xml:space="preserve">grant </w:t>
      </w:r>
      <w:r w:rsidR="00744050">
        <w:t xml:space="preserve">would </w:t>
      </w:r>
      <w:r w:rsidR="005D39F2" w:rsidRPr="005D39F2">
        <w:t xml:space="preserve">be </w:t>
      </w:r>
      <w:r w:rsidR="005D39F2" w:rsidRPr="00993D28">
        <w:t>designed to take into account the following important factors and considerations</w:t>
      </w:r>
      <w:r w:rsidR="00993D28" w:rsidRPr="00993D28">
        <w:t>:</w:t>
      </w:r>
    </w:p>
    <w:p w14:paraId="67FDA591" w14:textId="77777777" w:rsidR="005D39F2" w:rsidRDefault="005D39F2" w:rsidP="007D6892">
      <w:pPr>
        <w:pStyle w:val="Bodynumbered"/>
        <w:numPr>
          <w:ilvl w:val="0"/>
          <w:numId w:val="36"/>
        </w:numPr>
      </w:pPr>
      <w:r>
        <w:t>The multitude of project types – there is a significant variety of potential urban projects, which could be financed. This makes it difficult to come up with uniform technical parameters of the projects on the basis of which to calculate and justify the amount of grants to be provided. Hence, it makes good sense to evaluate these projects not in terms of their design parameters, but rather – in terms of their estimated emission reduction performance.</w:t>
      </w:r>
    </w:p>
    <w:p w14:paraId="08C5A7B0" w14:textId="77777777" w:rsidR="005D39F2" w:rsidRDefault="005D39F2" w:rsidP="007D6892">
      <w:pPr>
        <w:pStyle w:val="Bodynumbered"/>
        <w:numPr>
          <w:ilvl w:val="0"/>
          <w:numId w:val="36"/>
        </w:numPr>
      </w:pPr>
      <w:r>
        <w:t xml:space="preserve">The need to define a simple to understand and easy to implement mechanism that does not distort the market. </w:t>
      </w:r>
    </w:p>
    <w:p w14:paraId="21BEAFA8" w14:textId="77777777" w:rsidR="005D39F2" w:rsidRDefault="005D39F2" w:rsidP="007D6892">
      <w:pPr>
        <w:pStyle w:val="Bodynumbered"/>
        <w:numPr>
          <w:ilvl w:val="0"/>
          <w:numId w:val="36"/>
        </w:numPr>
      </w:pPr>
      <w:r>
        <w:t>The linking of grant amounts to the size of the avoided externality (measured in terms of GHG emission reductions), along with a floor / ceiling to avoid extremes.</w:t>
      </w:r>
    </w:p>
    <w:p w14:paraId="2B6573A9" w14:textId="77777777" w:rsidR="005D39F2" w:rsidRDefault="005D39F2" w:rsidP="00F11201">
      <w:pPr>
        <w:spacing w:after="120" w:line="276" w:lineRule="auto"/>
        <w:ind w:left="720"/>
        <w:rPr>
          <w:szCs w:val="22"/>
        </w:rPr>
      </w:pPr>
      <w:r>
        <w:rPr>
          <w:szCs w:val="22"/>
        </w:rPr>
        <w:t xml:space="preserve">The provision of incentive payments will be done only for projects that meet eligibility criteria to be defined in the Technical Assistance activities of output 3.2. These eligibility criteria will be defined by project type to take into account the different economics of the projects and their relevant technical parameters. </w:t>
      </w:r>
    </w:p>
    <w:p w14:paraId="6E12D3A3" w14:textId="77777777" w:rsidR="00292E8A" w:rsidRDefault="00292E8A" w:rsidP="00744050">
      <w:pPr>
        <w:pStyle w:val="Bodynumbered"/>
        <w:rPr>
          <w:lang w:val="en-US"/>
        </w:rPr>
      </w:pPr>
      <w:r w:rsidRPr="005B5602">
        <w:rPr>
          <w:lang w:val="en-US"/>
        </w:rPr>
        <w:t xml:space="preserve">Delivery of this </w:t>
      </w:r>
      <w:r>
        <w:rPr>
          <w:lang w:val="en-US"/>
        </w:rPr>
        <w:t>O</w:t>
      </w:r>
      <w:r w:rsidRPr="005B5602">
        <w:rPr>
          <w:lang w:val="en-US"/>
        </w:rPr>
        <w:t xml:space="preserve">utput will include the following specific activities. </w:t>
      </w:r>
    </w:p>
    <w:p w14:paraId="634E0BB9" w14:textId="5273779E" w:rsidR="00292E8A" w:rsidRDefault="002E49FD" w:rsidP="00F11201">
      <w:pPr>
        <w:spacing w:line="276" w:lineRule="auto"/>
        <w:ind w:left="1440" w:hanging="1440"/>
        <w:jc w:val="left"/>
        <w:rPr>
          <w:lang w:val="en-US"/>
        </w:rPr>
      </w:pPr>
      <w:r>
        <w:rPr>
          <w:lang w:val="en-US"/>
        </w:rPr>
        <w:t xml:space="preserve">Activity 3.1.1 </w:t>
      </w:r>
      <w:r w:rsidR="001F2143">
        <w:rPr>
          <w:lang w:val="en-US"/>
        </w:rPr>
        <w:t>Provide concessional finance</w:t>
      </w:r>
      <w:r w:rsidR="002D5B0C">
        <w:rPr>
          <w:lang w:val="en-US"/>
        </w:rPr>
        <w:t xml:space="preserve"> (</w:t>
      </w:r>
      <w:r w:rsidR="004747CD">
        <w:rPr>
          <w:lang w:val="en-US"/>
        </w:rPr>
        <w:t xml:space="preserve">e.g. performance-based </w:t>
      </w:r>
      <w:r w:rsidR="002D5B0C">
        <w:rPr>
          <w:lang w:val="en-US"/>
        </w:rPr>
        <w:t>grants)</w:t>
      </w:r>
      <w:r w:rsidR="001F2143">
        <w:rPr>
          <w:lang w:val="en-US"/>
        </w:rPr>
        <w:t xml:space="preserve"> to urban NAMAs</w:t>
      </w:r>
      <w:r>
        <w:rPr>
          <w:lang w:val="en-US"/>
        </w:rPr>
        <w:t xml:space="preserve"> according to the cr</w:t>
      </w:r>
      <w:r w:rsidR="001F2143">
        <w:rPr>
          <w:lang w:val="en-US"/>
        </w:rPr>
        <w:t>iteria of the established Fund.</w:t>
      </w:r>
    </w:p>
    <w:p w14:paraId="4424AD9F" w14:textId="77777777" w:rsidR="00292E8A" w:rsidRDefault="00292E8A" w:rsidP="00F11201">
      <w:pPr>
        <w:spacing w:line="276" w:lineRule="auto"/>
        <w:ind w:left="1440" w:hanging="1440"/>
        <w:jc w:val="left"/>
        <w:rPr>
          <w:lang w:val="en-US"/>
        </w:rPr>
      </w:pPr>
    </w:p>
    <w:p w14:paraId="4E257870" w14:textId="77777777" w:rsidR="006677E0" w:rsidRDefault="006677E0" w:rsidP="00F11201">
      <w:pPr>
        <w:keepNext/>
        <w:keepLines/>
        <w:spacing w:line="276" w:lineRule="auto"/>
        <w:ind w:left="1440" w:hanging="1080"/>
        <w:rPr>
          <w:b/>
          <w:i/>
        </w:rPr>
      </w:pPr>
      <w:r w:rsidRPr="006677E0">
        <w:rPr>
          <w:b/>
          <w:i/>
        </w:rPr>
        <w:t>Output 3.2 Pilot NAMA fund established, managed and evaluated</w:t>
      </w:r>
    </w:p>
    <w:p w14:paraId="0E8A4C10" w14:textId="2D3212D6" w:rsidR="007E03A9" w:rsidRPr="007E03A9" w:rsidRDefault="000527E0" w:rsidP="00744050">
      <w:pPr>
        <w:pStyle w:val="Bodynumbered"/>
        <w:rPr>
          <w:lang w:val="en-US"/>
        </w:rPr>
      </w:pPr>
      <w:r>
        <w:rPr>
          <w:lang w:val="en-US"/>
        </w:rPr>
        <w:t>This output describes the technical assistance needed to establish, manage and evaluate the fund described under output 3.1 above.</w:t>
      </w:r>
    </w:p>
    <w:p w14:paraId="6A94C073" w14:textId="77777777" w:rsidR="007E03A9" w:rsidRDefault="007E03A9" w:rsidP="00F11201">
      <w:pPr>
        <w:pStyle w:val="Bodynumbered"/>
        <w:rPr>
          <w:lang w:val="en-US"/>
        </w:rPr>
      </w:pPr>
      <w:r w:rsidRPr="005B5602">
        <w:rPr>
          <w:lang w:val="en-US"/>
        </w:rPr>
        <w:t xml:space="preserve">Delivery of this </w:t>
      </w:r>
      <w:r>
        <w:rPr>
          <w:lang w:val="en-US"/>
        </w:rPr>
        <w:t>O</w:t>
      </w:r>
      <w:r w:rsidRPr="005B5602">
        <w:rPr>
          <w:lang w:val="en-US"/>
        </w:rPr>
        <w:t xml:space="preserve">utput will include the following specific activities. </w:t>
      </w:r>
    </w:p>
    <w:p w14:paraId="67A7F648" w14:textId="77777777" w:rsidR="00782F87" w:rsidRDefault="00E80753" w:rsidP="00D256AD">
      <w:pPr>
        <w:pStyle w:val="Bodynumbered"/>
        <w:numPr>
          <w:ilvl w:val="0"/>
          <w:numId w:val="0"/>
        </w:numPr>
        <w:ind w:left="1440" w:hanging="1440"/>
        <w:rPr>
          <w:lang w:val="en-US"/>
        </w:rPr>
      </w:pPr>
      <w:r>
        <w:rPr>
          <w:lang w:val="en-US"/>
        </w:rPr>
        <w:t xml:space="preserve">Activity 3.2.1 </w:t>
      </w:r>
      <w:r w:rsidR="008427AA">
        <w:rPr>
          <w:lang w:val="en-US"/>
        </w:rPr>
        <w:tab/>
      </w:r>
      <w:r w:rsidR="00EA3510">
        <w:rPr>
          <w:lang w:val="en-US"/>
        </w:rPr>
        <w:t xml:space="preserve">Review and evaluate options for establishing a </w:t>
      </w:r>
      <w:r w:rsidR="00782F87">
        <w:rPr>
          <w:lang w:val="en-US"/>
        </w:rPr>
        <w:t xml:space="preserve">performance based funding mechanisms </w:t>
      </w:r>
      <w:r w:rsidR="00744050">
        <w:rPr>
          <w:lang w:val="en-US"/>
        </w:rPr>
        <w:t xml:space="preserve">credit line </w:t>
      </w:r>
      <w:r w:rsidR="00EA3510">
        <w:rPr>
          <w:lang w:val="en-US"/>
        </w:rPr>
        <w:t xml:space="preserve">for the pilot NAMAs identified </w:t>
      </w:r>
      <w:r w:rsidR="00F11201">
        <w:rPr>
          <w:lang w:val="en-US"/>
        </w:rPr>
        <w:t>within the NMF</w:t>
      </w:r>
      <w:r w:rsidR="006E772E">
        <w:rPr>
          <w:lang w:val="en-US"/>
        </w:rPr>
        <w:t>, examining existing practices in Kazakhstan and international best practice</w:t>
      </w:r>
      <w:r w:rsidR="00EA3510">
        <w:rPr>
          <w:lang w:val="en-US"/>
        </w:rPr>
        <w:t>.</w:t>
      </w:r>
      <w:r w:rsidR="00F11201">
        <w:rPr>
          <w:lang w:val="en-US"/>
        </w:rPr>
        <w:t xml:space="preserve"> Working closely with the NFM stakeholders, de</w:t>
      </w:r>
      <w:r w:rsidR="00F11201" w:rsidRPr="006517DC">
        <w:rPr>
          <w:lang w:val="en-US"/>
        </w:rPr>
        <w:t>velop a</w:t>
      </w:r>
      <w:r w:rsidR="00F11201">
        <w:rPr>
          <w:lang w:val="en-US"/>
        </w:rPr>
        <w:t>n approach for</w:t>
      </w:r>
      <w:r w:rsidR="00F11201" w:rsidRPr="006517DC">
        <w:rPr>
          <w:lang w:val="en-US"/>
        </w:rPr>
        <w:t xml:space="preserve"> funding emission reduction projects prioritized in urban NAMAs</w:t>
      </w:r>
      <w:r w:rsidR="00F11201">
        <w:rPr>
          <w:lang w:val="en-US"/>
        </w:rPr>
        <w:t xml:space="preserve"> and facilitating private investment in improved urban infrastructure</w:t>
      </w:r>
      <w:r w:rsidR="00F11201" w:rsidRPr="006517DC">
        <w:rPr>
          <w:lang w:val="en-US"/>
        </w:rPr>
        <w:t>.</w:t>
      </w:r>
      <w:r w:rsidR="00EA3510">
        <w:rPr>
          <w:lang w:val="en-US"/>
        </w:rPr>
        <w:t xml:space="preserve"> </w:t>
      </w:r>
    </w:p>
    <w:p w14:paraId="31A027AF" w14:textId="77777777" w:rsidR="00D256AD" w:rsidRDefault="00EA3510" w:rsidP="00D256AD">
      <w:pPr>
        <w:pStyle w:val="Bodynumbered"/>
        <w:numPr>
          <w:ilvl w:val="0"/>
          <w:numId w:val="0"/>
        </w:numPr>
        <w:ind w:left="1440" w:hanging="1440"/>
        <w:rPr>
          <w:lang w:val="en-US"/>
        </w:rPr>
      </w:pPr>
      <w:r w:rsidRPr="00D256AD">
        <w:rPr>
          <w:lang w:val="en-US"/>
        </w:rPr>
        <w:t xml:space="preserve">Activity 3.2.2 </w:t>
      </w:r>
      <w:r w:rsidR="008427AA" w:rsidRPr="00D256AD">
        <w:rPr>
          <w:lang w:val="en-US"/>
        </w:rPr>
        <w:tab/>
      </w:r>
      <w:r w:rsidR="006E772E">
        <w:rPr>
          <w:lang w:val="en-US"/>
        </w:rPr>
        <w:t>Establish</w:t>
      </w:r>
      <w:r w:rsidR="007B7326">
        <w:rPr>
          <w:lang w:val="en-US"/>
        </w:rPr>
        <w:t xml:space="preserve">, </w:t>
      </w:r>
      <w:r w:rsidR="004C4E4A">
        <w:rPr>
          <w:lang w:val="en-US"/>
        </w:rPr>
        <w:t xml:space="preserve">operate </w:t>
      </w:r>
      <w:r w:rsidR="007B7326">
        <w:rPr>
          <w:lang w:val="en-US"/>
        </w:rPr>
        <w:t xml:space="preserve">and manage </w:t>
      </w:r>
      <w:r w:rsidR="004C4E4A">
        <w:rPr>
          <w:lang w:val="en-US"/>
        </w:rPr>
        <w:t xml:space="preserve">the Pilot NAMA </w:t>
      </w:r>
      <w:r w:rsidR="00782F87">
        <w:rPr>
          <w:lang w:val="en-US"/>
        </w:rPr>
        <w:t>funding mechanism</w:t>
      </w:r>
      <w:r w:rsidR="00B71B33">
        <w:rPr>
          <w:lang w:val="en-US"/>
        </w:rPr>
        <w:t xml:space="preserve"> / </w:t>
      </w:r>
      <w:r w:rsidR="00F11201">
        <w:rPr>
          <w:lang w:val="en-US"/>
        </w:rPr>
        <w:t>credit line / fund</w:t>
      </w:r>
      <w:r w:rsidR="004C4E4A">
        <w:rPr>
          <w:lang w:val="en-US"/>
        </w:rPr>
        <w:t xml:space="preserve">. </w:t>
      </w:r>
      <w:r w:rsidR="00D256AD">
        <w:rPr>
          <w:lang w:val="en-US"/>
        </w:rPr>
        <w:t>This will include:</w:t>
      </w:r>
    </w:p>
    <w:p w14:paraId="681F4441" w14:textId="77777777" w:rsidR="00D256AD" w:rsidRDefault="00D256AD" w:rsidP="007D6892">
      <w:pPr>
        <w:pStyle w:val="Bodynumbered"/>
        <w:numPr>
          <w:ilvl w:val="0"/>
          <w:numId w:val="38"/>
        </w:numPr>
        <w:rPr>
          <w:lang w:val="en-US"/>
        </w:rPr>
      </w:pPr>
      <w:r w:rsidRPr="00D256AD">
        <w:rPr>
          <w:lang w:val="en-US"/>
        </w:rPr>
        <w:t xml:space="preserve">conclusion of an agreement with </w:t>
      </w:r>
      <w:r>
        <w:rPr>
          <w:lang w:val="en-US"/>
        </w:rPr>
        <w:t xml:space="preserve">NMF to </w:t>
      </w:r>
      <w:r w:rsidRPr="00D256AD">
        <w:rPr>
          <w:lang w:val="en-US"/>
        </w:rPr>
        <w:t>creat</w:t>
      </w:r>
      <w:r>
        <w:rPr>
          <w:lang w:val="en-US"/>
        </w:rPr>
        <w:t>e</w:t>
      </w:r>
      <w:r w:rsidRPr="00D256AD">
        <w:rPr>
          <w:lang w:val="en-US"/>
        </w:rPr>
        <w:t xml:space="preserve"> a legal and institutional framework </w:t>
      </w:r>
      <w:r>
        <w:rPr>
          <w:lang w:val="en-US"/>
        </w:rPr>
        <w:t xml:space="preserve">and management structure </w:t>
      </w:r>
      <w:r w:rsidRPr="00D256AD">
        <w:rPr>
          <w:lang w:val="en-US"/>
        </w:rPr>
        <w:t>for the functioning of the</w:t>
      </w:r>
      <w:r>
        <w:rPr>
          <w:lang w:val="en-US"/>
        </w:rPr>
        <w:t xml:space="preserve"> credit line</w:t>
      </w:r>
      <w:r w:rsidRPr="00D256AD">
        <w:rPr>
          <w:lang w:val="en-US"/>
        </w:rPr>
        <w:t xml:space="preserve">; </w:t>
      </w:r>
    </w:p>
    <w:p w14:paraId="128A7018" w14:textId="77777777" w:rsidR="00D256AD" w:rsidRDefault="00D256AD" w:rsidP="007D6892">
      <w:pPr>
        <w:pStyle w:val="Bodynumbered"/>
        <w:numPr>
          <w:ilvl w:val="0"/>
          <w:numId w:val="38"/>
        </w:numPr>
        <w:rPr>
          <w:lang w:val="en-US"/>
        </w:rPr>
      </w:pPr>
      <w:r w:rsidRPr="00D256AD">
        <w:rPr>
          <w:lang w:val="en-US"/>
        </w:rPr>
        <w:t xml:space="preserve">endorsement of </w:t>
      </w:r>
      <w:r>
        <w:rPr>
          <w:lang w:val="en-US"/>
        </w:rPr>
        <w:t xml:space="preserve">a </w:t>
      </w:r>
      <w:r w:rsidRPr="00D256AD">
        <w:rPr>
          <w:lang w:val="en-US"/>
        </w:rPr>
        <w:t xml:space="preserve">list of eligible </w:t>
      </w:r>
      <w:r>
        <w:rPr>
          <w:lang w:val="en-US"/>
        </w:rPr>
        <w:t>technologies, eligibility requirements, size of grants (if required) based on project mitigation performance</w:t>
      </w:r>
      <w:r w:rsidRPr="00D256AD">
        <w:rPr>
          <w:lang w:val="en-US"/>
        </w:rPr>
        <w:t xml:space="preserve">; </w:t>
      </w:r>
    </w:p>
    <w:p w14:paraId="63FB1392" w14:textId="77777777" w:rsidR="00D256AD" w:rsidRDefault="00D256AD" w:rsidP="007D6892">
      <w:pPr>
        <w:pStyle w:val="Bodynumbered"/>
        <w:numPr>
          <w:ilvl w:val="0"/>
          <w:numId w:val="38"/>
        </w:numPr>
        <w:rPr>
          <w:lang w:val="en-US"/>
        </w:rPr>
      </w:pPr>
      <w:r w:rsidRPr="00D256AD">
        <w:rPr>
          <w:lang w:val="en-US"/>
        </w:rPr>
        <w:t>preparation and dissemination of the information package</w:t>
      </w:r>
      <w:r>
        <w:rPr>
          <w:lang w:val="en-US"/>
        </w:rPr>
        <w:t>s</w:t>
      </w:r>
      <w:r w:rsidRPr="00D256AD">
        <w:rPr>
          <w:lang w:val="en-US"/>
        </w:rPr>
        <w:t xml:space="preserve"> on the </w:t>
      </w:r>
      <w:r>
        <w:rPr>
          <w:lang w:val="en-US"/>
        </w:rPr>
        <w:t xml:space="preserve">credit line </w:t>
      </w:r>
      <w:r w:rsidRPr="00D256AD">
        <w:rPr>
          <w:lang w:val="en-US"/>
        </w:rPr>
        <w:t>to potential borrowers (e.g. via meetings, information leaflets and posters, workshops &amp; seminars)</w:t>
      </w:r>
      <w:r>
        <w:rPr>
          <w:lang w:val="en-US"/>
        </w:rPr>
        <w:t>, principally the investment projects from Component 1 and 2</w:t>
      </w:r>
      <w:r w:rsidRPr="00D256AD">
        <w:rPr>
          <w:lang w:val="en-US"/>
        </w:rPr>
        <w:t xml:space="preserve">; </w:t>
      </w:r>
    </w:p>
    <w:p w14:paraId="322AB37D" w14:textId="77777777" w:rsidR="00D256AD" w:rsidRDefault="00D256AD" w:rsidP="007D6892">
      <w:pPr>
        <w:pStyle w:val="Bodynumbered"/>
        <w:numPr>
          <w:ilvl w:val="0"/>
          <w:numId w:val="38"/>
        </w:numPr>
        <w:rPr>
          <w:lang w:val="en-US"/>
        </w:rPr>
      </w:pPr>
      <w:r w:rsidRPr="00D256AD">
        <w:rPr>
          <w:lang w:val="en-US"/>
        </w:rPr>
        <w:t xml:space="preserve">consultations with prospective borrowers on alignment of their project with list of eligible activities; </w:t>
      </w:r>
    </w:p>
    <w:p w14:paraId="2B348805" w14:textId="77777777" w:rsidR="00D256AD" w:rsidRDefault="00D256AD" w:rsidP="007D6892">
      <w:pPr>
        <w:pStyle w:val="Bodynumbered"/>
        <w:numPr>
          <w:ilvl w:val="0"/>
          <w:numId w:val="38"/>
        </w:numPr>
        <w:rPr>
          <w:lang w:val="en-US"/>
        </w:rPr>
      </w:pPr>
      <w:r w:rsidRPr="00D256AD">
        <w:rPr>
          <w:lang w:val="en-US"/>
        </w:rPr>
        <w:t>screening and approval of</w:t>
      </w:r>
      <w:r>
        <w:rPr>
          <w:lang w:val="en-US"/>
        </w:rPr>
        <w:t xml:space="preserve"> applications</w:t>
      </w:r>
      <w:r w:rsidRPr="00D256AD">
        <w:rPr>
          <w:lang w:val="en-US"/>
        </w:rPr>
        <w:t>;</w:t>
      </w:r>
    </w:p>
    <w:p w14:paraId="1952F7D8" w14:textId="77777777" w:rsidR="00D256AD" w:rsidRPr="00D256AD" w:rsidRDefault="00D256AD" w:rsidP="007D6892">
      <w:pPr>
        <w:pStyle w:val="Bodynumbered"/>
        <w:numPr>
          <w:ilvl w:val="0"/>
          <w:numId w:val="38"/>
        </w:numPr>
        <w:rPr>
          <w:lang w:val="en-US"/>
        </w:rPr>
      </w:pPr>
      <w:r w:rsidRPr="00D256AD">
        <w:rPr>
          <w:lang w:val="en-US"/>
        </w:rPr>
        <w:t xml:space="preserve">conclusion of an agreement with </w:t>
      </w:r>
      <w:r>
        <w:rPr>
          <w:lang w:val="en-US"/>
        </w:rPr>
        <w:t>NM</w:t>
      </w:r>
      <w:r w:rsidR="00E75031">
        <w:rPr>
          <w:lang w:val="en-US"/>
        </w:rPr>
        <w:t>F</w:t>
      </w:r>
      <w:r w:rsidRPr="00D256AD">
        <w:rPr>
          <w:lang w:val="en-US"/>
        </w:rPr>
        <w:t xml:space="preserve"> on continuation of this </w:t>
      </w:r>
      <w:r>
        <w:rPr>
          <w:lang w:val="en-US"/>
        </w:rPr>
        <w:t>credit line after the end of the project</w:t>
      </w:r>
    </w:p>
    <w:p w14:paraId="1EFACCA6" w14:textId="77777777" w:rsidR="007E03A9" w:rsidRDefault="007B7326" w:rsidP="00F11201">
      <w:pPr>
        <w:spacing w:line="276" w:lineRule="auto"/>
        <w:ind w:left="1440" w:hanging="1440"/>
        <w:jc w:val="left"/>
        <w:rPr>
          <w:lang w:val="en-US"/>
        </w:rPr>
      </w:pPr>
      <w:r>
        <w:rPr>
          <w:lang w:val="en-US"/>
        </w:rPr>
        <w:t xml:space="preserve">Activity 3.2.3 </w:t>
      </w:r>
      <w:r w:rsidR="008427AA">
        <w:rPr>
          <w:lang w:val="en-US"/>
        </w:rPr>
        <w:tab/>
      </w:r>
      <w:r>
        <w:rPr>
          <w:lang w:val="en-US"/>
        </w:rPr>
        <w:t xml:space="preserve">Evaluate the performance of the Pilot NAMA </w:t>
      </w:r>
      <w:r w:rsidR="00782F87">
        <w:rPr>
          <w:lang w:val="en-US"/>
        </w:rPr>
        <w:t>funding mechanism</w:t>
      </w:r>
      <w:r>
        <w:rPr>
          <w:lang w:val="en-US"/>
        </w:rPr>
        <w:t>.</w:t>
      </w:r>
    </w:p>
    <w:p w14:paraId="1689B21B" w14:textId="77777777" w:rsidR="006677E0" w:rsidRPr="006677E0" w:rsidRDefault="006677E0" w:rsidP="006677E0">
      <w:pPr>
        <w:ind w:left="1440" w:hanging="1080"/>
        <w:rPr>
          <w:b/>
          <w:i/>
        </w:rPr>
      </w:pPr>
    </w:p>
    <w:p w14:paraId="3B827952" w14:textId="77777777" w:rsidR="006677E0" w:rsidRDefault="006677E0" w:rsidP="006677E0">
      <w:pPr>
        <w:ind w:left="1440" w:hanging="1080"/>
        <w:rPr>
          <w:b/>
          <w:i/>
        </w:rPr>
      </w:pPr>
      <w:r w:rsidRPr="006677E0">
        <w:rPr>
          <w:b/>
          <w:i/>
        </w:rPr>
        <w:t>Output 3.3 Financing for pilot NAMA project</w:t>
      </w:r>
      <w:r w:rsidR="00155A66">
        <w:rPr>
          <w:b/>
          <w:i/>
        </w:rPr>
        <w:t>s</w:t>
      </w:r>
      <w:r w:rsidRPr="006677E0">
        <w:rPr>
          <w:b/>
          <w:i/>
        </w:rPr>
        <w:t xml:space="preserve"> facilitated</w:t>
      </w:r>
    </w:p>
    <w:p w14:paraId="17750B85" w14:textId="77777777" w:rsidR="007E03A9" w:rsidRPr="003A0D61" w:rsidRDefault="003A0D61" w:rsidP="007E03A9">
      <w:pPr>
        <w:pStyle w:val="Bodynumbered"/>
        <w:rPr>
          <w:lang w:val="en-US"/>
        </w:rPr>
      </w:pPr>
      <w:r w:rsidRPr="003A0D61">
        <w:rPr>
          <w:lang w:val="en-US"/>
        </w:rPr>
        <w:t xml:space="preserve">This activity will facilitate financing for the urban NAMAs by providing a brokerage </w:t>
      </w:r>
      <w:r>
        <w:rPr>
          <w:lang w:val="en-US"/>
        </w:rPr>
        <w:t>type support to financers, investors and the NAMAs to facilitate the investments. This addresses the gaps between the financiers who have available (concessional) investments, and the projects that are looking for funding.</w:t>
      </w:r>
      <w:r w:rsidR="007A3BB6">
        <w:rPr>
          <w:lang w:val="en-US"/>
        </w:rPr>
        <w:t xml:space="preserve"> The activities will </w:t>
      </w:r>
      <w:r w:rsidR="000B0E27">
        <w:rPr>
          <w:lang w:val="en-US"/>
        </w:rPr>
        <w:t xml:space="preserve">provide inputs to, and </w:t>
      </w:r>
      <w:r w:rsidR="007A3BB6">
        <w:rPr>
          <w:lang w:val="en-US"/>
        </w:rPr>
        <w:t>build on the concepts and proposals developed under output 2.2</w:t>
      </w:r>
      <w:r w:rsidR="000B0E27">
        <w:rPr>
          <w:lang w:val="en-US"/>
        </w:rPr>
        <w:t>.</w:t>
      </w:r>
    </w:p>
    <w:p w14:paraId="0047A0CC" w14:textId="77777777" w:rsidR="007E03A9" w:rsidRPr="003A0D61" w:rsidRDefault="007E03A9" w:rsidP="007E03A9">
      <w:pPr>
        <w:pStyle w:val="Bodynumbered"/>
        <w:rPr>
          <w:lang w:val="en-US"/>
        </w:rPr>
      </w:pPr>
      <w:r w:rsidRPr="003A0D61">
        <w:rPr>
          <w:lang w:val="en-US"/>
        </w:rPr>
        <w:t xml:space="preserve">Delivery of this Output will include the following specific activities. </w:t>
      </w:r>
    </w:p>
    <w:p w14:paraId="56F05D6B" w14:textId="084742AF" w:rsidR="006677E0" w:rsidRDefault="003A0D61" w:rsidP="007A3BB6">
      <w:pPr>
        <w:ind w:left="1440" w:hanging="1440"/>
        <w:jc w:val="left"/>
        <w:rPr>
          <w:lang w:val="en-US"/>
        </w:rPr>
      </w:pPr>
      <w:r>
        <w:rPr>
          <w:lang w:val="en-US"/>
        </w:rPr>
        <w:t>Activity 3.3.1 Introductory services for banks to</w:t>
      </w:r>
      <w:r w:rsidR="007A3BB6">
        <w:rPr>
          <w:lang w:val="en-US"/>
        </w:rPr>
        <w:t xml:space="preserve"> connect them with </w:t>
      </w:r>
      <w:r>
        <w:rPr>
          <w:lang w:val="en-US"/>
        </w:rPr>
        <w:t>municipalities and project developers</w:t>
      </w:r>
      <w:r w:rsidR="007A3BB6">
        <w:rPr>
          <w:lang w:val="en-US"/>
        </w:rPr>
        <w:t>. This will include field trips to municipalities</w:t>
      </w:r>
      <w:r w:rsidR="00B66ECF">
        <w:rPr>
          <w:lang w:val="en-US"/>
        </w:rPr>
        <w:t>.</w:t>
      </w:r>
    </w:p>
    <w:p w14:paraId="5E3CAB43" w14:textId="77777777" w:rsidR="007A3BB6" w:rsidRPr="007A3BB6" w:rsidRDefault="007A3BB6" w:rsidP="007A3BB6">
      <w:pPr>
        <w:ind w:left="1440" w:hanging="1440"/>
        <w:jc w:val="left"/>
        <w:rPr>
          <w:lang w:val="en-US"/>
        </w:rPr>
      </w:pPr>
    </w:p>
    <w:p w14:paraId="588305F3" w14:textId="77777777" w:rsidR="006677E0" w:rsidRDefault="006677E0" w:rsidP="006677E0">
      <w:pPr>
        <w:ind w:left="1440" w:hanging="1080"/>
        <w:jc w:val="left"/>
        <w:rPr>
          <w:b/>
          <w:i/>
        </w:rPr>
      </w:pPr>
      <w:r w:rsidRPr="006677E0">
        <w:rPr>
          <w:b/>
          <w:i/>
        </w:rPr>
        <w:t>Output 3.4 Funding diversification strategy and mechanisms to leverage additional financing from public, private and international sources of funding developed</w:t>
      </w:r>
    </w:p>
    <w:p w14:paraId="35882899" w14:textId="77777777" w:rsidR="00DA5B1C" w:rsidRDefault="007A3BB6" w:rsidP="006B78C7">
      <w:pPr>
        <w:pStyle w:val="Bodynumbered"/>
        <w:rPr>
          <w:lang w:val="en-US"/>
        </w:rPr>
      </w:pPr>
      <w:r>
        <w:rPr>
          <w:lang w:val="en-US"/>
        </w:rPr>
        <w:t xml:space="preserve">While GEF funds will be used under Output 3.1 to seed the pilot fund, for future scale-up of the approach and much wider adoption of the NAMA mechanism in low carbon urban development </w:t>
      </w:r>
      <w:r w:rsidR="00DA5B1C">
        <w:rPr>
          <w:lang w:val="en-US"/>
        </w:rPr>
        <w:t>additional financing will be needed. As such, it is</w:t>
      </w:r>
      <w:r w:rsidR="00E422F3">
        <w:rPr>
          <w:lang w:val="en-US"/>
        </w:rPr>
        <w:t xml:space="preserve"> necessary to establish a funding </w:t>
      </w:r>
      <w:r w:rsidR="00380CBD">
        <w:rPr>
          <w:lang w:val="en-US"/>
        </w:rPr>
        <w:t>diversification</w:t>
      </w:r>
      <w:r w:rsidR="00E422F3">
        <w:rPr>
          <w:lang w:val="en-US"/>
        </w:rPr>
        <w:t xml:space="preserve"> strategy and propose mechanisms to allow for leveraging of addition </w:t>
      </w:r>
      <w:r>
        <w:rPr>
          <w:lang w:val="en-US"/>
        </w:rPr>
        <w:t xml:space="preserve">contributions to the NAMA fund </w:t>
      </w:r>
      <w:r w:rsidR="00E422F3">
        <w:rPr>
          <w:lang w:val="en-US"/>
        </w:rPr>
        <w:t xml:space="preserve">from a </w:t>
      </w:r>
      <w:r>
        <w:rPr>
          <w:lang w:val="en-US"/>
        </w:rPr>
        <w:t xml:space="preserve">broad </w:t>
      </w:r>
      <w:r w:rsidR="00E422F3">
        <w:rPr>
          <w:lang w:val="en-US"/>
        </w:rPr>
        <w:t>range of sources.</w:t>
      </w:r>
      <w:r>
        <w:rPr>
          <w:lang w:val="en-US"/>
        </w:rPr>
        <w:t xml:space="preserve"> This output will address this need.</w:t>
      </w:r>
      <w:r w:rsidR="00E422F3">
        <w:rPr>
          <w:lang w:val="en-US"/>
        </w:rPr>
        <w:t xml:space="preserve"> </w:t>
      </w:r>
    </w:p>
    <w:p w14:paraId="438A4FF2" w14:textId="77777777" w:rsidR="006B78C7" w:rsidRDefault="006B78C7" w:rsidP="006B78C7">
      <w:pPr>
        <w:pStyle w:val="Bodynumbered"/>
        <w:rPr>
          <w:lang w:val="en-US"/>
        </w:rPr>
      </w:pPr>
      <w:r w:rsidRPr="005B5602">
        <w:rPr>
          <w:lang w:val="en-US"/>
        </w:rPr>
        <w:t xml:space="preserve">Delivery of this </w:t>
      </w:r>
      <w:r>
        <w:rPr>
          <w:lang w:val="en-US"/>
        </w:rPr>
        <w:t>O</w:t>
      </w:r>
      <w:r w:rsidRPr="005B5602">
        <w:rPr>
          <w:lang w:val="en-US"/>
        </w:rPr>
        <w:t xml:space="preserve">utput will include the following specific activities. </w:t>
      </w:r>
    </w:p>
    <w:p w14:paraId="2C29D301" w14:textId="77777777" w:rsidR="006B78C7" w:rsidRDefault="006B78C7" w:rsidP="006B78C7">
      <w:pPr>
        <w:ind w:left="1440" w:hanging="1440"/>
        <w:jc w:val="left"/>
        <w:rPr>
          <w:lang w:val="en-US"/>
        </w:rPr>
      </w:pPr>
      <w:r>
        <w:rPr>
          <w:lang w:val="en-US"/>
        </w:rPr>
        <w:t>Activity 3.</w:t>
      </w:r>
      <w:r w:rsidR="005952C0">
        <w:rPr>
          <w:lang w:val="en-US"/>
        </w:rPr>
        <w:t>4</w:t>
      </w:r>
      <w:r>
        <w:rPr>
          <w:lang w:val="en-US"/>
        </w:rPr>
        <w:t xml:space="preserve">.1 </w:t>
      </w:r>
      <w:r w:rsidR="007842A9">
        <w:rPr>
          <w:lang w:val="en-US"/>
        </w:rPr>
        <w:t>Review and analyze the existing funding sources available from public, private and international sources within Kazakhstan.</w:t>
      </w:r>
    </w:p>
    <w:p w14:paraId="5B9089E7" w14:textId="77777777" w:rsidR="00380CBD" w:rsidRDefault="007842A9" w:rsidP="006B78C7">
      <w:pPr>
        <w:ind w:left="1440" w:hanging="1440"/>
        <w:jc w:val="left"/>
        <w:rPr>
          <w:lang w:val="en-US"/>
        </w:rPr>
      </w:pPr>
      <w:r>
        <w:rPr>
          <w:lang w:val="en-US"/>
        </w:rPr>
        <w:t>Activity 3.</w:t>
      </w:r>
      <w:r w:rsidR="005952C0">
        <w:rPr>
          <w:lang w:val="en-US"/>
        </w:rPr>
        <w:t>4</w:t>
      </w:r>
      <w:r>
        <w:rPr>
          <w:lang w:val="en-US"/>
        </w:rPr>
        <w:t xml:space="preserve">.2 </w:t>
      </w:r>
      <w:r w:rsidR="00380CBD">
        <w:rPr>
          <w:lang w:val="en-US"/>
        </w:rPr>
        <w:t>Review international practices for funding urban NAMAs to identify models suitable for adoption by Kazakhstan.</w:t>
      </w:r>
    </w:p>
    <w:p w14:paraId="53075A21" w14:textId="77777777" w:rsidR="00380CBD" w:rsidRDefault="00380CBD" w:rsidP="00380CBD">
      <w:pPr>
        <w:ind w:left="1440" w:hanging="1440"/>
        <w:jc w:val="left"/>
        <w:rPr>
          <w:lang w:val="en-US"/>
        </w:rPr>
      </w:pPr>
      <w:r>
        <w:rPr>
          <w:lang w:val="en-US"/>
        </w:rPr>
        <w:t>Activity 3.</w:t>
      </w:r>
      <w:r w:rsidR="005952C0">
        <w:rPr>
          <w:lang w:val="en-US"/>
        </w:rPr>
        <w:t>4</w:t>
      </w:r>
      <w:r>
        <w:rPr>
          <w:lang w:val="en-US"/>
        </w:rPr>
        <w:t>.3 Conduct a multi-stakeholder consultation process to review options, and gather insight on discuss the options and other sources for NAMAs</w:t>
      </w:r>
    </w:p>
    <w:p w14:paraId="5C197D74" w14:textId="77777777" w:rsidR="00380CBD" w:rsidRDefault="00380CBD" w:rsidP="00380CBD">
      <w:pPr>
        <w:ind w:left="1440" w:hanging="1440"/>
        <w:jc w:val="left"/>
        <w:rPr>
          <w:lang w:val="en-US"/>
        </w:rPr>
      </w:pPr>
      <w:r>
        <w:rPr>
          <w:lang w:val="en-US"/>
        </w:rPr>
        <w:t>Activity 3.</w:t>
      </w:r>
      <w:r w:rsidR="005952C0">
        <w:rPr>
          <w:lang w:val="en-US"/>
        </w:rPr>
        <w:t>4</w:t>
      </w:r>
      <w:r>
        <w:rPr>
          <w:lang w:val="en-US"/>
        </w:rPr>
        <w:t>.4 Develop a diversification strategy and associated leveraging mechanisms.</w:t>
      </w:r>
    </w:p>
    <w:p w14:paraId="58EEA055" w14:textId="77777777" w:rsidR="005B02B2" w:rsidRPr="005B5602" w:rsidRDefault="005B02B2" w:rsidP="005B02B2"/>
    <w:p w14:paraId="5589CADF" w14:textId="77777777" w:rsidR="005B02B2" w:rsidRPr="005B5602" w:rsidRDefault="005B02B2" w:rsidP="004445B5">
      <w:pPr>
        <w:pStyle w:val="Heading3"/>
      </w:pPr>
      <w:bookmarkStart w:id="53" w:name="_Toc362384279"/>
      <w:bookmarkStart w:id="54" w:name="_Toc393448995"/>
      <w:r w:rsidRPr="005B5602">
        <w:t xml:space="preserve">Component 4: Implementation of </w:t>
      </w:r>
      <w:r w:rsidR="005D304B" w:rsidRPr="005B5602">
        <w:t xml:space="preserve">pilot </w:t>
      </w:r>
      <w:r w:rsidRPr="005B5602">
        <w:t>urban NAMA</w:t>
      </w:r>
      <w:bookmarkEnd w:id="53"/>
      <w:bookmarkEnd w:id="54"/>
    </w:p>
    <w:p w14:paraId="2238BFBB" w14:textId="77777777" w:rsidR="006D76A4" w:rsidRDefault="00E13FA2" w:rsidP="006D76A4">
      <w:pPr>
        <w:pStyle w:val="Bodynumbered"/>
      </w:pPr>
      <w:r w:rsidRPr="005B5602">
        <w:t xml:space="preserve">The desired Outcome of Component 4 </w:t>
      </w:r>
      <w:r w:rsidRPr="007A3BB6">
        <w:t>is</w:t>
      </w:r>
      <w:r w:rsidR="006677E0" w:rsidRPr="007A3BB6">
        <w:t xml:space="preserve"> that a</w:t>
      </w:r>
      <w:r w:rsidRPr="007A3BB6">
        <w:t xml:space="preserve"> “Pilot project demonstrates feasibility of urban emission reduction for future replication” (Outcome 4). </w:t>
      </w:r>
      <w:r w:rsidR="007A3BB6">
        <w:t xml:space="preserve">The intention is to progress rapidly with a pilot NAMA that </w:t>
      </w:r>
      <w:r w:rsidR="00F30B3C">
        <w:t>tests</w:t>
      </w:r>
      <w:r w:rsidR="007A3BB6">
        <w:t xml:space="preserve"> some of the key characteristic of a NAMA project in a generally easi</w:t>
      </w:r>
      <w:r w:rsidR="006D76A4">
        <w:t>er and more controlled way than would be the case for the other NAMAs developed under components 1 to 3.</w:t>
      </w:r>
      <w:r w:rsidR="00BB3E79">
        <w:t xml:space="preserve"> </w:t>
      </w:r>
      <w:r w:rsidR="006D76A4">
        <w:t>In particular the pilot NAMA does not require loan finance, and baseline financing has already been identified. In addition there is a strong political will to implement the project which may not be present initially in other cities.</w:t>
      </w:r>
      <w:r w:rsidR="00F30B3C">
        <w:t xml:space="preserve"> </w:t>
      </w:r>
      <w:r w:rsidR="007A3BB6">
        <w:t xml:space="preserve"> </w:t>
      </w:r>
      <w:r w:rsidR="00BB3E79">
        <w:t xml:space="preserve">If possible, the </w:t>
      </w:r>
      <w:r w:rsidR="00782F87">
        <w:t>financing mechanisms</w:t>
      </w:r>
      <w:r w:rsidR="00BB3E79">
        <w:t xml:space="preserve"> within the NMF created above will be tested within this component. </w:t>
      </w:r>
      <w:r w:rsidR="006D76A4">
        <w:t>This component will benefit from Investment funding from the GEF, and result in one Output:</w:t>
      </w:r>
    </w:p>
    <w:p w14:paraId="76201FEE" w14:textId="77777777" w:rsidR="00E13FA2" w:rsidRPr="005B5602" w:rsidRDefault="00E13FA2" w:rsidP="006D76A4">
      <w:pPr>
        <w:ind w:left="1440" w:hanging="1080"/>
      </w:pPr>
      <w:r w:rsidRPr="007A3BB6">
        <w:t xml:space="preserve">Output 4.1 Prigorodnoye urban NAMA project implemented, which pilots the concept of urban NAMA in the district of </w:t>
      </w:r>
      <w:r w:rsidR="004514C0" w:rsidRPr="007A3BB6">
        <w:t>Prigorodnoye</w:t>
      </w:r>
      <w:r w:rsidRPr="007A3BB6">
        <w:t xml:space="preserve"> in the capital city of Astana.</w:t>
      </w:r>
      <w:r w:rsidRPr="005B5602">
        <w:t xml:space="preserve"> </w:t>
      </w:r>
    </w:p>
    <w:p w14:paraId="4975D3BD" w14:textId="77777777" w:rsidR="00E13FA2" w:rsidRPr="005B5602" w:rsidRDefault="004514C0" w:rsidP="006D76A4">
      <w:pPr>
        <w:pStyle w:val="Bodynumbered"/>
      </w:pPr>
      <w:r>
        <w:t>Prigorodnoye</w:t>
      </w:r>
      <w:r w:rsidR="00E13FA2" w:rsidRPr="005B5602">
        <w:t xml:space="preserve"> is situated close to Astana international airport, and is a small residential area of 2 km</w:t>
      </w:r>
      <w:r w:rsidR="00E13FA2" w:rsidRPr="006D76A4">
        <w:rPr>
          <w:vertAlign w:val="superscript"/>
        </w:rPr>
        <w:t>2</w:t>
      </w:r>
      <w:r w:rsidR="00E13FA2" w:rsidRPr="005B5602">
        <w:t xml:space="preserve"> with a compactly living population of 2,200 inhabitants. </w:t>
      </w:r>
      <w:r>
        <w:t>Prigorodnoye</w:t>
      </w:r>
      <w:r w:rsidR="00E13FA2" w:rsidRPr="005B5602">
        <w:t xml:space="preserve"> is divided into two main parts: the old part (35-40 years old), which consists of </w:t>
      </w:r>
      <w:r w:rsidR="00271B34">
        <w:t>6</w:t>
      </w:r>
      <w:r w:rsidR="00271B34" w:rsidRPr="005B5602">
        <w:t xml:space="preserve"> </w:t>
      </w:r>
      <w:r w:rsidR="00E13FA2" w:rsidRPr="005B5602">
        <w:t xml:space="preserve">multi-apartment buildings (636 apartments in total) and </w:t>
      </w:r>
      <w:r w:rsidR="00A3207A">
        <w:t xml:space="preserve">a </w:t>
      </w:r>
      <w:r w:rsidR="00E13FA2" w:rsidRPr="005B5602">
        <w:t xml:space="preserve">kindergarten and </w:t>
      </w:r>
      <w:r w:rsidR="00A3207A">
        <w:t xml:space="preserve">a </w:t>
      </w:r>
      <w:r w:rsidR="00E13FA2" w:rsidRPr="005B5602">
        <w:t xml:space="preserve">school, and the currently expanding new part, which is seeing the construction of a residential community consisting of more than 80 individual </w:t>
      </w:r>
      <w:r w:rsidR="00E13FA2" w:rsidRPr="006677E0">
        <w:t xml:space="preserve">houses (established by NSC RK) and the Yuzhnyi residential complex. The outdated equipment of the existing boiler house, which provides </w:t>
      </w:r>
      <w:r w:rsidR="0008719E">
        <w:t>9,500</w:t>
      </w:r>
      <w:r w:rsidR="00E13FA2" w:rsidRPr="006677E0">
        <w:t xml:space="preserve"> </w:t>
      </w:r>
      <w:r w:rsidR="0008719E">
        <w:t>Gcal</w:t>
      </w:r>
      <w:r w:rsidR="00E13FA2" w:rsidRPr="006677E0">
        <w:t xml:space="preserve">/y heat (but not hot water) to the old part of </w:t>
      </w:r>
      <w:r>
        <w:t>Prigorodnoye</w:t>
      </w:r>
      <w:r w:rsidR="006677E0" w:rsidRPr="006677E0">
        <w:t>,</w:t>
      </w:r>
      <w:r w:rsidR="00E13FA2" w:rsidRPr="006677E0">
        <w:t xml:space="preserve"> is inefficient and GHG-intensive. The addition of the new part of </w:t>
      </w:r>
      <w:r>
        <w:t>Prigorodnoye</w:t>
      </w:r>
      <w:r w:rsidR="00E13FA2" w:rsidRPr="006677E0">
        <w:t xml:space="preserve"> is causing additional heating demands that exceed the existing boiler house, which consists of 6 boilers (gross capacity of 3.9 Gcal/h</w:t>
      </w:r>
      <w:r w:rsidR="006677E0" w:rsidRPr="006677E0">
        <w:t>) that</w:t>
      </w:r>
      <w:r w:rsidR="00E13FA2" w:rsidRPr="006677E0">
        <w:t xml:space="preserve"> were installed in 1965. As a result of depreciation and district growth, apartments (especially the insulation of the building envelope and heating units)</w:t>
      </w:r>
      <w:r w:rsidR="00E13FA2" w:rsidRPr="005B5602">
        <w:t xml:space="preserve"> and energy supply infrastructure require renovation, rehabilitation and expansion. </w:t>
      </w:r>
    </w:p>
    <w:p w14:paraId="4848D140" w14:textId="77777777" w:rsidR="00E13FA2" w:rsidRPr="006677E0" w:rsidRDefault="00E13FA2" w:rsidP="006D76A4">
      <w:pPr>
        <w:pStyle w:val="Bodynumbered"/>
      </w:pPr>
      <w:r w:rsidRPr="005B5602">
        <w:t>As mentioned in</w:t>
      </w:r>
      <w:r w:rsidR="006677E0">
        <w:t xml:space="preserve"> Section</w:t>
      </w:r>
      <w:r w:rsidRPr="005B5602">
        <w:t xml:space="preserve"> </w:t>
      </w:r>
      <w:r w:rsidR="000C746E">
        <w:fldChar w:fldCharType="begin"/>
      </w:r>
      <w:r w:rsidR="000C746E">
        <w:instrText xml:space="preserve"> REF _Ref362369682 \r \h  \* MERGEFORMAT </w:instrText>
      </w:r>
      <w:r w:rsidR="000C746E">
        <w:fldChar w:fldCharType="separate"/>
      </w:r>
      <w:r w:rsidR="003B3B2B">
        <w:t>1.3</w:t>
      </w:r>
      <w:r w:rsidR="000C746E">
        <w:fldChar w:fldCharType="end"/>
      </w:r>
      <w:r w:rsidRPr="005B5602">
        <w:t xml:space="preserve">, the baseline activities in </w:t>
      </w:r>
      <w:r w:rsidR="004514C0" w:rsidRPr="004514C0">
        <w:t xml:space="preserve">Prigorodnoye </w:t>
      </w:r>
      <w:r w:rsidR="006677E0">
        <w:t>relate</w:t>
      </w:r>
      <w:r w:rsidRPr="005B5602">
        <w:t xml:space="preserve"> to the Government of Kazakhstan’s ambition to demonstrate a comprehen</w:t>
      </w:r>
      <w:r w:rsidR="006677E0">
        <w:t xml:space="preserve">sive approach to modernization, </w:t>
      </w:r>
      <w:r w:rsidRPr="005B5602">
        <w:t>in particular the management of urban areas and provision of sustainable and reliable publ</w:t>
      </w:r>
      <w:r w:rsidR="006677E0">
        <w:t>ic services to city’s residents</w:t>
      </w:r>
      <w:r w:rsidRPr="005B5602">
        <w:t xml:space="preserve">. For this, the Government and UNDP have committed USD 11 million </w:t>
      </w:r>
      <w:r w:rsidRPr="006677E0">
        <w:t>for program design and initial stage of implementation in 2013-2014 of a number of measures</w:t>
      </w:r>
      <w:r w:rsidR="007D4B28">
        <w:t xml:space="preserve"> including baseline activities to improve energy efficiency to technical norms in Kazakhstan</w:t>
      </w:r>
      <w:r w:rsidR="006677E0" w:rsidRPr="006677E0">
        <w:t>.</w:t>
      </w:r>
      <w:r w:rsidRPr="006677E0">
        <w:t xml:space="preserve"> UNDP has developed the technical design for the modernization program and worked out the appropriate institutional framework (involving MMC and Association of Apartment Owners), and structure financing for program implementation. </w:t>
      </w:r>
    </w:p>
    <w:p w14:paraId="2C906B0E" w14:textId="77777777" w:rsidR="00E13FA2" w:rsidRDefault="00E13FA2" w:rsidP="006D76A4">
      <w:pPr>
        <w:pStyle w:val="Bodynumbered"/>
      </w:pPr>
      <w:r w:rsidRPr="005B5602">
        <w:t xml:space="preserve">The potential for demonstration impact from the low carbon modernization of </w:t>
      </w:r>
      <w:r w:rsidR="004514C0">
        <w:t>Prigorodnoye</w:t>
      </w:r>
      <w:r w:rsidRPr="005B5602">
        <w:t xml:space="preserve"> derives from the similarity of the district to other settlements in Kazakhstan. For instance, in Astana alone there are 5 settlements with a similar structure to </w:t>
      </w:r>
      <w:r w:rsidR="004514C0">
        <w:t>Prigorodnoye</w:t>
      </w:r>
      <w:r w:rsidRPr="005B5602">
        <w:t xml:space="preserve">, i.e. which have residential multi-apartment buildings and administrative buildings connected to a coal-fired heat source. Such settlements, large cities with closely situated small towns that suffer from chronic underinvestment, resulting in a stock of ageing, obsolete and inefficient assets are typical for many oblasts in Kazakhstan. Testing the concept of urban NAMA in </w:t>
      </w:r>
      <w:r w:rsidR="004514C0">
        <w:t>Prigorodnoye</w:t>
      </w:r>
      <w:r w:rsidRPr="005B5602">
        <w:t xml:space="preserve"> for making possible low carbon modernization will therefore set an invaluable precedent for replication across Kazakhstan. </w:t>
      </w:r>
      <w:r w:rsidR="004514C0">
        <w:t>Prigorodnoye</w:t>
      </w:r>
      <w:r w:rsidRPr="005B5602">
        <w:t>’s demonstration effect will be further amplified by the fact that Astana will host Global Expo 2017 under the theme “Energy for the Future”. The district is ideally located (in the vicinity of Astana International Airport and exhibition center for EXPO) to serve as a demonstration platform for sustainable and low-carbon urban solutions in Kazakhstan and globally.</w:t>
      </w:r>
    </w:p>
    <w:p w14:paraId="3B67B3A8" w14:textId="77777777" w:rsidR="00F30B3C" w:rsidRDefault="00F30B3C" w:rsidP="00F30B3C">
      <w:pPr>
        <w:pStyle w:val="Bodynumbered"/>
      </w:pPr>
      <w:r>
        <w:t xml:space="preserve">The </w:t>
      </w:r>
      <w:r w:rsidRPr="00EC3EB4">
        <w:t>GEF funds will be used to invest in additional emission reduction measures, which go beyond the baseline requirement of national modernization program (NMP). The exact list of additional measures will be defined based on abatement cost curve for Prigorodnoye to be developed under Component 1 as part of urban NAMA design. For example, under NMP, it is mandatory to equip all residential buildings with heat meters and automated heat substations, however full thermal modernization is not required and is yet not commercially vi</w:t>
      </w:r>
      <w:r w:rsidR="00E53B67">
        <w:t>able investment for tenants or B</w:t>
      </w:r>
      <w:r w:rsidRPr="00EC3EB4">
        <w:t xml:space="preserve">MCs to invest on their own. Similarly, installation of decentralized renewable energy systems (such as solar rooftops or solar water heating) is not mandated under NMP, but can significant reduce district’s carbon footprint for its primary energy source is the coal-based </w:t>
      </w:r>
      <w:r w:rsidR="00FA1823">
        <w:t>boiler house</w:t>
      </w:r>
      <w:r w:rsidRPr="00EC3EB4">
        <w:t xml:space="preserve">. </w:t>
      </w:r>
      <w:r w:rsidR="00271B34">
        <w:rPr>
          <w:lang w:val="en-US"/>
        </w:rPr>
        <w:t xml:space="preserve">The set of measures preliminarily identified at the PPG stage, which include a complete renovation of the district heating system from the boiler (pipelines, variable speed drives) to the end-users (in-building substations with heat metering, integrated hot-water heat exchangers, radiator replacement),full thermal modernization of buildings and solar hot water generation to replace up to 10% of the district heating, are projected to yield 4,750 </w:t>
      </w:r>
      <w:r w:rsidR="00271B34">
        <w:t>tCO2/year in direct annual or  95,000 tCO2  in direct lifetime GHG emission reductions, which represents savings of 63% against the baseline</w:t>
      </w:r>
      <w:r w:rsidRPr="00EC3EB4">
        <w:rPr>
          <w:rStyle w:val="FootnoteReference"/>
          <w:sz w:val="22"/>
        </w:rPr>
        <w:footnoteReference w:id="25"/>
      </w:r>
      <w:r w:rsidRPr="00EC3EB4">
        <w:t>. The Government is fully committed to provide additional funding (above baseline) for demo-project to make sure the a</w:t>
      </w:r>
      <w:r>
        <w:t>mbitious target is met.</w:t>
      </w:r>
      <w:r w:rsidR="000100B4">
        <w:t xml:space="preserve"> Further details on the expected GHG emission reductions are provided in </w:t>
      </w:r>
      <w:r w:rsidR="00271B34">
        <w:t>Annex F</w:t>
      </w:r>
      <w:r w:rsidR="00A3207A">
        <w:t>.</w:t>
      </w:r>
      <w:r w:rsidR="000100B4">
        <w:t xml:space="preserve"> </w:t>
      </w:r>
    </w:p>
    <w:p w14:paraId="1463F705" w14:textId="77777777" w:rsidR="00F30B3C" w:rsidRPr="005B5602" w:rsidRDefault="00F30B3C" w:rsidP="00F30B3C">
      <w:pPr>
        <w:pStyle w:val="Bodynumbered"/>
      </w:pPr>
      <w:r>
        <w:t xml:space="preserve">Under </w:t>
      </w:r>
      <w:r w:rsidR="00271B34">
        <w:t xml:space="preserve">Component </w:t>
      </w:r>
      <w:r>
        <w:t xml:space="preserve">1 urban GHG inventories and baseline, and abatement potential and cost curves will be developed for Prigorodnoye, and project documentation (including this case tender documentation) will be developed under </w:t>
      </w:r>
      <w:r w:rsidR="00271B34">
        <w:t xml:space="preserve">Component </w:t>
      </w:r>
      <w:r>
        <w:t>2 for those investments with additional emission reduction measures that go beyond the baseline.</w:t>
      </w:r>
      <w:r w:rsidRPr="00F30B3C">
        <w:t xml:space="preserve"> </w:t>
      </w:r>
    </w:p>
    <w:p w14:paraId="5A083D20" w14:textId="6CF6C4B1" w:rsidR="00014BF6" w:rsidRDefault="00F865F0" w:rsidP="006D76A4">
      <w:pPr>
        <w:pStyle w:val="Bodynumbered"/>
      </w:pPr>
      <w:r>
        <w:t>T</w:t>
      </w:r>
      <w:r w:rsidRPr="005B5602">
        <w:t xml:space="preserve">he GEF contribution of USD 700,000 </w:t>
      </w:r>
      <w:r w:rsidR="00B4587D">
        <w:t>in i</w:t>
      </w:r>
      <w:r w:rsidR="006D76A4">
        <w:t xml:space="preserve">nvestment </w:t>
      </w:r>
      <w:r w:rsidRPr="005B5602">
        <w:t xml:space="preserve">will be used for </w:t>
      </w:r>
      <w:r w:rsidR="006D76A4">
        <w:t>the following activity</w:t>
      </w:r>
      <w:r>
        <w:t>:</w:t>
      </w:r>
    </w:p>
    <w:p w14:paraId="091DEB51" w14:textId="77777777" w:rsidR="0008719E" w:rsidRDefault="00014BF6" w:rsidP="00F30B3C">
      <w:pPr>
        <w:pStyle w:val="Bodynumbered"/>
        <w:numPr>
          <w:ilvl w:val="0"/>
          <w:numId w:val="0"/>
        </w:numPr>
        <w:spacing w:before="60" w:after="0"/>
        <w:ind w:left="720" w:hanging="360"/>
      </w:pPr>
      <w:r>
        <w:t xml:space="preserve">Activity 4.1.1 </w:t>
      </w:r>
      <w:r w:rsidR="00F30B3C">
        <w:t>Design and build the identified measures through a competitive tender.</w:t>
      </w:r>
    </w:p>
    <w:p w14:paraId="5BD92B1C" w14:textId="77777777" w:rsidR="00014BF6" w:rsidRDefault="0008719E" w:rsidP="00F30B3C">
      <w:pPr>
        <w:pStyle w:val="Bodynumbered"/>
        <w:numPr>
          <w:ilvl w:val="0"/>
          <w:numId w:val="0"/>
        </w:numPr>
        <w:spacing w:before="60" w:after="0"/>
        <w:ind w:left="720" w:hanging="360"/>
      </w:pPr>
      <w:r>
        <w:t>Activity 4.1.2 Design, establish and implement MRV system for the Prigorodnoye project</w:t>
      </w:r>
    </w:p>
    <w:p w14:paraId="3557C337" w14:textId="77777777" w:rsidR="00F865F0" w:rsidRPr="005B5602" w:rsidRDefault="00F865F0" w:rsidP="00014BF6">
      <w:pPr>
        <w:pStyle w:val="Bodynumbered"/>
        <w:numPr>
          <w:ilvl w:val="0"/>
          <w:numId w:val="0"/>
        </w:numPr>
        <w:spacing w:before="60" w:after="0"/>
        <w:ind w:left="720" w:hanging="360"/>
      </w:pPr>
    </w:p>
    <w:p w14:paraId="02E8D9FE" w14:textId="77777777" w:rsidR="005B02B2" w:rsidRPr="005B5602" w:rsidRDefault="005B02B2" w:rsidP="004445B5">
      <w:pPr>
        <w:pStyle w:val="Heading3"/>
      </w:pPr>
      <w:bookmarkStart w:id="55" w:name="_Ref362018971"/>
      <w:bookmarkStart w:id="56" w:name="_Toc362384280"/>
      <w:bookmarkStart w:id="57" w:name="_Toc393448996"/>
      <w:r w:rsidRPr="005B5602">
        <w:t xml:space="preserve">Component 5: </w:t>
      </w:r>
      <w:bookmarkEnd w:id="55"/>
      <w:bookmarkEnd w:id="56"/>
      <w:r w:rsidR="00B86D32">
        <w:t>Monitoring, verification and knowledge management</w:t>
      </w:r>
      <w:bookmarkEnd w:id="57"/>
    </w:p>
    <w:p w14:paraId="39FFA3EA" w14:textId="0A859046" w:rsidR="00E13FA2" w:rsidRPr="005B5602" w:rsidRDefault="00E13FA2" w:rsidP="006D76A4">
      <w:pPr>
        <w:pStyle w:val="Bodynumbered"/>
      </w:pPr>
      <w:r w:rsidRPr="005B5602">
        <w:t xml:space="preserve">Component 5 will serve the purpose of </w:t>
      </w:r>
      <w:r w:rsidR="00E35834">
        <w:t>linking</w:t>
      </w:r>
      <w:r w:rsidRPr="005B5602">
        <w:t xml:space="preserve"> the project into national GHG mitigation efforts, including through promoting better information </w:t>
      </w:r>
      <w:r w:rsidR="00E35834">
        <w:t xml:space="preserve">dissemination </w:t>
      </w:r>
      <w:r w:rsidRPr="005B5602">
        <w:t xml:space="preserve">to stakeholders and linking the NAMA process with the domestic Emission Trading Scheme (ETS) for industrial emitters. </w:t>
      </w:r>
      <w:r w:rsidR="005952C0">
        <w:t xml:space="preserve">While this has not been designed with NAMAs specifically in mind, the Ministry of Environment has indicated their intention to facilitate </w:t>
      </w:r>
      <w:r w:rsidR="00613D12">
        <w:t xml:space="preserve">this link. </w:t>
      </w:r>
      <w:r w:rsidRPr="005B5602">
        <w:t xml:space="preserve">As described in Section </w:t>
      </w:r>
      <w:r w:rsidR="000C746E">
        <w:fldChar w:fldCharType="begin"/>
      </w:r>
      <w:r w:rsidR="000C746E">
        <w:instrText xml:space="preserve"> REF _Ref362369682 \r \h  \* MERGEFORMAT </w:instrText>
      </w:r>
      <w:r w:rsidR="000C746E">
        <w:fldChar w:fldCharType="separate"/>
      </w:r>
      <w:r w:rsidR="003B3B2B">
        <w:t>1.3</w:t>
      </w:r>
      <w:r w:rsidR="000C746E">
        <w:fldChar w:fldCharType="end"/>
      </w:r>
      <w:r w:rsidRPr="005B5602">
        <w:t xml:space="preserve">, the Kazakh ETS </w:t>
      </w:r>
      <w:r w:rsidR="00B86D32">
        <w:t>will cover</w:t>
      </w:r>
      <w:r w:rsidRPr="005B5602">
        <w:t xml:space="preserve"> over 128,000 enterprises with annual emissions above 20,000 tCO</w:t>
      </w:r>
      <w:r w:rsidRPr="00E35834">
        <w:rPr>
          <w:vertAlign w:val="subscript"/>
        </w:rPr>
        <w:t>2</w:t>
      </w:r>
      <w:r w:rsidRPr="005B5602">
        <w:t xml:space="preserve"> and will include a national MRV and registry system with assistance from bilateral donors</w:t>
      </w:r>
      <w:r w:rsidR="00613D12">
        <w:t xml:space="preserve"> including the</w:t>
      </w:r>
      <w:r w:rsidRPr="005B5602">
        <w:t xml:space="preserve"> German Government and USAID. </w:t>
      </w:r>
    </w:p>
    <w:p w14:paraId="1F401C28" w14:textId="77777777" w:rsidR="00AB6F6B" w:rsidRDefault="00E13FA2" w:rsidP="006D76A4">
      <w:pPr>
        <w:pStyle w:val="Bodynumbered"/>
      </w:pPr>
      <w:r w:rsidRPr="005B5602">
        <w:t>Component 5 has two desired Outcomes, namely</w:t>
      </w:r>
      <w:r w:rsidR="00AB6F6B">
        <w:t>:</w:t>
      </w:r>
    </w:p>
    <w:p w14:paraId="7984F455" w14:textId="77777777" w:rsidR="00F071EB" w:rsidRPr="00F071EB" w:rsidRDefault="00F071EB" w:rsidP="00E35834">
      <w:pPr>
        <w:ind w:left="1440" w:hanging="1080"/>
      </w:pPr>
      <w:r w:rsidRPr="00F071EB">
        <w:t xml:space="preserve">Outcome 5a: </w:t>
      </w:r>
      <w:r w:rsidR="00E13FA2" w:rsidRPr="00F071EB">
        <w:t>GHG emission reduct</w:t>
      </w:r>
      <w:r w:rsidR="00AB6F6B" w:rsidRPr="00F071EB">
        <w:t>ions of implemented urban NAMAs</w:t>
      </w:r>
      <w:r w:rsidR="00E13FA2" w:rsidRPr="00F071EB">
        <w:t xml:space="preserve"> are systematically monitored, </w:t>
      </w:r>
      <w:r w:rsidRPr="00F071EB">
        <w:t xml:space="preserve">verified and </w:t>
      </w:r>
      <w:r w:rsidR="00E13FA2" w:rsidRPr="00F071EB">
        <w:t>reported</w:t>
      </w:r>
      <w:r w:rsidRPr="00F071EB">
        <w:t>;</w:t>
      </w:r>
      <w:r w:rsidR="00E13FA2" w:rsidRPr="00F071EB">
        <w:t xml:space="preserve"> and </w:t>
      </w:r>
    </w:p>
    <w:p w14:paraId="7C9E5DDB" w14:textId="77777777" w:rsidR="00F071EB" w:rsidRDefault="00F071EB" w:rsidP="00E35834">
      <w:pPr>
        <w:ind w:left="1440" w:hanging="1080"/>
      </w:pPr>
      <w:r w:rsidRPr="00F071EB">
        <w:t xml:space="preserve">Outcome 5b: </w:t>
      </w:r>
      <w:r w:rsidR="00E13FA2" w:rsidRPr="00F071EB">
        <w:t>Kazakh cities and towns are aware of</w:t>
      </w:r>
      <w:r>
        <w:t>,</w:t>
      </w:r>
      <w:r w:rsidR="00E13FA2" w:rsidRPr="00F071EB">
        <w:t xml:space="preserve"> and have access to</w:t>
      </w:r>
      <w:r>
        <w:t>,</w:t>
      </w:r>
      <w:r w:rsidR="00A54FD8">
        <w:t xml:space="preserve"> information and</w:t>
      </w:r>
      <w:r w:rsidR="00613D12">
        <w:t xml:space="preserve"> guidance on urban NAMAs</w:t>
      </w:r>
      <w:r w:rsidR="00E13FA2" w:rsidRPr="00F071EB">
        <w:t xml:space="preserve"> </w:t>
      </w:r>
    </w:p>
    <w:p w14:paraId="628399DC" w14:textId="77777777" w:rsidR="00F071EB" w:rsidRDefault="00F071EB" w:rsidP="00E35834">
      <w:pPr>
        <w:ind w:left="1440" w:hanging="1080"/>
      </w:pPr>
    </w:p>
    <w:p w14:paraId="6DB27E23" w14:textId="77777777" w:rsidR="00E13FA2" w:rsidRPr="00F071EB" w:rsidRDefault="00E13FA2" w:rsidP="006D76A4">
      <w:pPr>
        <w:pStyle w:val="Bodynumbered"/>
      </w:pPr>
      <w:r w:rsidRPr="00F071EB">
        <w:t>These</w:t>
      </w:r>
      <w:r w:rsidR="00F071EB">
        <w:t xml:space="preserve"> Outcomes</w:t>
      </w:r>
      <w:r w:rsidRPr="00F071EB">
        <w:t>, including their specific outputs and activities, are described in turn below.</w:t>
      </w:r>
    </w:p>
    <w:p w14:paraId="739DF029" w14:textId="77777777" w:rsidR="009B32AB" w:rsidRDefault="00E13FA2" w:rsidP="00B77ED0">
      <w:pPr>
        <w:pStyle w:val="Heading3"/>
        <w:keepLines/>
        <w:numPr>
          <w:ilvl w:val="0"/>
          <w:numId w:val="0"/>
        </w:numPr>
        <w:jc w:val="left"/>
      </w:pPr>
      <w:bookmarkStart w:id="58" w:name="_Toc393448997"/>
      <w:r w:rsidRPr="005B5602">
        <w:t>Outcome 5a GHG emission reductions of implemented urban NAMAs are systematically monitored, verified and reported</w:t>
      </w:r>
      <w:bookmarkEnd w:id="58"/>
    </w:p>
    <w:p w14:paraId="0D134105" w14:textId="77777777" w:rsidR="009B32AB" w:rsidRDefault="009B32AB" w:rsidP="00B77ED0">
      <w:pPr>
        <w:keepNext/>
        <w:keepLines/>
      </w:pPr>
    </w:p>
    <w:p w14:paraId="36B2147D" w14:textId="77777777" w:rsidR="009B32AB" w:rsidRPr="00E74955" w:rsidRDefault="00E74955" w:rsidP="00B77ED0">
      <w:pPr>
        <w:keepNext/>
        <w:keepLines/>
        <w:ind w:left="1440" w:hanging="1080"/>
        <w:jc w:val="left"/>
        <w:rPr>
          <w:b/>
          <w:i/>
        </w:rPr>
      </w:pPr>
      <w:r>
        <w:rPr>
          <w:b/>
          <w:i/>
        </w:rPr>
        <w:t xml:space="preserve">Output </w:t>
      </w:r>
      <w:r w:rsidR="009B32AB" w:rsidRPr="00E74955">
        <w:rPr>
          <w:b/>
          <w:i/>
        </w:rPr>
        <w:t>5.1. National MRV guidelines and standard methodologies for urban NAMAs developed</w:t>
      </w:r>
    </w:p>
    <w:p w14:paraId="68C8D7AC" w14:textId="77777777" w:rsidR="004E60D7" w:rsidRPr="00480CE7" w:rsidRDefault="004E60D7" w:rsidP="004E60D7">
      <w:pPr>
        <w:pStyle w:val="Bodynumbered"/>
      </w:pPr>
      <w:r w:rsidRPr="00480CE7">
        <w:t xml:space="preserve">An MRV framework </w:t>
      </w:r>
      <w:r w:rsidRPr="006D76A4">
        <w:t xml:space="preserve">is necessary for ensuring credibility and accountability of a project’s estimated GHG emission reductions. In addition, having a good MRV framework in place is likely to facilitate national planning, learning regarding </w:t>
      </w:r>
      <w:r w:rsidRPr="00480CE7">
        <w:t>good practices</w:t>
      </w:r>
      <w:r w:rsidRPr="006D76A4">
        <w:t xml:space="preserve">, promote coordination and communication amongst emitting sectors and increase the likelihood of gaining international support for a NAMA. </w:t>
      </w:r>
    </w:p>
    <w:p w14:paraId="7C06E0A2" w14:textId="77777777" w:rsidR="00E13FA2" w:rsidRPr="00480CE7" w:rsidRDefault="00114FBD" w:rsidP="004E60D7">
      <w:pPr>
        <w:pStyle w:val="Bodynumbered"/>
      </w:pPr>
      <w:r w:rsidRPr="00480CE7">
        <w:t xml:space="preserve">The Project </w:t>
      </w:r>
      <w:r w:rsidR="00E13FA2" w:rsidRPr="006D76A4">
        <w:t>will support developing a framework consisting of guidelines and methodologies for Monitoring, Reporting and Verification (MRV) of NAMAs in Kaza</w:t>
      </w:r>
      <w:r w:rsidR="004E60D7">
        <w:t>khstan.</w:t>
      </w:r>
    </w:p>
    <w:p w14:paraId="2EE4B06C" w14:textId="77777777" w:rsidR="00E13FA2" w:rsidRPr="006D76A4" w:rsidRDefault="00E13FA2" w:rsidP="006D76A4">
      <w:pPr>
        <w:pStyle w:val="Bodynumbered"/>
      </w:pPr>
      <w:r w:rsidRPr="00480CE7">
        <w:t xml:space="preserve">Under the framework of NAMA, the identity of responsible institutions is not prescribed, except that submission of NAMAs to the UNFCCC Registry must be undertaken by a national government entity. </w:t>
      </w:r>
      <w:r w:rsidR="004E60D7">
        <w:t>The limited e</w:t>
      </w:r>
      <w:r w:rsidRPr="00480CE7">
        <w:t>xperience with NAMAs to date suggests that i</w:t>
      </w:r>
      <w:r w:rsidRPr="006D76A4">
        <w:t>n the early stages of NAMA identification and prioritisation</w:t>
      </w:r>
      <w:r w:rsidRPr="00480CE7">
        <w:t xml:space="preserve"> </w:t>
      </w:r>
      <w:r w:rsidRPr="006D76A4">
        <w:t xml:space="preserve">top-down structures may be very efficient (e.g. often NAMAs have their foundations in national policies and regulations and are developed by </w:t>
      </w:r>
      <w:r w:rsidRPr="00480CE7">
        <w:t>ministries</w:t>
      </w:r>
      <w:r w:rsidRPr="006D76A4">
        <w:t xml:space="preserve"> and agencies) and in subsequent phases stakeholder involvement should be broad-based and inclusive. In particular, for the purpose of MRV and the certification of emission reductions it is </w:t>
      </w:r>
      <w:r w:rsidR="00B77ED0" w:rsidRPr="006D76A4">
        <w:t>important that</w:t>
      </w:r>
      <w:r w:rsidRPr="006D76A4">
        <w:t xml:space="preserve"> the roles, responsibilities and process of interaction of the stakeholders involved in all aspects and at all phases of the NAMA should be clearly defined, including the following aspects</w:t>
      </w:r>
      <w:r w:rsidRPr="004E60D7">
        <w:rPr>
          <w:vertAlign w:val="superscript"/>
        </w:rPr>
        <w:footnoteReference w:id="26"/>
      </w:r>
      <w:r w:rsidRPr="006D76A4">
        <w:t>:</w:t>
      </w:r>
    </w:p>
    <w:p w14:paraId="1650E598" w14:textId="77777777" w:rsidR="00E13FA2" w:rsidRPr="00480CE7" w:rsidRDefault="00422B33" w:rsidP="007D6892">
      <w:pPr>
        <w:pStyle w:val="Bodynumbered"/>
        <w:numPr>
          <w:ilvl w:val="0"/>
          <w:numId w:val="31"/>
        </w:numPr>
        <w:spacing w:before="60" w:after="0"/>
      </w:pPr>
      <w:r w:rsidRPr="00480CE7">
        <w:t>Alignment</w:t>
      </w:r>
      <w:r w:rsidR="00E13FA2" w:rsidRPr="00480CE7">
        <w:t xml:space="preserve"> with national long-term development planning and domestic policy implementation; </w:t>
      </w:r>
    </w:p>
    <w:p w14:paraId="3884C133" w14:textId="77777777" w:rsidR="00E13FA2" w:rsidRPr="00480CE7" w:rsidRDefault="00422B33" w:rsidP="007D6892">
      <w:pPr>
        <w:pStyle w:val="Bodynumbered"/>
        <w:numPr>
          <w:ilvl w:val="0"/>
          <w:numId w:val="31"/>
        </w:numPr>
        <w:spacing w:before="60" w:after="0"/>
      </w:pPr>
      <w:r w:rsidRPr="00480CE7">
        <w:t>Governing</w:t>
      </w:r>
      <w:r w:rsidR="00E13FA2" w:rsidRPr="00480CE7">
        <w:t xml:space="preserve"> structure, the entities involved and their respective roles and responsibilities; </w:t>
      </w:r>
    </w:p>
    <w:p w14:paraId="57F49838" w14:textId="77777777" w:rsidR="00E13FA2" w:rsidRPr="00480CE7" w:rsidRDefault="00422B33" w:rsidP="007D6892">
      <w:pPr>
        <w:pStyle w:val="Bodynumbered"/>
        <w:numPr>
          <w:ilvl w:val="0"/>
          <w:numId w:val="31"/>
        </w:numPr>
        <w:spacing w:before="60" w:after="0"/>
      </w:pPr>
      <w:r w:rsidRPr="00480CE7">
        <w:t>Financing</w:t>
      </w:r>
      <w:r w:rsidR="00E13FA2" w:rsidRPr="00480CE7">
        <w:t xml:space="preserve"> structure; and </w:t>
      </w:r>
    </w:p>
    <w:p w14:paraId="5D807C40" w14:textId="77777777" w:rsidR="00E13FA2" w:rsidRPr="00480CE7" w:rsidRDefault="00422B33" w:rsidP="007D6892">
      <w:pPr>
        <w:pStyle w:val="Bodynumbered"/>
        <w:numPr>
          <w:ilvl w:val="0"/>
          <w:numId w:val="31"/>
        </w:numPr>
        <w:spacing w:before="60" w:after="0"/>
      </w:pPr>
      <w:r w:rsidRPr="00480CE7">
        <w:t>Key</w:t>
      </w:r>
      <w:r w:rsidR="00E13FA2" w:rsidRPr="00480CE7">
        <w:t xml:space="preserve"> institutions and entities responsible for administering and enforcing any included regulatory initiatives. </w:t>
      </w:r>
    </w:p>
    <w:p w14:paraId="252B9046" w14:textId="77777777" w:rsidR="00B77ED0" w:rsidRPr="00B77ED0" w:rsidRDefault="00B77ED0" w:rsidP="00310AA9">
      <w:pPr>
        <w:pStyle w:val="Bodynumbered"/>
        <w:numPr>
          <w:ilvl w:val="0"/>
          <w:numId w:val="0"/>
        </w:numPr>
      </w:pPr>
    </w:p>
    <w:p w14:paraId="134A8BEC" w14:textId="77777777" w:rsidR="000F7D76" w:rsidRPr="000F7D76" w:rsidRDefault="000F7D76" w:rsidP="006D76A4">
      <w:pPr>
        <w:pStyle w:val="Bodynumbered"/>
      </w:pPr>
      <w:r w:rsidRPr="000F7D76">
        <w:t xml:space="preserve">Delivery of this Output will include the following specific activities. </w:t>
      </w:r>
    </w:p>
    <w:p w14:paraId="2DE6A2F2" w14:textId="77777777" w:rsidR="00E13FA2" w:rsidRPr="004E60D7" w:rsidRDefault="004E60D7" w:rsidP="004E60D7">
      <w:pPr>
        <w:ind w:left="1440" w:hanging="1440"/>
        <w:jc w:val="left"/>
        <w:rPr>
          <w:lang w:val="en-US"/>
        </w:rPr>
      </w:pPr>
      <w:r>
        <w:rPr>
          <w:lang w:val="en-US"/>
        </w:rPr>
        <w:t xml:space="preserve">Activity </w:t>
      </w:r>
      <w:r w:rsidR="000F7D76" w:rsidRPr="004E60D7">
        <w:rPr>
          <w:lang w:val="en-US"/>
        </w:rPr>
        <w:t xml:space="preserve">5.1.1 </w:t>
      </w:r>
      <w:r w:rsidR="00E13FA2" w:rsidRPr="004E60D7">
        <w:rPr>
          <w:lang w:val="en-US"/>
        </w:rPr>
        <w:t xml:space="preserve">Review of international experience and analysis of their applicability to Kazakh urban sector, including recommendations </w:t>
      </w:r>
      <w:r w:rsidR="00480CE7" w:rsidRPr="004E60D7">
        <w:rPr>
          <w:lang w:val="en-US"/>
        </w:rPr>
        <w:t>based on this review:</w:t>
      </w:r>
    </w:p>
    <w:p w14:paraId="0405D8F6" w14:textId="77777777" w:rsidR="00E13FA2" w:rsidRPr="004E60D7" w:rsidRDefault="00E13FA2" w:rsidP="007D6892">
      <w:pPr>
        <w:pStyle w:val="Bodynumbered"/>
        <w:numPr>
          <w:ilvl w:val="1"/>
          <w:numId w:val="31"/>
        </w:numPr>
        <w:spacing w:before="60" w:after="0"/>
      </w:pPr>
      <w:r w:rsidRPr="004E60D7">
        <w:t>e.g. independence of verifiers (i.e. third party) to ensure confidentiality of industry data and credibility</w:t>
      </w:r>
      <w:r w:rsidR="00480CE7" w:rsidRPr="004E60D7">
        <w:t>;</w:t>
      </w:r>
    </w:p>
    <w:p w14:paraId="6F610DEF" w14:textId="77777777" w:rsidR="00E13FA2" w:rsidRPr="00480CE7" w:rsidRDefault="00E13FA2" w:rsidP="007D6892">
      <w:pPr>
        <w:pStyle w:val="Bodynumbered"/>
        <w:numPr>
          <w:ilvl w:val="1"/>
          <w:numId w:val="31"/>
        </w:numPr>
        <w:spacing w:before="60" w:after="0"/>
      </w:pPr>
      <w:r w:rsidRPr="00480CE7">
        <w:t>Domestic capacity for verification services are often weak, need to draw on int’l auditors or build capacity</w:t>
      </w:r>
      <w:r w:rsidR="00480CE7">
        <w:t>;</w:t>
      </w:r>
    </w:p>
    <w:p w14:paraId="79608F58" w14:textId="77777777" w:rsidR="00E13FA2" w:rsidRDefault="00E13FA2" w:rsidP="007D6892">
      <w:pPr>
        <w:pStyle w:val="Bodynumbered"/>
        <w:numPr>
          <w:ilvl w:val="1"/>
          <w:numId w:val="31"/>
        </w:numPr>
        <w:spacing w:before="60" w:after="0"/>
      </w:pPr>
      <w:r w:rsidRPr="00480CE7">
        <w:t xml:space="preserve">What to verify must be made clear: Verifiers should only be responsible for data that is easily verifiable (e.g. data on fuel use, compliance with procedures) and not for assessing </w:t>
      </w:r>
      <w:r w:rsidR="00480CE7" w:rsidRPr="00480CE7">
        <w:t>politically influenced</w:t>
      </w:r>
      <w:r w:rsidRPr="00480CE7">
        <w:t xml:space="preserve"> elements, such as baselines.</w:t>
      </w:r>
    </w:p>
    <w:p w14:paraId="08681730" w14:textId="77777777" w:rsidR="00310AA9" w:rsidRPr="005B5602" w:rsidRDefault="00310AA9" w:rsidP="00310AA9">
      <w:pPr>
        <w:pStyle w:val="Bodynumbered"/>
        <w:numPr>
          <w:ilvl w:val="0"/>
          <w:numId w:val="0"/>
        </w:numPr>
        <w:spacing w:before="60" w:after="0"/>
        <w:ind w:left="1080"/>
        <w:rPr>
          <w:rFonts w:cs="Times New Roman"/>
          <w:lang w:eastAsia="en-GB"/>
        </w:rPr>
      </w:pPr>
      <w:r>
        <w:t>Given the urban focus of this Project, it is anticipated that there will be dif</w:t>
      </w:r>
      <w:r w:rsidRPr="00B77ED0">
        <w:t xml:space="preserve">ferent roles and </w:t>
      </w:r>
      <w:r>
        <w:t xml:space="preserve">requirements </w:t>
      </w:r>
      <w:r w:rsidRPr="00B77ED0">
        <w:t>between national and sub-national</w:t>
      </w:r>
      <w:r>
        <w:t>/urban levels. Whereas</w:t>
      </w:r>
      <w:r w:rsidRPr="00B77ED0">
        <w:t xml:space="preserve"> the national level will lead on </w:t>
      </w:r>
      <w:r>
        <w:t xml:space="preserve">framework design, the urban </w:t>
      </w:r>
      <w:r w:rsidRPr="00B77ED0">
        <w:t>level will lead on the MRV implementation</w:t>
      </w:r>
      <w:r>
        <w:t xml:space="preserve"> including</w:t>
      </w:r>
      <w:r w:rsidRPr="00B77ED0">
        <w:t xml:space="preserve"> gathering and reporting on releva</w:t>
      </w:r>
      <w:r>
        <w:t xml:space="preserve">nt data. To ensure </w:t>
      </w:r>
      <w:r w:rsidRPr="00B77ED0">
        <w:t xml:space="preserve">appropriate coordination of the MRV at the urban level, and also between the urban and national levels, a joint, </w:t>
      </w:r>
      <w:r>
        <w:t>multi-agency</w:t>
      </w:r>
      <w:r w:rsidRPr="00B77ED0">
        <w:t xml:space="preserve"> committee will be established to facilitate information sharing and communication.</w:t>
      </w:r>
    </w:p>
    <w:p w14:paraId="1C4E356D" w14:textId="77777777" w:rsidR="00E13FA2" w:rsidRPr="004E60D7" w:rsidRDefault="004E60D7" w:rsidP="004E60D7">
      <w:pPr>
        <w:ind w:left="1440" w:hanging="1440"/>
        <w:jc w:val="left"/>
        <w:rPr>
          <w:lang w:val="en-US"/>
        </w:rPr>
      </w:pPr>
      <w:r>
        <w:rPr>
          <w:lang w:val="en-US"/>
        </w:rPr>
        <w:t xml:space="preserve">Activity 5.1.2 </w:t>
      </w:r>
      <w:r w:rsidR="00480CE7" w:rsidRPr="004E60D7">
        <w:rPr>
          <w:lang w:val="en-US"/>
        </w:rPr>
        <w:t>Analyze</w:t>
      </w:r>
      <w:r w:rsidR="00E13FA2" w:rsidRPr="004E60D7">
        <w:rPr>
          <w:lang w:val="en-US"/>
        </w:rPr>
        <w:t xml:space="preserve"> compatibility with EU ETS, UNFCCC guidelines and domestic ETS</w:t>
      </w:r>
      <w:r w:rsidR="00480CE7" w:rsidRPr="004E60D7">
        <w:rPr>
          <w:lang w:val="en-US"/>
        </w:rPr>
        <w:t>;</w:t>
      </w:r>
    </w:p>
    <w:p w14:paraId="7F6457C8" w14:textId="77777777" w:rsidR="00E13FA2" w:rsidRPr="004E60D7" w:rsidRDefault="00310AA9" w:rsidP="004E60D7">
      <w:pPr>
        <w:ind w:left="1440" w:hanging="1440"/>
        <w:jc w:val="left"/>
        <w:rPr>
          <w:lang w:val="en-US"/>
        </w:rPr>
      </w:pPr>
      <w:r>
        <w:rPr>
          <w:lang w:val="en-US"/>
        </w:rPr>
        <w:t xml:space="preserve">Activity 5.1.3 </w:t>
      </w:r>
      <w:r w:rsidR="00E13FA2" w:rsidRPr="004E60D7">
        <w:rPr>
          <w:lang w:val="en-US"/>
        </w:rPr>
        <w:t>Assess the existing institutional structures if the country needs a designated organisational set-up to facilitate NAMA development and implementation;</w:t>
      </w:r>
    </w:p>
    <w:p w14:paraId="478894E8" w14:textId="77777777" w:rsidR="00E13FA2" w:rsidRPr="004E60D7" w:rsidRDefault="00310AA9" w:rsidP="004E60D7">
      <w:pPr>
        <w:ind w:left="1440" w:hanging="1440"/>
        <w:jc w:val="left"/>
        <w:rPr>
          <w:lang w:val="en-US"/>
        </w:rPr>
      </w:pPr>
      <w:r>
        <w:rPr>
          <w:lang w:val="en-US"/>
        </w:rPr>
        <w:t xml:space="preserve">Activity 5.1.4 </w:t>
      </w:r>
      <w:r w:rsidR="00480CE7" w:rsidRPr="004E60D7">
        <w:rPr>
          <w:lang w:val="en-US"/>
        </w:rPr>
        <w:t xml:space="preserve">Identify </w:t>
      </w:r>
      <w:r w:rsidR="00E13FA2" w:rsidRPr="004E60D7">
        <w:rPr>
          <w:lang w:val="en-US"/>
        </w:rPr>
        <w:t>key data and parameters in consultation with relevant stakeholders;</w:t>
      </w:r>
    </w:p>
    <w:p w14:paraId="5DC56EDB" w14:textId="77777777" w:rsidR="00E13FA2" w:rsidRPr="004E60D7" w:rsidRDefault="00310AA9" w:rsidP="004E60D7">
      <w:pPr>
        <w:ind w:left="1440" w:hanging="1440"/>
        <w:jc w:val="left"/>
        <w:rPr>
          <w:lang w:val="en-US"/>
        </w:rPr>
      </w:pPr>
      <w:r>
        <w:rPr>
          <w:lang w:val="en-US"/>
        </w:rPr>
        <w:t xml:space="preserve">Activity 5.1.5 </w:t>
      </w:r>
      <w:r w:rsidR="00480CE7" w:rsidRPr="004E60D7">
        <w:rPr>
          <w:lang w:val="en-US"/>
        </w:rPr>
        <w:t>Develop</w:t>
      </w:r>
      <w:r w:rsidR="00E13FA2" w:rsidRPr="004E60D7">
        <w:rPr>
          <w:lang w:val="en-US"/>
        </w:rPr>
        <w:t xml:space="preserve"> MRV framework that distinguishes clearly between these three activities as distinct and carried out by different entities (what to do, how to do it, who should do it, and when it should be done);</w:t>
      </w:r>
    </w:p>
    <w:p w14:paraId="7A3ABAF2" w14:textId="77777777" w:rsidR="00E13FA2" w:rsidRPr="004E60D7" w:rsidRDefault="00310AA9" w:rsidP="004E60D7">
      <w:pPr>
        <w:ind w:left="1440" w:hanging="1440"/>
        <w:jc w:val="left"/>
        <w:rPr>
          <w:lang w:val="en-US"/>
        </w:rPr>
      </w:pPr>
      <w:r>
        <w:rPr>
          <w:lang w:val="en-US"/>
        </w:rPr>
        <w:t xml:space="preserve">Activity 5.1.6 </w:t>
      </w:r>
      <w:r w:rsidR="00480CE7" w:rsidRPr="004E60D7">
        <w:rPr>
          <w:lang w:val="en-US"/>
        </w:rPr>
        <w:t>Develop</w:t>
      </w:r>
      <w:r w:rsidR="00E13FA2" w:rsidRPr="004E60D7">
        <w:rPr>
          <w:lang w:val="en-US"/>
        </w:rPr>
        <w:t xml:space="preserve"> tracking tools with indicators and baselines;</w:t>
      </w:r>
    </w:p>
    <w:p w14:paraId="3A22CBA1" w14:textId="77777777" w:rsidR="002E31EC" w:rsidRPr="004E60D7" w:rsidRDefault="00310AA9" w:rsidP="004E60D7">
      <w:pPr>
        <w:ind w:left="1440" w:hanging="1440"/>
        <w:jc w:val="left"/>
        <w:rPr>
          <w:lang w:val="en-US"/>
        </w:rPr>
      </w:pPr>
      <w:r>
        <w:rPr>
          <w:lang w:val="en-US"/>
        </w:rPr>
        <w:t xml:space="preserve">Activity 5.1.7 </w:t>
      </w:r>
      <w:r w:rsidR="00480CE7" w:rsidRPr="004E60D7">
        <w:rPr>
          <w:lang w:val="en-US"/>
        </w:rPr>
        <w:t xml:space="preserve">Identify </w:t>
      </w:r>
      <w:r w:rsidR="00E13FA2" w:rsidRPr="004E60D7">
        <w:rPr>
          <w:lang w:val="en-US"/>
        </w:rPr>
        <w:t>capacity gaps for MRV.</w:t>
      </w:r>
    </w:p>
    <w:p w14:paraId="63EAA0C0" w14:textId="77777777" w:rsidR="00E13FA2" w:rsidRPr="005B5602" w:rsidRDefault="00E13FA2" w:rsidP="00E13FA2">
      <w:pPr>
        <w:autoSpaceDE w:val="0"/>
        <w:autoSpaceDN w:val="0"/>
        <w:adjustRightInd w:val="0"/>
        <w:spacing w:after="78"/>
        <w:rPr>
          <w:rFonts w:cs="Univers 55"/>
          <w:color w:val="000000"/>
        </w:rPr>
      </w:pPr>
    </w:p>
    <w:p w14:paraId="3B25C79B" w14:textId="77777777" w:rsidR="00114FBD" w:rsidRPr="00E74955" w:rsidRDefault="00114FBD" w:rsidP="00114FBD">
      <w:pPr>
        <w:ind w:left="1440" w:hanging="1080"/>
        <w:jc w:val="left"/>
        <w:rPr>
          <w:b/>
          <w:i/>
        </w:rPr>
      </w:pPr>
      <w:r>
        <w:rPr>
          <w:b/>
          <w:i/>
        </w:rPr>
        <w:t xml:space="preserve">Output </w:t>
      </w:r>
      <w:r w:rsidRPr="00E74955">
        <w:rPr>
          <w:b/>
          <w:i/>
        </w:rPr>
        <w:t xml:space="preserve">5.2. Rules and procedures for certification of emission reduction credits from NAMAs and import into domestic ETS developed </w:t>
      </w:r>
    </w:p>
    <w:p w14:paraId="336767B1" w14:textId="77777777" w:rsidR="00E13FA2" w:rsidRPr="005B5602" w:rsidRDefault="00310AA9" w:rsidP="00310AA9">
      <w:pPr>
        <w:pStyle w:val="Bodynumbered"/>
      </w:pPr>
      <w:r>
        <w:t xml:space="preserve">In order to allow for emission reduction credits from NAMAs to be imported into the domestic ETS, efforts will be required to develop </w:t>
      </w:r>
      <w:r w:rsidR="00A24F91">
        <w:t xml:space="preserve">national </w:t>
      </w:r>
      <w:r>
        <w:t xml:space="preserve">rules and procedures for certified NAMAs, building on the work of Output 5.1. </w:t>
      </w:r>
      <w:r w:rsidR="00E13FA2" w:rsidRPr="005B5602">
        <w:t>Activities to produce this output</w:t>
      </w:r>
      <w:r w:rsidR="00114FBD">
        <w:t xml:space="preserve"> will include:</w:t>
      </w:r>
    </w:p>
    <w:p w14:paraId="2101B7BC" w14:textId="77777777" w:rsidR="00310AA9" w:rsidRPr="004E60D7" w:rsidRDefault="00310AA9" w:rsidP="00310AA9">
      <w:pPr>
        <w:ind w:left="1440" w:hanging="1440"/>
        <w:jc w:val="left"/>
        <w:rPr>
          <w:lang w:val="en-US"/>
        </w:rPr>
      </w:pPr>
      <w:r>
        <w:rPr>
          <w:lang w:val="en-US"/>
        </w:rPr>
        <w:t xml:space="preserve">Activity </w:t>
      </w:r>
      <w:r w:rsidRPr="004E60D7">
        <w:rPr>
          <w:lang w:val="en-US"/>
        </w:rPr>
        <w:t>5.</w:t>
      </w:r>
      <w:r>
        <w:rPr>
          <w:lang w:val="en-US"/>
        </w:rPr>
        <w:t>2</w:t>
      </w:r>
      <w:r w:rsidRPr="004E60D7">
        <w:rPr>
          <w:lang w:val="en-US"/>
        </w:rPr>
        <w:t xml:space="preserve">.1 Review of international experience and analysis of their applicability to Kazakh </w:t>
      </w:r>
      <w:r>
        <w:rPr>
          <w:lang w:val="en-US"/>
        </w:rPr>
        <w:t>NAMAs and ETS, and develop</w:t>
      </w:r>
      <w:r w:rsidRPr="004E60D7">
        <w:rPr>
          <w:lang w:val="en-US"/>
        </w:rPr>
        <w:t xml:space="preserve"> recommendations base</w:t>
      </w:r>
      <w:r>
        <w:rPr>
          <w:lang w:val="en-US"/>
        </w:rPr>
        <w:t>d on this review</w:t>
      </w:r>
    </w:p>
    <w:p w14:paraId="59F2773E" w14:textId="77777777" w:rsidR="00E13FA2" w:rsidRPr="00310AA9" w:rsidRDefault="00310AA9" w:rsidP="00310AA9">
      <w:pPr>
        <w:ind w:left="1440" w:hanging="1440"/>
        <w:jc w:val="left"/>
        <w:rPr>
          <w:lang w:val="en-US"/>
        </w:rPr>
      </w:pPr>
      <w:r>
        <w:rPr>
          <w:lang w:val="en-US"/>
        </w:rPr>
        <w:t xml:space="preserve">Activity </w:t>
      </w:r>
      <w:r w:rsidRPr="004E60D7">
        <w:rPr>
          <w:lang w:val="en-US"/>
        </w:rPr>
        <w:t>5.</w:t>
      </w:r>
      <w:r>
        <w:rPr>
          <w:lang w:val="en-US"/>
        </w:rPr>
        <w:t>2</w:t>
      </w:r>
      <w:r w:rsidRPr="004E60D7">
        <w:rPr>
          <w:lang w:val="en-US"/>
        </w:rPr>
        <w:t>.</w:t>
      </w:r>
      <w:r>
        <w:rPr>
          <w:lang w:val="en-US"/>
        </w:rPr>
        <w:t>2 Propose a certification procedure, and hold stakeholder consultations to build consensus and support.</w:t>
      </w:r>
    </w:p>
    <w:p w14:paraId="45D57E75" w14:textId="77777777" w:rsidR="00422B33" w:rsidRPr="00310AA9" w:rsidRDefault="00310AA9" w:rsidP="00310AA9">
      <w:pPr>
        <w:ind w:left="1440" w:hanging="1440"/>
        <w:jc w:val="left"/>
        <w:rPr>
          <w:lang w:val="en-US"/>
        </w:rPr>
      </w:pPr>
      <w:r>
        <w:rPr>
          <w:lang w:val="en-US"/>
        </w:rPr>
        <w:t>Activity 5.2.3 Develop agreed rules and procedures, and work to facilitate adoption.</w:t>
      </w:r>
    </w:p>
    <w:p w14:paraId="2A612ECA" w14:textId="77777777" w:rsidR="00E13FA2" w:rsidRPr="005B5602" w:rsidRDefault="00E13FA2" w:rsidP="00422B33">
      <w:pPr>
        <w:pStyle w:val="Bodynumbered"/>
        <w:numPr>
          <w:ilvl w:val="0"/>
          <w:numId w:val="0"/>
        </w:numPr>
        <w:spacing w:before="60" w:after="0"/>
        <w:ind w:left="720" w:hanging="360"/>
      </w:pPr>
    </w:p>
    <w:p w14:paraId="6D4CBE84" w14:textId="77777777" w:rsidR="00114FBD" w:rsidRPr="00E74955" w:rsidRDefault="00114FBD" w:rsidP="00114FBD">
      <w:pPr>
        <w:ind w:left="1440" w:hanging="1080"/>
        <w:jc w:val="left"/>
        <w:rPr>
          <w:b/>
          <w:i/>
        </w:rPr>
      </w:pPr>
      <w:r>
        <w:rPr>
          <w:b/>
          <w:i/>
        </w:rPr>
        <w:t xml:space="preserve">Output </w:t>
      </w:r>
      <w:r w:rsidRPr="00E74955">
        <w:rPr>
          <w:b/>
          <w:i/>
        </w:rPr>
        <w:t>5.3. Emission reduction purchase agreement signed between domestic entities under ETS and municipality</w:t>
      </w:r>
    </w:p>
    <w:p w14:paraId="3435C491" w14:textId="77777777" w:rsidR="00480CE7" w:rsidRPr="005B5602" w:rsidRDefault="00310AA9" w:rsidP="006D76A4">
      <w:pPr>
        <w:pStyle w:val="Bodynumbered"/>
      </w:pPr>
      <w:r>
        <w:t xml:space="preserve">Output 5.3 aims to pilot the use of the rules and procedures developed under Output 5.2 by working to develop a signed purchase </w:t>
      </w:r>
      <w:r w:rsidR="00630419">
        <w:t xml:space="preserve">agreement between one or more domestic entity under the ETS and a certified NAMA that will result from the work of Components 1-3. </w:t>
      </w:r>
      <w:r w:rsidR="00480CE7" w:rsidRPr="005B5602">
        <w:t>Activities to produce this output</w:t>
      </w:r>
      <w:r w:rsidR="00480CE7">
        <w:t xml:space="preserve"> will include:</w:t>
      </w:r>
    </w:p>
    <w:p w14:paraId="0DC2B6D6" w14:textId="77777777" w:rsidR="00480CE7" w:rsidRDefault="00630419" w:rsidP="00630419">
      <w:pPr>
        <w:ind w:left="1440" w:hanging="1440"/>
        <w:jc w:val="left"/>
        <w:rPr>
          <w:lang w:val="en-US"/>
        </w:rPr>
      </w:pPr>
      <w:r>
        <w:rPr>
          <w:lang w:val="en-US"/>
        </w:rPr>
        <w:t>Activity 5.3.1</w:t>
      </w:r>
      <w:r w:rsidR="0008719E">
        <w:rPr>
          <w:lang w:val="en-US"/>
        </w:rPr>
        <w:tab/>
      </w:r>
      <w:r>
        <w:rPr>
          <w:lang w:val="en-US"/>
        </w:rPr>
        <w:t>Facilitate discussions between emitters under the ETS and NAMAs under development to identify opportunities.</w:t>
      </w:r>
    </w:p>
    <w:p w14:paraId="01ECE026" w14:textId="77777777" w:rsidR="00630419" w:rsidRDefault="0008719E" w:rsidP="00630419">
      <w:pPr>
        <w:ind w:left="1440" w:hanging="1440"/>
        <w:jc w:val="left"/>
        <w:rPr>
          <w:lang w:val="en-US"/>
        </w:rPr>
      </w:pPr>
      <w:r>
        <w:rPr>
          <w:lang w:val="en-US"/>
        </w:rPr>
        <w:t>Activity 5.3.2</w:t>
      </w:r>
      <w:r>
        <w:rPr>
          <w:lang w:val="en-US"/>
        </w:rPr>
        <w:tab/>
      </w:r>
      <w:r w:rsidR="00630419">
        <w:rPr>
          <w:lang w:val="en-US"/>
        </w:rPr>
        <w:t>Support negotiations between the parties to ensure equitable agreements between potential parties to the agreement. Given the lack of experience in Akimats with such negotiations it is expected that the project will need to support them in the discussions through training, hands on guidance, and information.</w:t>
      </w:r>
    </w:p>
    <w:p w14:paraId="775FD251" w14:textId="77777777" w:rsidR="0008719E" w:rsidRPr="00630419" w:rsidRDefault="0008719E" w:rsidP="00630419">
      <w:pPr>
        <w:ind w:left="1440" w:hanging="1440"/>
        <w:jc w:val="left"/>
        <w:rPr>
          <w:lang w:val="en-US"/>
        </w:rPr>
      </w:pPr>
      <w:r>
        <w:rPr>
          <w:lang w:val="en-US"/>
        </w:rPr>
        <w:t>Activity 5.3.3</w:t>
      </w:r>
      <w:r>
        <w:rPr>
          <w:lang w:val="en-US"/>
        </w:rPr>
        <w:tab/>
        <w:t>T</w:t>
      </w:r>
      <w:r>
        <w:t>ransaction facilitation for registration and transfer of certificates from urban NAMAs in the national registry.</w:t>
      </w:r>
    </w:p>
    <w:p w14:paraId="32145654" w14:textId="77777777" w:rsidR="00E13FA2" w:rsidRPr="005B5602" w:rsidRDefault="00E13FA2" w:rsidP="00E13FA2"/>
    <w:p w14:paraId="5140AA75" w14:textId="77777777" w:rsidR="00114FBD" w:rsidRPr="00E74955" w:rsidRDefault="00114FBD" w:rsidP="00114FBD">
      <w:pPr>
        <w:ind w:left="1440" w:hanging="1080"/>
        <w:jc w:val="left"/>
        <w:rPr>
          <w:b/>
          <w:i/>
        </w:rPr>
      </w:pPr>
      <w:r>
        <w:rPr>
          <w:b/>
          <w:i/>
        </w:rPr>
        <w:t xml:space="preserve">Output </w:t>
      </w:r>
      <w:r w:rsidRPr="00E74955">
        <w:rPr>
          <w:b/>
          <w:i/>
        </w:rPr>
        <w:t>5.4. National database for urban inventories and registry for NAMAs operational at ME</w:t>
      </w:r>
      <w:r w:rsidR="00217B01">
        <w:rPr>
          <w:b/>
          <w:i/>
        </w:rPr>
        <w:t>WR</w:t>
      </w:r>
    </w:p>
    <w:p w14:paraId="38D83175" w14:textId="77777777" w:rsidR="00E13FA2" w:rsidRPr="005B5602" w:rsidRDefault="00E13FA2" w:rsidP="00E13FA2">
      <w:pPr>
        <w:rPr>
          <w:strike/>
          <w:szCs w:val="22"/>
          <w:u w:val="single"/>
        </w:rPr>
      </w:pPr>
    </w:p>
    <w:p w14:paraId="58EE1F02" w14:textId="77777777" w:rsidR="00E13FA2" w:rsidRPr="005B5602" w:rsidRDefault="00E13FA2" w:rsidP="006D76A4">
      <w:pPr>
        <w:pStyle w:val="Bodynumbered"/>
      </w:pPr>
      <w:r w:rsidRPr="005B5602">
        <w:t>Output 5.4 constitutes</w:t>
      </w:r>
      <w:r w:rsidR="00630419">
        <w:t xml:space="preserve"> the development of a </w:t>
      </w:r>
      <w:r w:rsidRPr="005B5602">
        <w:t xml:space="preserve">database for urban inventories and </w:t>
      </w:r>
      <w:r w:rsidR="00630419">
        <w:t xml:space="preserve">the creation of an operations </w:t>
      </w:r>
      <w:r w:rsidRPr="005B5602">
        <w:t>registry for NAMAs</w:t>
      </w:r>
      <w:r w:rsidR="00630419">
        <w:t xml:space="preserve"> within the ME</w:t>
      </w:r>
      <w:r w:rsidR="00217B01">
        <w:t>WR</w:t>
      </w:r>
      <w:r w:rsidR="00B77ED0">
        <w:t>.</w:t>
      </w:r>
      <w:r w:rsidR="00630419">
        <w:t xml:space="preserve"> The database must clearly meet the requirements of the UNFCCC as well as the domestic ETS.</w:t>
      </w:r>
    </w:p>
    <w:p w14:paraId="422870D5" w14:textId="77777777" w:rsidR="00E13FA2" w:rsidRPr="005B5602" w:rsidRDefault="00E13FA2" w:rsidP="006D76A4">
      <w:pPr>
        <w:pStyle w:val="Bodynumbered"/>
      </w:pPr>
      <w:r w:rsidRPr="005B5602">
        <w:t>Activities to produce this output will include:</w:t>
      </w:r>
    </w:p>
    <w:p w14:paraId="247D84CE" w14:textId="77777777" w:rsidR="00630419" w:rsidRDefault="00630419" w:rsidP="00630419">
      <w:pPr>
        <w:ind w:left="1440" w:hanging="1440"/>
        <w:jc w:val="left"/>
        <w:rPr>
          <w:lang w:val="en-US"/>
        </w:rPr>
      </w:pPr>
      <w:r>
        <w:rPr>
          <w:lang w:val="en-US"/>
        </w:rPr>
        <w:t xml:space="preserve">Activity </w:t>
      </w:r>
      <w:r w:rsidRPr="004E60D7">
        <w:rPr>
          <w:lang w:val="en-US"/>
        </w:rPr>
        <w:t>5.</w:t>
      </w:r>
      <w:r>
        <w:rPr>
          <w:lang w:val="en-US"/>
        </w:rPr>
        <w:t>2</w:t>
      </w:r>
      <w:r w:rsidRPr="004E60D7">
        <w:rPr>
          <w:lang w:val="en-US"/>
        </w:rPr>
        <w:t xml:space="preserve">.1 </w:t>
      </w:r>
      <w:r>
        <w:rPr>
          <w:lang w:val="en-US"/>
        </w:rPr>
        <w:t>Scoping of database requirements based on international experience and domestic requirements.</w:t>
      </w:r>
      <w:r w:rsidR="00DA23FE">
        <w:rPr>
          <w:lang w:val="en-US"/>
        </w:rPr>
        <w:t xml:space="preserve"> This activity will include stakeholder consultation to ensure buy-in. Compatibility with international databases will be taken into account including t</w:t>
      </w:r>
      <w:r w:rsidR="00DA23FE" w:rsidRPr="00630419">
        <w:rPr>
          <w:lang w:val="en-US"/>
        </w:rPr>
        <w:t>he UNEP Risø NAMAs Information Note (NINO) template (</w:t>
      </w:r>
      <w:hyperlink r:id="rId15" w:history="1">
        <w:r w:rsidR="00DA23FE" w:rsidRPr="00630419">
          <w:rPr>
            <w:lang w:val="en-US"/>
          </w:rPr>
          <w:t>http://namapipeline.org</w:t>
        </w:r>
      </w:hyperlink>
      <w:r w:rsidR="00DA23FE" w:rsidRPr="00630419">
        <w:rPr>
          <w:lang w:val="en-US"/>
        </w:rPr>
        <w:t>) and Ecofys NAMA concept note and proposal templates (</w:t>
      </w:r>
      <w:hyperlink r:id="rId16" w:history="1">
        <w:r w:rsidR="00DA23FE" w:rsidRPr="00630419">
          <w:rPr>
            <w:lang w:val="en-US"/>
          </w:rPr>
          <w:t>http://namadatabase.org/index.php/Downloads</w:t>
        </w:r>
      </w:hyperlink>
      <w:r w:rsidR="00DA23FE" w:rsidRPr="00630419">
        <w:rPr>
          <w:lang w:val="en-US"/>
        </w:rPr>
        <w:t>)</w:t>
      </w:r>
    </w:p>
    <w:p w14:paraId="7E5C9C1D" w14:textId="77777777" w:rsidR="00E13FA2" w:rsidRDefault="00DA23FE" w:rsidP="00DA23FE">
      <w:pPr>
        <w:ind w:left="1440" w:hanging="1440"/>
        <w:jc w:val="left"/>
        <w:rPr>
          <w:lang w:val="en-US"/>
        </w:rPr>
      </w:pPr>
      <w:r>
        <w:rPr>
          <w:lang w:val="en-US"/>
        </w:rPr>
        <w:t>Activity 5.2.2 Development of specifications for the database and tender documentation, tendering.</w:t>
      </w:r>
    </w:p>
    <w:p w14:paraId="41DDF71A" w14:textId="77777777" w:rsidR="00DA23FE" w:rsidRDefault="00630419" w:rsidP="00630419">
      <w:pPr>
        <w:ind w:left="1440" w:hanging="1440"/>
        <w:jc w:val="left"/>
        <w:rPr>
          <w:lang w:val="en-US"/>
        </w:rPr>
      </w:pPr>
      <w:r>
        <w:rPr>
          <w:lang w:val="en-US"/>
        </w:rPr>
        <w:t xml:space="preserve">Activity </w:t>
      </w:r>
      <w:r w:rsidRPr="004E60D7">
        <w:rPr>
          <w:lang w:val="en-US"/>
        </w:rPr>
        <w:t>5.</w:t>
      </w:r>
      <w:r>
        <w:rPr>
          <w:lang w:val="en-US"/>
        </w:rPr>
        <w:t>2</w:t>
      </w:r>
      <w:r w:rsidRPr="004E60D7">
        <w:rPr>
          <w:lang w:val="en-US"/>
        </w:rPr>
        <w:t>.</w:t>
      </w:r>
      <w:r w:rsidR="00DA23FE">
        <w:rPr>
          <w:lang w:val="en-US"/>
        </w:rPr>
        <w:t>3</w:t>
      </w:r>
      <w:r w:rsidRPr="004E60D7">
        <w:rPr>
          <w:lang w:val="en-US"/>
        </w:rPr>
        <w:t xml:space="preserve"> </w:t>
      </w:r>
      <w:r w:rsidR="00DA23FE">
        <w:rPr>
          <w:lang w:val="en-US"/>
        </w:rPr>
        <w:t>Piloting of the database using NAMAs to be developed under components 1-3.</w:t>
      </w:r>
    </w:p>
    <w:p w14:paraId="7B5D6FF1" w14:textId="77777777" w:rsidR="00E13FA2" w:rsidRPr="00630419" w:rsidRDefault="00DA23FE" w:rsidP="00630419">
      <w:pPr>
        <w:ind w:left="1440" w:hanging="1440"/>
        <w:jc w:val="left"/>
        <w:rPr>
          <w:lang w:val="en-US"/>
        </w:rPr>
      </w:pPr>
      <w:r>
        <w:rPr>
          <w:lang w:val="en-US"/>
        </w:rPr>
        <w:t xml:space="preserve">Activity 5.2.4 Database hosting and management </w:t>
      </w:r>
      <w:r w:rsidR="00E13FA2" w:rsidRPr="00630419">
        <w:rPr>
          <w:lang w:val="en-US"/>
        </w:rPr>
        <w:t xml:space="preserve">assigned </w:t>
      </w:r>
      <w:r>
        <w:rPr>
          <w:lang w:val="en-US"/>
        </w:rPr>
        <w:t>to maintain the database, and training provided as needed.</w:t>
      </w:r>
    </w:p>
    <w:p w14:paraId="4A9C660A" w14:textId="77777777" w:rsidR="00E13FA2" w:rsidRPr="00514E61" w:rsidRDefault="00E13FA2" w:rsidP="00514E61">
      <w:pPr>
        <w:pStyle w:val="Default"/>
      </w:pPr>
    </w:p>
    <w:p w14:paraId="6D036047" w14:textId="77777777" w:rsidR="00E13FA2" w:rsidRPr="005B5602" w:rsidRDefault="00E13FA2" w:rsidP="00E13FA2">
      <w:pPr>
        <w:pStyle w:val="Heading3"/>
        <w:numPr>
          <w:ilvl w:val="0"/>
          <w:numId w:val="0"/>
        </w:numPr>
      </w:pPr>
      <w:bookmarkStart w:id="59" w:name="_Toc393448998"/>
      <w:r w:rsidRPr="005B5602">
        <w:t>Outcome 5b Kazakh cities and towns are aware of and have access to information and guidance on urban NAMAs</w:t>
      </w:r>
      <w:bookmarkEnd w:id="59"/>
    </w:p>
    <w:p w14:paraId="35916B0C" w14:textId="77777777" w:rsidR="00547B50" w:rsidRDefault="00DA23FE" w:rsidP="006D76A4">
      <w:pPr>
        <w:pStyle w:val="Bodynumbered"/>
      </w:pPr>
      <w:r>
        <w:t>G</w:t>
      </w:r>
      <w:r w:rsidRPr="005B5602">
        <w:t>iven the project’s ambition to promote NAMAs in the urban sector in Kazakhstan</w:t>
      </w:r>
      <w:r>
        <w:t>, communicate effectively with cities that are engaging with the project under components 1-3, disseminate information about the pilot NAMA, and to scale up the approach beyond the 15 NAMAs within this project i</w:t>
      </w:r>
      <w:r w:rsidR="00E13FA2" w:rsidRPr="005B5602">
        <w:t xml:space="preserve">t is </w:t>
      </w:r>
      <w:r>
        <w:t xml:space="preserve">critically </w:t>
      </w:r>
      <w:r w:rsidR="00E13FA2" w:rsidRPr="005B5602">
        <w:t>important to develop an effective communication and dissemi</w:t>
      </w:r>
      <w:r>
        <w:t xml:space="preserve">nation strategy. Under Outcome 5b efforts will be made to address this need through </w:t>
      </w:r>
      <w:r w:rsidR="0021677F">
        <w:t>targeted dissemination activities.</w:t>
      </w:r>
    </w:p>
    <w:p w14:paraId="26C46A87" w14:textId="77777777" w:rsidR="00E0161B" w:rsidRDefault="00E0161B" w:rsidP="00547B50">
      <w:pPr>
        <w:pStyle w:val="Bodynumbered"/>
        <w:numPr>
          <w:ilvl w:val="0"/>
          <w:numId w:val="0"/>
        </w:numPr>
        <w:spacing w:before="60" w:after="0"/>
        <w:rPr>
          <w:lang w:eastAsia="en-GB"/>
        </w:rPr>
      </w:pPr>
    </w:p>
    <w:p w14:paraId="5837753D" w14:textId="77777777" w:rsidR="00E0161B" w:rsidRPr="00E0161B" w:rsidRDefault="00E0161B" w:rsidP="00E0161B">
      <w:pPr>
        <w:pStyle w:val="Bodynumbered"/>
        <w:numPr>
          <w:ilvl w:val="0"/>
          <w:numId w:val="0"/>
        </w:numPr>
        <w:ind w:left="720" w:hanging="360"/>
        <w:rPr>
          <w:b/>
          <w:i/>
        </w:rPr>
      </w:pPr>
      <w:r w:rsidRPr="00E0161B">
        <w:rPr>
          <w:b/>
          <w:i/>
        </w:rPr>
        <w:t>Output 5.5. Knowledge resources and lessons learned from the pilot urban NAMAs disseminated</w:t>
      </w:r>
    </w:p>
    <w:p w14:paraId="629987D7" w14:textId="77777777" w:rsidR="00C445E4" w:rsidRDefault="00E13FA2" w:rsidP="006D76A4">
      <w:pPr>
        <w:pStyle w:val="Bodynumbered"/>
      </w:pPr>
      <w:r w:rsidRPr="005B5602">
        <w:t>This Output will involve developing the appropriate formats for reaching the relevant stakeholder</w:t>
      </w:r>
      <w:r w:rsidR="00547B50">
        <w:t xml:space="preserve">s (i.e. </w:t>
      </w:r>
      <w:r w:rsidR="00C445E4">
        <w:t xml:space="preserve">the general public, and specifically stakeholders in </w:t>
      </w:r>
      <w:r w:rsidR="00547B50">
        <w:t>Kazakh cities and towns</w:t>
      </w:r>
      <w:r w:rsidRPr="005B5602">
        <w:t xml:space="preserve">) </w:t>
      </w:r>
      <w:r w:rsidR="00C445E4">
        <w:t xml:space="preserve">to </w:t>
      </w:r>
      <w:r w:rsidRPr="005B5602">
        <w:t>support them at different stages of the NAMA process (e.g. concept, development and implementation phases). Knowledge resource production and dissemination will</w:t>
      </w:r>
    </w:p>
    <w:p w14:paraId="36FD256A" w14:textId="77777777" w:rsidR="00C445E4" w:rsidRDefault="00C445E4" w:rsidP="00C445E4">
      <w:pPr>
        <w:pStyle w:val="Bodynumbered"/>
        <w:numPr>
          <w:ilvl w:val="0"/>
          <w:numId w:val="0"/>
        </w:numPr>
        <w:ind w:left="720"/>
      </w:pPr>
      <w:r>
        <w:t>i)</w:t>
      </w:r>
      <w:r w:rsidR="00E13FA2" w:rsidRPr="005B5602">
        <w:t xml:space="preserve"> </w:t>
      </w:r>
      <w:r>
        <w:t xml:space="preserve">target the general public through a nationwide media campaign </w:t>
      </w:r>
      <w:r w:rsidRPr="00C445E4">
        <w:t>on low-carbon</w:t>
      </w:r>
      <w:r>
        <w:t xml:space="preserve"> </w:t>
      </w:r>
      <w:r w:rsidRPr="00C445E4">
        <w:t>/</w:t>
      </w:r>
      <w:r>
        <w:t xml:space="preserve"> </w:t>
      </w:r>
      <w:r w:rsidRPr="00C445E4">
        <w:t>susta</w:t>
      </w:r>
      <w:r>
        <w:t>inable cities where innovative projects / cities will</w:t>
      </w:r>
      <w:r w:rsidRPr="00C445E4">
        <w:t xml:space="preserve"> be featured. This </w:t>
      </w:r>
      <w:r>
        <w:t xml:space="preserve">will aim to </w:t>
      </w:r>
      <w:r w:rsidRPr="00C445E4">
        <w:t>mobilize broader political support at national and local level and</w:t>
      </w:r>
      <w:r>
        <w:t xml:space="preserve"> support competition between cities.</w:t>
      </w:r>
      <w:r w:rsidRPr="00C445E4">
        <w:t xml:space="preserve"> </w:t>
      </w:r>
    </w:p>
    <w:p w14:paraId="289112F9" w14:textId="77777777" w:rsidR="00E13FA2" w:rsidRPr="005B5602" w:rsidRDefault="00C445E4" w:rsidP="00C445E4">
      <w:pPr>
        <w:pStyle w:val="Bodynumbered"/>
        <w:numPr>
          <w:ilvl w:val="0"/>
          <w:numId w:val="0"/>
        </w:numPr>
        <w:ind w:left="720"/>
      </w:pPr>
      <w:r>
        <w:t xml:space="preserve">ii) </w:t>
      </w:r>
      <w:r w:rsidR="00E13FA2" w:rsidRPr="005B5602">
        <w:t xml:space="preserve">target Mayors, Deputies, advisors and technical staff who are at the municipal level in charge of the allocation of resources in areas of urban planning and development, infrastructure services (energy, water and waste), as well as municipal procurement. Activities will focus in particular on raising awareness levels of climate change and the NAMA concept and process, supporting capacity building to implement local NAMAs and develop proactive attitudes at the municipal level. </w:t>
      </w:r>
    </w:p>
    <w:p w14:paraId="6091AE86" w14:textId="77777777" w:rsidR="00E13FA2" w:rsidRPr="005B5602" w:rsidRDefault="00E13FA2" w:rsidP="006D76A4">
      <w:pPr>
        <w:pStyle w:val="Bodynumbered"/>
      </w:pPr>
      <w:r w:rsidRPr="005B5602">
        <w:t xml:space="preserve">A key initiative under Output 5.5 will be the establishment of an online platform (through the project’s website) that will act as an inter-municipal portal on climate change for Kazakh municipalities, as a port of call for local government practitioners. This will foster inter-municipal communication and therefore enhance cooperation and learning through the exchange of knowledge and skills and strengthening municipal representation on climate change issues. The portal would collect resources relating to NAMAs and local government activities, and make it possible to join groups of colleagues in different municipalities in </w:t>
      </w:r>
      <w:r w:rsidR="001A0103">
        <w:t xml:space="preserve">Kazakhstan </w:t>
      </w:r>
      <w:r w:rsidRPr="005B5602">
        <w:t>working in similar areas and to keep up to date with developments. A regular newsletter would be sent out (either electronic or via existing print publications), updating on activities, best practices and latest thinking in municipal energy efficiency and climate change management; including the feeding back of different municipal voices to national policy audiences (e.g. through tasked representatives).</w:t>
      </w:r>
    </w:p>
    <w:p w14:paraId="4FE1433D" w14:textId="77777777" w:rsidR="00E13FA2" w:rsidRPr="005B5602" w:rsidRDefault="00E13FA2" w:rsidP="006D76A4">
      <w:pPr>
        <w:pStyle w:val="Bodynumbered"/>
      </w:pPr>
      <w:r w:rsidRPr="005B5602">
        <w:t xml:space="preserve">The portal should leverage existing inter-municipal structures and should explore </w:t>
      </w:r>
      <w:r w:rsidR="00C445E4">
        <w:t xml:space="preserve">alignment with other initiatives such as the </w:t>
      </w:r>
      <w:r w:rsidRPr="005B5602">
        <w:t>EU’s Covenant of Mayors East Initiative</w:t>
      </w:r>
      <w:r w:rsidR="00C445E4">
        <w:t xml:space="preserve">, ICCLEI and World </w:t>
      </w:r>
      <w:r w:rsidR="00454052">
        <w:t>Bank / IFC activities on urban modernization</w:t>
      </w:r>
      <w:r w:rsidRPr="005B5602">
        <w:t>. In particular, the portal would facilitate the coordination of activities between different stakeholders, and the sharing of experience regarding the strengthening local capacity (including for financing energy efficiency measures), analysis of legislation and reform, multi-stakeholder cooperation across sectors, leadership in climate action; and best practice dissemination and multimedia campaigns.</w:t>
      </w:r>
    </w:p>
    <w:p w14:paraId="0FDD5EF8" w14:textId="77777777" w:rsidR="00E13FA2" w:rsidRPr="005B5602" w:rsidRDefault="00E13FA2" w:rsidP="006D76A4">
      <w:pPr>
        <w:pStyle w:val="Bodynumbered"/>
      </w:pPr>
      <w:r w:rsidRPr="005B5602">
        <w:t xml:space="preserve">In addition, designation of local focal points within each municipality should be encouraged (e.g. in municipal planning departments), who would deal with NAMA and climate change related issues, including communication and knowledge dissemination activities, coordination across the different departments within the administration as well as with other municipalities. </w:t>
      </w:r>
      <w:r w:rsidR="00514E61">
        <w:t>This will be linked with Component 1 outputs.</w:t>
      </w:r>
    </w:p>
    <w:p w14:paraId="3A910179" w14:textId="77777777" w:rsidR="00514E61" w:rsidRDefault="00E13FA2" w:rsidP="006D76A4">
      <w:pPr>
        <w:pStyle w:val="Bodynumbered"/>
      </w:pPr>
      <w:r w:rsidRPr="005B5602">
        <w:t>The respective merits and effectiveness of several formats will be considered (see below) and</w:t>
      </w:r>
      <w:r w:rsidR="00514E61">
        <w:t>,</w:t>
      </w:r>
      <w:r w:rsidRPr="005B5602">
        <w:t xml:space="preserve"> if considered effective, several types of formats may be ‘bundled’ into a single Municipal NAMA Information Platform. Merits of different formats will be assessed based on their likely effectiveness for raising awareness, facilitating information access and providing actionable guidance and support to Kazakh cities and towns. In particular, the following formats are strong contenders for addressing gaps in the availability of information and best practice in NAMA development and implementation (but should be validated by project manager, the project board, executing agency/ies and other key stakeholder during project inception</w:t>
      </w:r>
      <w:r w:rsidRPr="005B5602">
        <w:rPr>
          <w:lang w:eastAsia="en-GB"/>
        </w:rPr>
        <w:t xml:space="preserve"> meetings):</w:t>
      </w:r>
      <w:r w:rsidRPr="005B5602">
        <w:t xml:space="preserve"> </w:t>
      </w:r>
    </w:p>
    <w:p w14:paraId="67F24D54" w14:textId="77777777" w:rsidR="00E13FA2" w:rsidRPr="007134BC" w:rsidRDefault="00E13FA2" w:rsidP="007D6892">
      <w:pPr>
        <w:pStyle w:val="Bodytextnumbered"/>
        <w:numPr>
          <w:ilvl w:val="0"/>
          <w:numId w:val="29"/>
        </w:numPr>
        <w:spacing w:before="0" w:after="0" w:line="276" w:lineRule="auto"/>
        <w:jc w:val="left"/>
        <w:rPr>
          <w:rFonts w:ascii="Arial" w:hAnsi="Arial"/>
          <w:lang w:val="en-GB"/>
        </w:rPr>
      </w:pPr>
      <w:r w:rsidRPr="007134BC">
        <w:rPr>
          <w:rFonts w:ascii="Arial" w:hAnsi="Arial"/>
          <w:i/>
          <w:lang w:val="en-GB"/>
        </w:rPr>
        <w:t>Targeted seminars -</w:t>
      </w:r>
      <w:r w:rsidRPr="007134BC">
        <w:rPr>
          <w:rFonts w:ascii="Arial" w:hAnsi="Arial"/>
          <w:lang w:val="en-GB"/>
        </w:rPr>
        <w:t xml:space="preserve"> as part of efforts to promote the NAMA concept and the sharing and transferring of experience and expertise developed during the pilot project, seminars and training courses may take place across Kazakhstan and in particular in those locations that are identified as promising NAMA investments in Components 1 and 2. One themed national workshop could take place focusing on best practice in urban and municipal planning that brings together the practitioners that are members of the </w:t>
      </w:r>
      <w:r w:rsidRPr="007134BC">
        <w:rPr>
          <w:rFonts w:ascii="Arial" w:hAnsi="Arial"/>
        </w:rPr>
        <w:t>inter-municipal portal on climate change</w:t>
      </w:r>
      <w:r w:rsidRPr="007134BC">
        <w:rPr>
          <w:rFonts w:ascii="Arial" w:hAnsi="Arial"/>
          <w:lang w:val="en-GB"/>
        </w:rPr>
        <w:t xml:space="preserve"> on an annual or biennial basis, in rotating locations in the Republic and around new themes in climate change related planning issues.</w:t>
      </w:r>
    </w:p>
    <w:p w14:paraId="558D8F91" w14:textId="77777777" w:rsidR="00E13FA2" w:rsidRPr="007134BC" w:rsidRDefault="00E13FA2" w:rsidP="007D6892">
      <w:pPr>
        <w:pStyle w:val="Bodytextnumbered"/>
        <w:numPr>
          <w:ilvl w:val="0"/>
          <w:numId w:val="29"/>
        </w:numPr>
        <w:spacing w:before="0" w:after="0" w:line="276" w:lineRule="auto"/>
        <w:jc w:val="left"/>
        <w:rPr>
          <w:rFonts w:ascii="Arial" w:hAnsi="Arial"/>
          <w:lang w:val="en-GB"/>
        </w:rPr>
      </w:pPr>
      <w:r w:rsidRPr="007134BC">
        <w:rPr>
          <w:rFonts w:ascii="Arial" w:hAnsi="Arial"/>
          <w:i/>
          <w:lang w:val="en-GB"/>
        </w:rPr>
        <w:t xml:space="preserve">Website </w:t>
      </w:r>
      <w:r w:rsidRPr="007134BC">
        <w:rPr>
          <w:rFonts w:ascii="Arial" w:hAnsi="Arial"/>
          <w:lang w:val="en-GB"/>
        </w:rPr>
        <w:t>-</w:t>
      </w:r>
      <w:r w:rsidRPr="007134BC">
        <w:rPr>
          <w:rFonts w:ascii="Arial" w:hAnsi="Arial"/>
          <w:i/>
          <w:lang w:val="en-GB"/>
        </w:rPr>
        <w:t xml:space="preserve"> </w:t>
      </w:r>
      <w:r w:rsidRPr="007134BC">
        <w:rPr>
          <w:rFonts w:ascii="Arial" w:hAnsi="Arial"/>
          <w:lang w:val="en-GB"/>
        </w:rPr>
        <w:t>information about the Project, the NAMA concept (in Russian), activities and outputs will be made available online and linked to other NAMA efforts elsewhere (e.g. GEF projects). The website will be updated regularly to reflect content created and developments and content generated during project implementation, including training materials, and case studies, will be added to the website accordingly.</w:t>
      </w:r>
    </w:p>
    <w:p w14:paraId="32C997C6" w14:textId="77777777" w:rsidR="00E13FA2" w:rsidRPr="007134BC" w:rsidRDefault="00E13FA2" w:rsidP="007D6892">
      <w:pPr>
        <w:pStyle w:val="Bodytextnumbered"/>
        <w:numPr>
          <w:ilvl w:val="0"/>
          <w:numId w:val="29"/>
        </w:numPr>
        <w:spacing w:before="0" w:after="0" w:line="276" w:lineRule="auto"/>
        <w:jc w:val="left"/>
        <w:rPr>
          <w:rFonts w:ascii="Arial" w:hAnsi="Arial"/>
          <w:lang w:val="en-GB"/>
        </w:rPr>
      </w:pPr>
      <w:r w:rsidRPr="007134BC">
        <w:rPr>
          <w:rFonts w:ascii="Arial" w:hAnsi="Arial"/>
          <w:i/>
          <w:lang w:val="en-GB"/>
        </w:rPr>
        <w:t xml:space="preserve">Study tours - </w:t>
      </w:r>
      <w:r w:rsidRPr="007134BC">
        <w:rPr>
          <w:rFonts w:ascii="Arial" w:hAnsi="Arial"/>
          <w:lang w:val="en-GB"/>
        </w:rPr>
        <w:t xml:space="preserve">the concept of a study tour, especially city-to-city exchange schemes, is appropriate to promote exchanges of experiences with NAMA and other municipal mitigation. Study tours are particularly relevant for bringing together groups of urban professionals around demonstration sites (e.g. in </w:t>
      </w:r>
      <w:r w:rsidR="004514C0">
        <w:rPr>
          <w:rFonts w:ascii="Arial" w:hAnsi="Arial"/>
          <w:lang w:val="en-GB"/>
        </w:rPr>
        <w:t>Prigorodnoye</w:t>
      </w:r>
      <w:r w:rsidRPr="007134BC">
        <w:rPr>
          <w:rFonts w:ascii="Arial" w:hAnsi="Arial"/>
          <w:lang w:val="en-GB"/>
        </w:rPr>
        <w:t xml:space="preserve">) in order to engage over the practicalities of implementing an urban NAMA project. Presentations would be given by relevant project promoters to provide a powerful example of how these investments were achieved, and open up discussion concerning the implications of replicating NAMA projects elsewhere. </w:t>
      </w:r>
    </w:p>
    <w:p w14:paraId="7AD0688F" w14:textId="77777777" w:rsidR="0008719E" w:rsidRPr="0008719E" w:rsidRDefault="0008719E" w:rsidP="007D6892">
      <w:pPr>
        <w:pStyle w:val="Bodytextnumbered"/>
        <w:numPr>
          <w:ilvl w:val="0"/>
          <w:numId w:val="29"/>
        </w:numPr>
        <w:spacing w:before="0" w:after="0" w:line="276" w:lineRule="auto"/>
        <w:jc w:val="left"/>
        <w:rPr>
          <w:rFonts w:ascii="Arial" w:hAnsi="Arial"/>
          <w:lang w:val="en-GB"/>
        </w:rPr>
      </w:pPr>
      <w:r>
        <w:rPr>
          <w:rFonts w:ascii="Arial" w:hAnsi="Arial"/>
          <w:i/>
          <w:lang w:val="en-GB"/>
        </w:rPr>
        <w:t>City twinning</w:t>
      </w:r>
      <w:r w:rsidRPr="007134BC">
        <w:rPr>
          <w:rFonts w:ascii="Arial" w:hAnsi="Arial"/>
          <w:i/>
          <w:lang w:val="en-GB"/>
        </w:rPr>
        <w:t xml:space="preserve"> </w:t>
      </w:r>
      <w:r>
        <w:rPr>
          <w:rFonts w:ascii="Arial" w:hAnsi="Arial"/>
          <w:i/>
          <w:lang w:val="en-GB"/>
        </w:rPr>
        <w:t>–</w:t>
      </w:r>
      <w:r w:rsidRPr="007134BC">
        <w:rPr>
          <w:rFonts w:ascii="Arial" w:hAnsi="Arial"/>
          <w:i/>
          <w:lang w:val="en-GB"/>
        </w:rPr>
        <w:t xml:space="preserve"> </w:t>
      </w:r>
      <w:r w:rsidRPr="0008719E">
        <w:rPr>
          <w:rFonts w:ascii="Arial" w:hAnsi="Arial"/>
          <w:lang w:val="en-GB"/>
        </w:rPr>
        <w:t xml:space="preserve">As </w:t>
      </w:r>
      <w:r>
        <w:rPr>
          <w:rFonts w:ascii="Arial" w:hAnsi="Arial"/>
          <w:lang w:val="en-GB"/>
        </w:rPr>
        <w:t xml:space="preserve">mentioned under component 1, to support learning </w:t>
      </w:r>
      <w:r w:rsidRPr="0008719E">
        <w:rPr>
          <w:rFonts w:ascii="Arial" w:hAnsi="Arial"/>
          <w:lang w:val="en-GB"/>
        </w:rPr>
        <w:t>“twinning arrangements” will be facilitated, first between innovators and more advanced cities from the West and then between early adopters and innovators</w:t>
      </w:r>
      <w:r>
        <w:rPr>
          <w:rFonts w:ascii="Arial" w:hAnsi="Arial"/>
          <w:lang w:val="en-GB"/>
        </w:rPr>
        <w:t xml:space="preserve">. </w:t>
      </w:r>
    </w:p>
    <w:p w14:paraId="284829CA" w14:textId="77777777" w:rsidR="00E13FA2" w:rsidRPr="007134BC" w:rsidRDefault="00E13FA2" w:rsidP="007D6892">
      <w:pPr>
        <w:pStyle w:val="Bodytextnumbered"/>
        <w:numPr>
          <w:ilvl w:val="0"/>
          <w:numId w:val="29"/>
        </w:numPr>
        <w:spacing w:before="0" w:after="0" w:line="276" w:lineRule="auto"/>
        <w:jc w:val="left"/>
        <w:rPr>
          <w:rFonts w:ascii="Arial" w:hAnsi="Arial"/>
          <w:lang w:val="en-GB"/>
        </w:rPr>
      </w:pPr>
      <w:r w:rsidRPr="007134BC">
        <w:rPr>
          <w:rFonts w:ascii="Arial" w:hAnsi="Arial"/>
          <w:i/>
          <w:lang w:val="en-GB"/>
        </w:rPr>
        <w:t>Promotional materials</w:t>
      </w:r>
      <w:r w:rsidRPr="007134BC">
        <w:rPr>
          <w:rFonts w:ascii="Arial" w:hAnsi="Arial"/>
          <w:lang w:val="en-GB"/>
        </w:rPr>
        <w:t xml:space="preserve"> such as case studies, brochures, briefings, training courses and possibly a handbook on municipal NAMAs will target municipal stakeholders and other potential project promoters and professional groups. The handbook could contain a collection of experiences from across Kazakhstan, best practice and key challenges. </w:t>
      </w:r>
    </w:p>
    <w:p w14:paraId="7377FD53" w14:textId="77777777" w:rsidR="00E13FA2" w:rsidRPr="007134BC" w:rsidRDefault="00E13FA2" w:rsidP="006D76A4">
      <w:pPr>
        <w:pStyle w:val="Bodynumbered"/>
      </w:pPr>
      <w:r w:rsidRPr="007134BC">
        <w:t>The content of the activities will be based on international best practices, including the emerging literature and experiences on NAMAs and global networks such as the NAMA Partnership (</w:t>
      </w:r>
      <w:hyperlink r:id="rId17" w:history="1">
        <w:r w:rsidRPr="006D76A4">
          <w:t>www.namapartnership.org</w:t>
        </w:r>
      </w:hyperlink>
      <w:r w:rsidRPr="007134BC">
        <w:t>), the International Partnership on Mitigation and MRV (</w:t>
      </w:r>
      <w:hyperlink r:id="rId18" w:history="1">
        <w:r w:rsidRPr="006D76A4">
          <w:t>http://www.mitigationpartnership.net</w:t>
        </w:r>
      </w:hyperlink>
      <w:r w:rsidRPr="007134BC">
        <w:t>), the Partnership for Market Readiness (PMR) (</w:t>
      </w:r>
      <w:hyperlink r:id="rId19" w:history="1">
        <w:r w:rsidRPr="006D76A4">
          <w:t>http://www.thepmr.org</w:t>
        </w:r>
      </w:hyperlink>
      <w:r w:rsidRPr="007134BC">
        <w:t>) and the European Union’s Covenant of Mayors - East Initiative, including the Sustainable Energy Action Plan (SEAPs) development process. The novelty of the NAMA concept and development, implementation and operation process for cities and towns in Kazakhstan makes this a particularly critical and potentially challenging process, which should be guided by a carefully designed roll-out plan. This plan should be detailed at project inception, according to local context and the experience of project managers and other contributors, and should include at least the following activities:</w:t>
      </w:r>
    </w:p>
    <w:p w14:paraId="5D3E5C47" w14:textId="77777777" w:rsidR="00E13FA2" w:rsidRPr="00630419" w:rsidRDefault="00630419" w:rsidP="00630419">
      <w:pPr>
        <w:ind w:left="1440" w:hanging="1440"/>
        <w:jc w:val="left"/>
        <w:rPr>
          <w:lang w:val="en-US"/>
        </w:rPr>
      </w:pPr>
      <w:r>
        <w:rPr>
          <w:lang w:val="en-US"/>
        </w:rPr>
        <w:t xml:space="preserve">Activity </w:t>
      </w:r>
      <w:r w:rsidRPr="004E60D7">
        <w:rPr>
          <w:lang w:val="en-US"/>
        </w:rPr>
        <w:t>5.</w:t>
      </w:r>
      <w:r>
        <w:rPr>
          <w:lang w:val="en-US"/>
        </w:rPr>
        <w:t>2</w:t>
      </w:r>
      <w:r w:rsidRPr="004E60D7">
        <w:rPr>
          <w:lang w:val="en-US"/>
        </w:rPr>
        <w:t xml:space="preserve">.1 </w:t>
      </w:r>
      <w:r w:rsidR="00E13FA2" w:rsidRPr="00630419">
        <w:rPr>
          <w:lang w:val="en-US"/>
        </w:rPr>
        <w:t xml:space="preserve">Set up </w:t>
      </w:r>
      <w:r w:rsidRPr="00630419">
        <w:rPr>
          <w:lang w:val="en-US"/>
        </w:rPr>
        <w:t>an</w:t>
      </w:r>
      <w:r w:rsidR="00E13FA2" w:rsidRPr="00630419">
        <w:rPr>
          <w:lang w:val="en-US"/>
        </w:rPr>
        <w:t xml:space="preserve"> inter-municipal portal for the city-to-city exchange</w:t>
      </w:r>
      <w:r w:rsidR="007134BC" w:rsidRPr="00630419">
        <w:rPr>
          <w:lang w:val="en-US"/>
        </w:rPr>
        <w:t>;</w:t>
      </w:r>
    </w:p>
    <w:p w14:paraId="3C66E4D6" w14:textId="77777777" w:rsidR="00E13FA2" w:rsidRDefault="00630419" w:rsidP="00630419">
      <w:pPr>
        <w:ind w:left="1440" w:hanging="1440"/>
        <w:jc w:val="left"/>
        <w:rPr>
          <w:lang w:val="en-US"/>
        </w:rPr>
      </w:pPr>
      <w:r>
        <w:rPr>
          <w:lang w:val="en-US"/>
        </w:rPr>
        <w:t xml:space="preserve">Activity </w:t>
      </w:r>
      <w:r w:rsidRPr="004E60D7">
        <w:rPr>
          <w:lang w:val="en-US"/>
        </w:rPr>
        <w:t>5.</w:t>
      </w:r>
      <w:r>
        <w:rPr>
          <w:lang w:val="en-US"/>
        </w:rPr>
        <w:t>2</w:t>
      </w:r>
      <w:r w:rsidRPr="004E60D7">
        <w:rPr>
          <w:lang w:val="en-US"/>
        </w:rPr>
        <w:t>.</w:t>
      </w:r>
      <w:r w:rsidR="00590685">
        <w:rPr>
          <w:lang w:val="en-US"/>
        </w:rPr>
        <w:t>2</w:t>
      </w:r>
      <w:r w:rsidRPr="004E60D7">
        <w:rPr>
          <w:lang w:val="en-US"/>
        </w:rPr>
        <w:t xml:space="preserve"> </w:t>
      </w:r>
      <w:r w:rsidR="00E13FA2" w:rsidRPr="00630419">
        <w:rPr>
          <w:lang w:val="en-US"/>
        </w:rPr>
        <w:t>Develop a communication and dissemination strategy  (based on scoping, consultation with local stakeholders, understanding the baseline of awareness and the types of information needs (info</w:t>
      </w:r>
      <w:r w:rsidR="007134BC" w:rsidRPr="00630419">
        <w:rPr>
          <w:lang w:val="en-US"/>
        </w:rPr>
        <w:t xml:space="preserve">rmed by work under Component 1 </w:t>
      </w:r>
      <w:r w:rsidR="00E13FA2" w:rsidRPr="00630419">
        <w:rPr>
          <w:lang w:val="en-US"/>
        </w:rPr>
        <w:t xml:space="preserve">and </w:t>
      </w:r>
      <w:r w:rsidR="007134BC" w:rsidRPr="00630419">
        <w:rPr>
          <w:lang w:val="en-US"/>
        </w:rPr>
        <w:t xml:space="preserve">possibly </w:t>
      </w:r>
      <w:r w:rsidR="00E13FA2" w:rsidRPr="00630419">
        <w:rPr>
          <w:lang w:val="en-US"/>
        </w:rPr>
        <w:t>2)</w:t>
      </w:r>
      <w:r w:rsidR="007134BC" w:rsidRPr="00630419">
        <w:rPr>
          <w:lang w:val="en-US"/>
        </w:rPr>
        <w:t>;</w:t>
      </w:r>
    </w:p>
    <w:p w14:paraId="5265C5CD" w14:textId="77777777" w:rsidR="00590685" w:rsidRPr="00630419" w:rsidRDefault="00590685" w:rsidP="00630419">
      <w:pPr>
        <w:ind w:left="1440" w:hanging="1440"/>
        <w:jc w:val="left"/>
        <w:rPr>
          <w:lang w:val="en-US"/>
        </w:rPr>
      </w:pPr>
      <w:r>
        <w:rPr>
          <w:lang w:val="en-US"/>
        </w:rPr>
        <w:t>Activity 5.2.3</w:t>
      </w:r>
      <w:r>
        <w:rPr>
          <w:lang w:val="en-US"/>
        </w:rPr>
        <w:tab/>
        <w:t>Establish awareness index for cities and measure (via survey) baseline, mid-term, and end of project values</w:t>
      </w:r>
    </w:p>
    <w:p w14:paraId="25621E12" w14:textId="77777777" w:rsidR="00E13FA2" w:rsidRPr="00630419" w:rsidRDefault="00630419" w:rsidP="00630419">
      <w:pPr>
        <w:ind w:left="1440" w:hanging="1440"/>
        <w:jc w:val="left"/>
        <w:rPr>
          <w:lang w:val="en-US"/>
        </w:rPr>
      </w:pPr>
      <w:r>
        <w:rPr>
          <w:lang w:val="en-US"/>
        </w:rPr>
        <w:t xml:space="preserve">Activity </w:t>
      </w:r>
      <w:r w:rsidRPr="004E60D7">
        <w:rPr>
          <w:lang w:val="en-US"/>
        </w:rPr>
        <w:t>5.</w:t>
      </w:r>
      <w:r>
        <w:rPr>
          <w:lang w:val="en-US"/>
        </w:rPr>
        <w:t>2</w:t>
      </w:r>
      <w:r w:rsidRPr="004E60D7">
        <w:rPr>
          <w:lang w:val="en-US"/>
        </w:rPr>
        <w:t>.</w:t>
      </w:r>
      <w:r w:rsidR="00590685">
        <w:rPr>
          <w:lang w:val="en-US"/>
        </w:rPr>
        <w:t>4</w:t>
      </w:r>
      <w:r w:rsidRPr="004E60D7">
        <w:rPr>
          <w:lang w:val="en-US"/>
        </w:rPr>
        <w:t xml:space="preserve"> </w:t>
      </w:r>
      <w:r w:rsidR="00E13FA2" w:rsidRPr="00630419">
        <w:rPr>
          <w:lang w:val="en-US"/>
        </w:rPr>
        <w:t>Harvesting lessons learnt, e.g. through after-action reviews across Components 1-4</w:t>
      </w:r>
      <w:r w:rsidR="007134BC" w:rsidRPr="00630419">
        <w:rPr>
          <w:lang w:val="en-US"/>
        </w:rPr>
        <w:t>;</w:t>
      </w:r>
    </w:p>
    <w:p w14:paraId="40284ECA" w14:textId="77777777" w:rsidR="00E13FA2" w:rsidRPr="00630419" w:rsidRDefault="00630419" w:rsidP="00630419">
      <w:pPr>
        <w:ind w:left="1440" w:hanging="1440"/>
        <w:jc w:val="left"/>
        <w:rPr>
          <w:lang w:val="en-US"/>
        </w:rPr>
      </w:pPr>
      <w:r>
        <w:rPr>
          <w:lang w:val="en-US"/>
        </w:rPr>
        <w:t xml:space="preserve">Activity </w:t>
      </w:r>
      <w:r w:rsidRPr="004E60D7">
        <w:rPr>
          <w:lang w:val="en-US"/>
        </w:rPr>
        <w:t>5.</w:t>
      </w:r>
      <w:r>
        <w:rPr>
          <w:lang w:val="en-US"/>
        </w:rPr>
        <w:t>2</w:t>
      </w:r>
      <w:r w:rsidRPr="004E60D7">
        <w:rPr>
          <w:lang w:val="en-US"/>
        </w:rPr>
        <w:t>.</w:t>
      </w:r>
      <w:r w:rsidR="00590685">
        <w:rPr>
          <w:lang w:val="en-US"/>
        </w:rPr>
        <w:t>5</w:t>
      </w:r>
      <w:r w:rsidRPr="004E60D7">
        <w:rPr>
          <w:lang w:val="en-US"/>
        </w:rPr>
        <w:t xml:space="preserve"> </w:t>
      </w:r>
      <w:r w:rsidR="00E13FA2" w:rsidRPr="00630419">
        <w:rPr>
          <w:lang w:val="en-US"/>
        </w:rPr>
        <w:t>Liaison with global NAMA processes between UNDP proj</w:t>
      </w:r>
      <w:r w:rsidR="007134BC" w:rsidRPr="00630419">
        <w:rPr>
          <w:lang w:val="en-US"/>
        </w:rPr>
        <w:t>ect managers.</w:t>
      </w:r>
    </w:p>
    <w:p w14:paraId="65636257" w14:textId="77777777" w:rsidR="004445B5" w:rsidRPr="005B5602" w:rsidRDefault="004445B5" w:rsidP="004445B5">
      <w:pPr>
        <w:pStyle w:val="Heading2"/>
        <w:rPr>
          <w:rFonts w:ascii="Arial" w:hAnsi="Arial"/>
        </w:rPr>
      </w:pPr>
      <w:bookmarkStart w:id="60" w:name="_Toc393448999"/>
      <w:r w:rsidRPr="005B5602">
        <w:rPr>
          <w:rFonts w:ascii="Arial" w:hAnsi="Arial"/>
        </w:rPr>
        <w:t>Innovativeness, sustainability and potential for scaling up</w:t>
      </w:r>
      <w:bookmarkEnd w:id="60"/>
    </w:p>
    <w:p w14:paraId="30C07DF8" w14:textId="77777777" w:rsidR="004445B5" w:rsidRPr="005B5602" w:rsidRDefault="00514E61" w:rsidP="006D76A4">
      <w:pPr>
        <w:pStyle w:val="Bodynumbered"/>
      </w:pPr>
      <w:r>
        <w:t xml:space="preserve">The innovativeness of this Project in Kazakhstan is due to it being </w:t>
      </w:r>
      <w:r w:rsidR="000F7D76">
        <w:t xml:space="preserve">the first </w:t>
      </w:r>
      <w:r w:rsidR="004445B5" w:rsidRPr="005B5602">
        <w:t>attempt</w:t>
      </w:r>
      <w:r w:rsidR="000F7D76">
        <w:t>s</w:t>
      </w:r>
      <w:r w:rsidR="004445B5" w:rsidRPr="005B5602">
        <w:t xml:space="preserve"> globally to pilot-test the concept of urban NAMAs and leverage carbon finance for urban emission reduction projects</w:t>
      </w:r>
      <w:r w:rsidR="000F7D76">
        <w:t xml:space="preserve"> through the NAMA mechanism</w:t>
      </w:r>
      <w:r>
        <w:t>.</w:t>
      </w:r>
    </w:p>
    <w:p w14:paraId="63AD6F2E" w14:textId="77777777" w:rsidR="004445B5" w:rsidRPr="005B5602" w:rsidRDefault="004445B5" w:rsidP="006D76A4">
      <w:pPr>
        <w:pStyle w:val="Bodynumbered"/>
      </w:pPr>
      <w:r w:rsidRPr="005B5602">
        <w:t xml:space="preserve">The strategy to ensure sustainability of </w:t>
      </w:r>
      <w:r w:rsidR="00514E61">
        <w:t>the P</w:t>
      </w:r>
      <w:r w:rsidRPr="005B5602">
        <w:t>roject results and</w:t>
      </w:r>
      <w:r w:rsidR="00514E61">
        <w:t>,</w:t>
      </w:r>
      <w:r w:rsidRPr="005B5602">
        <w:t xml:space="preserve"> in particular</w:t>
      </w:r>
      <w:r w:rsidR="00514E61">
        <w:t>,</w:t>
      </w:r>
      <w:r w:rsidRPr="005B5602">
        <w:t xml:space="preserve"> </w:t>
      </w:r>
      <w:r w:rsidR="00514E61">
        <w:t xml:space="preserve">the national level fund, </w:t>
      </w:r>
      <w:r w:rsidRPr="005B5602">
        <w:t>is based on the following:</w:t>
      </w:r>
    </w:p>
    <w:p w14:paraId="0F8F1A9F" w14:textId="77777777" w:rsidR="004445B5" w:rsidRPr="005B5602" w:rsidRDefault="004445B5" w:rsidP="006D76A4">
      <w:pPr>
        <w:pStyle w:val="Bodynumbered"/>
      </w:pPr>
      <w:r w:rsidRPr="005B5602">
        <w:t xml:space="preserve">The Government of Kazakhstan is fully committed to support Fund’s capitalization till 2020 (the end of National Modernization Program) at which point the Fund is expected to generate sufficient reflows for its continued operations </w:t>
      </w:r>
    </w:p>
    <w:p w14:paraId="7FFCF03E" w14:textId="77777777" w:rsidR="004445B5" w:rsidRPr="005B5602" w:rsidRDefault="004445B5" w:rsidP="006D76A4">
      <w:pPr>
        <w:pStyle w:val="Bodynumbered"/>
      </w:pPr>
      <w:r w:rsidRPr="005B5602">
        <w:t xml:space="preserve">The project will support the development of Fund’s diversification strategy and mechanisms to leverage additional financing from public, private and international sources of funding, such as Green Climate Fund or carbon markets.   </w:t>
      </w:r>
    </w:p>
    <w:p w14:paraId="25997A5A" w14:textId="77777777" w:rsidR="004445B5" w:rsidRPr="00514E61" w:rsidRDefault="00514E61" w:rsidP="006D76A4">
      <w:pPr>
        <w:pStyle w:val="Bodynumbered"/>
      </w:pPr>
      <w:r>
        <w:t>The P</w:t>
      </w:r>
      <w:r w:rsidR="004445B5" w:rsidRPr="005B5602">
        <w:t xml:space="preserve">roject has </w:t>
      </w:r>
      <w:r>
        <w:t>considerable</w:t>
      </w:r>
      <w:r w:rsidR="004445B5" w:rsidRPr="005B5602">
        <w:t xml:space="preserve"> potential for scaling-up not only in Kazak</w:t>
      </w:r>
      <w:r>
        <w:t>hstan, but also in other countries</w:t>
      </w:r>
      <w:r w:rsidR="004445B5" w:rsidRPr="005B5602">
        <w:t xml:space="preserve"> and regions with similar urbanization and GHG emission patterns. If successful, </w:t>
      </w:r>
      <w:r>
        <w:t xml:space="preserve">the </w:t>
      </w:r>
      <w:r w:rsidR="004445B5" w:rsidRPr="005B5602">
        <w:t xml:space="preserve">urban NAMA can become a powerful tool for </w:t>
      </w:r>
      <w:r w:rsidR="00650A38" w:rsidRPr="005B5602">
        <w:t>citywide</w:t>
      </w:r>
      <w:r w:rsidR="004445B5" w:rsidRPr="005B5602">
        <w:t xml:space="preserve"> GHG emission reduction. In Kazakhstan alone, there are over 100 cities and towns where the approach can be scaled-up. </w:t>
      </w:r>
    </w:p>
    <w:p w14:paraId="0BF7A40B" w14:textId="77777777" w:rsidR="004615EE" w:rsidRDefault="004615EE" w:rsidP="005B02B2">
      <w:pPr>
        <w:rPr>
          <w:rFonts w:cs="Arial"/>
          <w:b/>
          <w:smallCaps/>
          <w:szCs w:val="22"/>
          <w:lang w:val="en-US"/>
        </w:rPr>
      </w:pPr>
    </w:p>
    <w:p w14:paraId="365CE934" w14:textId="77777777" w:rsidR="004615EE" w:rsidRPr="005B5602" w:rsidRDefault="004615EE" w:rsidP="004615EE">
      <w:pPr>
        <w:pStyle w:val="Heading2"/>
        <w:rPr>
          <w:rFonts w:ascii="Arial" w:hAnsi="Arial"/>
        </w:rPr>
      </w:pPr>
      <w:bookmarkStart w:id="61" w:name="_Ref249156243"/>
      <w:bookmarkStart w:id="62" w:name="_Toc393449000"/>
      <w:r>
        <w:rPr>
          <w:rFonts w:ascii="Arial" w:hAnsi="Arial"/>
        </w:rPr>
        <w:t>Global environment benefits</w:t>
      </w:r>
      <w:bookmarkEnd w:id="61"/>
      <w:bookmarkEnd w:id="62"/>
    </w:p>
    <w:p w14:paraId="256B3401" w14:textId="77777777" w:rsidR="0008719E" w:rsidRDefault="0008719E" w:rsidP="0008719E">
      <w:pPr>
        <w:pStyle w:val="Bodynumbered"/>
      </w:pPr>
      <w:r w:rsidRPr="003D0A2B">
        <w:t xml:space="preserve">The Project </w:t>
      </w:r>
      <w:r>
        <w:t xml:space="preserve">activities on implementation of a pilot urban NAMA, establishment of a NAMA Fund and ensuing replications are expected to generate a range of GHG emission reductions which are summarized in the table below. A more detailed analysis of the GHG impact is presented in Annex F. </w:t>
      </w:r>
    </w:p>
    <w:p w14:paraId="1CB6C21D" w14:textId="77777777" w:rsidR="0008719E" w:rsidRPr="003D0A2B" w:rsidRDefault="0008719E" w:rsidP="0008719E">
      <w:pPr>
        <w:pStyle w:val="Bodynumbered"/>
        <w:numPr>
          <w:ilvl w:val="0"/>
          <w:numId w:val="0"/>
        </w:numPr>
        <w:ind w:left="720" w:hanging="360"/>
        <w:rPr>
          <w:rFonts w:eastAsia="Times New Roman" w:cs="Times New Roman"/>
          <w:b/>
          <w:bCs/>
          <w:szCs w:val="24"/>
          <w:lang w:val="en-US"/>
        </w:rPr>
      </w:pPr>
      <w:r w:rsidRPr="003D0A2B">
        <w:rPr>
          <w:rFonts w:eastAsia="Times New Roman" w:cs="Times New Roman"/>
          <w:b/>
          <w:bCs/>
          <w:szCs w:val="24"/>
          <w:lang w:val="en-US"/>
        </w:rPr>
        <w:t xml:space="preserve">Table </w:t>
      </w:r>
      <w:r>
        <w:rPr>
          <w:rFonts w:eastAsia="Times New Roman" w:cs="Times New Roman"/>
          <w:b/>
          <w:bCs/>
          <w:szCs w:val="24"/>
          <w:lang w:val="en-US"/>
        </w:rPr>
        <w:t>3.</w:t>
      </w:r>
      <w:r w:rsidRPr="003D0A2B">
        <w:rPr>
          <w:rFonts w:eastAsia="Times New Roman" w:cs="Times New Roman"/>
          <w:b/>
          <w:bCs/>
          <w:szCs w:val="24"/>
          <w:lang w:val="en-US"/>
        </w:rPr>
        <w:t xml:space="preserve"> </w:t>
      </w:r>
      <w:r>
        <w:rPr>
          <w:rFonts w:eastAsia="Times New Roman" w:cs="Times New Roman"/>
          <w:b/>
          <w:bCs/>
          <w:szCs w:val="24"/>
          <w:lang w:val="en-US"/>
        </w:rPr>
        <w:t>Projected GHG impacts</w:t>
      </w:r>
      <w:r w:rsidRPr="003D0A2B">
        <w:rPr>
          <w:rFonts w:eastAsia="Times New Roman" w:cs="Times New Roman"/>
          <w:b/>
          <w:bCs/>
          <w:szCs w:val="24"/>
          <w:lang w:val="en-US"/>
        </w:rPr>
        <w:t xml:space="preserve"> </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1743"/>
        <w:gridCol w:w="1758"/>
        <w:gridCol w:w="4513"/>
      </w:tblGrid>
      <w:tr w:rsidR="0008719E" w:rsidRPr="00EC3EB4" w14:paraId="503C0B0C" w14:textId="77777777" w:rsidTr="0008719E">
        <w:tc>
          <w:tcPr>
            <w:tcW w:w="1341" w:type="dxa"/>
            <w:shd w:val="clear" w:color="auto" w:fill="auto"/>
            <w:vAlign w:val="center"/>
          </w:tcPr>
          <w:p w14:paraId="2A418B68" w14:textId="77777777" w:rsidR="0008719E" w:rsidRPr="003D0A2B" w:rsidRDefault="0008719E" w:rsidP="0008719E">
            <w:pPr>
              <w:jc w:val="center"/>
              <w:rPr>
                <w:b/>
                <w:szCs w:val="22"/>
              </w:rPr>
            </w:pPr>
            <w:r w:rsidRPr="003D0A2B">
              <w:rPr>
                <w:b/>
                <w:szCs w:val="22"/>
              </w:rPr>
              <w:t>GHG emission reductions</w:t>
            </w:r>
          </w:p>
        </w:tc>
        <w:tc>
          <w:tcPr>
            <w:tcW w:w="1743" w:type="dxa"/>
            <w:shd w:val="clear" w:color="auto" w:fill="auto"/>
            <w:vAlign w:val="center"/>
          </w:tcPr>
          <w:p w14:paraId="2F8DE974" w14:textId="77777777" w:rsidR="0008719E" w:rsidRPr="003D0A2B" w:rsidRDefault="0008719E" w:rsidP="0008719E">
            <w:pPr>
              <w:jc w:val="center"/>
              <w:rPr>
                <w:b/>
                <w:szCs w:val="22"/>
              </w:rPr>
            </w:pPr>
            <w:r w:rsidRPr="003D0A2B">
              <w:rPr>
                <w:b/>
                <w:szCs w:val="22"/>
              </w:rPr>
              <w:t>Project Component</w:t>
            </w:r>
          </w:p>
        </w:tc>
        <w:tc>
          <w:tcPr>
            <w:tcW w:w="1758" w:type="dxa"/>
            <w:vAlign w:val="center"/>
          </w:tcPr>
          <w:p w14:paraId="7241C45B" w14:textId="77777777" w:rsidR="0008719E" w:rsidRPr="003D0A2B" w:rsidRDefault="0008719E" w:rsidP="0008719E">
            <w:pPr>
              <w:jc w:val="center"/>
              <w:rPr>
                <w:b/>
                <w:szCs w:val="22"/>
              </w:rPr>
            </w:pPr>
            <w:r w:rsidRPr="003D0A2B">
              <w:rPr>
                <w:b/>
                <w:szCs w:val="22"/>
              </w:rPr>
              <w:t>tCO2 (cumulative)</w:t>
            </w:r>
          </w:p>
        </w:tc>
        <w:tc>
          <w:tcPr>
            <w:tcW w:w="4513" w:type="dxa"/>
            <w:shd w:val="clear" w:color="auto" w:fill="auto"/>
            <w:vAlign w:val="center"/>
          </w:tcPr>
          <w:p w14:paraId="6016C042" w14:textId="77777777" w:rsidR="0008719E" w:rsidRPr="003D0A2B" w:rsidRDefault="0008719E" w:rsidP="0008719E">
            <w:pPr>
              <w:jc w:val="center"/>
              <w:rPr>
                <w:b/>
                <w:szCs w:val="22"/>
              </w:rPr>
            </w:pPr>
          </w:p>
          <w:p w14:paraId="63DA7EB6" w14:textId="77777777" w:rsidR="0008719E" w:rsidRPr="003D0A2B" w:rsidRDefault="0008719E" w:rsidP="0008719E">
            <w:pPr>
              <w:jc w:val="center"/>
              <w:rPr>
                <w:b/>
                <w:szCs w:val="22"/>
              </w:rPr>
            </w:pPr>
            <w:r>
              <w:rPr>
                <w:b/>
                <w:szCs w:val="22"/>
              </w:rPr>
              <w:t>Comments and a</w:t>
            </w:r>
            <w:r w:rsidRPr="003D0A2B">
              <w:rPr>
                <w:b/>
                <w:szCs w:val="22"/>
              </w:rPr>
              <w:t>ssumptions</w:t>
            </w:r>
          </w:p>
        </w:tc>
      </w:tr>
      <w:tr w:rsidR="0008719E" w:rsidRPr="00EC3EB4" w14:paraId="282E74A2" w14:textId="77777777" w:rsidTr="0008719E">
        <w:tc>
          <w:tcPr>
            <w:tcW w:w="1341" w:type="dxa"/>
            <w:shd w:val="clear" w:color="auto" w:fill="auto"/>
            <w:vAlign w:val="center"/>
          </w:tcPr>
          <w:p w14:paraId="2A8099A9" w14:textId="77777777" w:rsidR="0008719E" w:rsidRPr="00EC3EB4" w:rsidRDefault="0008719E" w:rsidP="0008719E">
            <w:pPr>
              <w:jc w:val="left"/>
              <w:rPr>
                <w:szCs w:val="22"/>
              </w:rPr>
            </w:pPr>
            <w:r w:rsidRPr="00EC3EB4">
              <w:rPr>
                <w:szCs w:val="22"/>
              </w:rPr>
              <w:t>Direct</w:t>
            </w:r>
          </w:p>
        </w:tc>
        <w:tc>
          <w:tcPr>
            <w:tcW w:w="1743" w:type="dxa"/>
            <w:shd w:val="clear" w:color="auto" w:fill="auto"/>
            <w:vAlign w:val="center"/>
          </w:tcPr>
          <w:p w14:paraId="2293BB1E" w14:textId="77777777" w:rsidR="0008719E" w:rsidRDefault="0008719E" w:rsidP="0008719E">
            <w:pPr>
              <w:jc w:val="left"/>
              <w:rPr>
                <w:szCs w:val="22"/>
              </w:rPr>
            </w:pPr>
            <w:r w:rsidRPr="00EC3EB4">
              <w:rPr>
                <w:szCs w:val="22"/>
              </w:rPr>
              <w:t xml:space="preserve">Component 4: </w:t>
            </w:r>
            <w:r>
              <w:rPr>
                <w:szCs w:val="22"/>
              </w:rPr>
              <w:t xml:space="preserve">Implementation of </w:t>
            </w:r>
            <w:r w:rsidRPr="00EC3EB4">
              <w:rPr>
                <w:szCs w:val="22"/>
              </w:rPr>
              <w:t>pilot urban NAMA</w:t>
            </w:r>
          </w:p>
          <w:p w14:paraId="187E35C2" w14:textId="77777777" w:rsidR="0008719E" w:rsidRPr="00EC3EB4" w:rsidRDefault="0008719E" w:rsidP="0008719E">
            <w:pPr>
              <w:jc w:val="left"/>
              <w:rPr>
                <w:szCs w:val="22"/>
              </w:rPr>
            </w:pPr>
            <w:r w:rsidRPr="00EC3EB4">
              <w:rPr>
                <w:szCs w:val="22"/>
              </w:rPr>
              <w:t>Component 3:</w:t>
            </w:r>
          </w:p>
          <w:p w14:paraId="3CE10E5F" w14:textId="77777777" w:rsidR="0008719E" w:rsidRPr="00EC3EB4" w:rsidRDefault="0008719E" w:rsidP="0008719E">
            <w:pPr>
              <w:jc w:val="left"/>
              <w:rPr>
                <w:szCs w:val="22"/>
              </w:rPr>
            </w:pPr>
            <w:r>
              <w:rPr>
                <w:szCs w:val="22"/>
              </w:rPr>
              <w:t>Financing for urban NAMAs</w:t>
            </w:r>
          </w:p>
        </w:tc>
        <w:tc>
          <w:tcPr>
            <w:tcW w:w="1758" w:type="dxa"/>
            <w:vAlign w:val="center"/>
          </w:tcPr>
          <w:p w14:paraId="20F12383" w14:textId="77777777" w:rsidR="0008719E" w:rsidRPr="00EC3EB4" w:rsidRDefault="0008719E" w:rsidP="0008719E">
            <w:pPr>
              <w:jc w:val="left"/>
              <w:rPr>
                <w:szCs w:val="22"/>
              </w:rPr>
            </w:pPr>
            <w:r>
              <w:rPr>
                <w:szCs w:val="22"/>
              </w:rPr>
              <w:t>370,000</w:t>
            </w:r>
          </w:p>
        </w:tc>
        <w:tc>
          <w:tcPr>
            <w:tcW w:w="4513" w:type="dxa"/>
            <w:shd w:val="clear" w:color="auto" w:fill="auto"/>
            <w:vAlign w:val="center"/>
          </w:tcPr>
          <w:p w14:paraId="5DEC19A0" w14:textId="77777777" w:rsidR="0008719E" w:rsidRDefault="0008719E" w:rsidP="0008719E">
            <w:pPr>
              <w:jc w:val="left"/>
              <w:rPr>
                <w:szCs w:val="22"/>
              </w:rPr>
            </w:pPr>
            <w:r>
              <w:rPr>
                <w:szCs w:val="22"/>
              </w:rPr>
              <w:t>Calculations are based on estimated direct GHG impacts of two project components: Component 4: Implementation of pilot urban NAMA, and Component 3: Financing for urban NAMAs.</w:t>
            </w:r>
          </w:p>
          <w:p w14:paraId="45A00271" w14:textId="77777777" w:rsidR="0008719E" w:rsidRDefault="0008719E" w:rsidP="0008719E">
            <w:pPr>
              <w:jc w:val="left"/>
              <w:rPr>
                <w:szCs w:val="22"/>
              </w:rPr>
            </w:pPr>
            <w:r>
              <w:rPr>
                <w:szCs w:val="22"/>
              </w:rPr>
              <w:t xml:space="preserve">Implementation of a pilot NAMA in Prigorodnoye district, that includes a set of measures to upgrade the district heating and in-building systems and introduce renewable energy heat generation, is expected to generate 95,000 tCO2 in lifetime direct GHG emission reductions. </w:t>
            </w:r>
          </w:p>
          <w:p w14:paraId="268A716F" w14:textId="77777777" w:rsidR="0008719E" w:rsidRPr="00EC3EB4" w:rsidRDefault="0008719E" w:rsidP="0008719E">
            <w:pPr>
              <w:jc w:val="left"/>
              <w:rPr>
                <w:szCs w:val="22"/>
              </w:rPr>
            </w:pPr>
            <w:r>
              <w:rPr>
                <w:szCs w:val="22"/>
              </w:rPr>
              <w:t xml:space="preserve">Out of the total NAMA Fund capitalization of $44 million, 60% (or $26.4 million) is expected to be used for investment, with the balance going toward technical assistance. 50% of the investment share is going to be invested during the project lifetime and the balance after end-of-project. Thus, investment of $13.2 million into subsequent NAMAs from the project-supported NAMA </w:t>
            </w:r>
            <w:r w:rsidR="004A721C">
              <w:rPr>
                <w:szCs w:val="22"/>
              </w:rPr>
              <w:t>funding mechanisms</w:t>
            </w:r>
            <w:r>
              <w:rPr>
                <w:szCs w:val="22"/>
              </w:rPr>
              <w:t xml:space="preserve"> during </w:t>
            </w:r>
            <w:r w:rsidRPr="00932950">
              <w:rPr>
                <w:i/>
                <w:szCs w:val="22"/>
              </w:rPr>
              <w:t>project lifetime</w:t>
            </w:r>
            <w:r>
              <w:rPr>
                <w:szCs w:val="22"/>
              </w:rPr>
              <w:t xml:space="preserve"> with an average threshold of 220 GJ in annual energy savings per $1,000 invested (based on the analysis of Prigorodnoye pilot) is expected to generate a further 275,000 tCO2 in lifetime direct GHG emission reductions.</w:t>
            </w:r>
          </w:p>
        </w:tc>
      </w:tr>
      <w:tr w:rsidR="0008719E" w:rsidRPr="00EC3EB4" w14:paraId="666FC2E5" w14:textId="77777777" w:rsidTr="0008719E">
        <w:tc>
          <w:tcPr>
            <w:tcW w:w="1341" w:type="dxa"/>
            <w:shd w:val="clear" w:color="auto" w:fill="auto"/>
            <w:vAlign w:val="center"/>
          </w:tcPr>
          <w:p w14:paraId="193D455E" w14:textId="77777777" w:rsidR="0008719E" w:rsidRPr="00EC3EB4" w:rsidRDefault="0008719E" w:rsidP="0008719E">
            <w:pPr>
              <w:jc w:val="left"/>
              <w:rPr>
                <w:szCs w:val="22"/>
              </w:rPr>
            </w:pPr>
            <w:r w:rsidRPr="00EC3EB4">
              <w:rPr>
                <w:szCs w:val="22"/>
              </w:rPr>
              <w:t>Direct post-project</w:t>
            </w:r>
          </w:p>
        </w:tc>
        <w:tc>
          <w:tcPr>
            <w:tcW w:w="1743" w:type="dxa"/>
            <w:shd w:val="clear" w:color="auto" w:fill="auto"/>
            <w:vAlign w:val="center"/>
          </w:tcPr>
          <w:p w14:paraId="5E9AEACF" w14:textId="77777777" w:rsidR="0008719E" w:rsidRPr="00EC3EB4" w:rsidRDefault="0008719E" w:rsidP="0008719E">
            <w:pPr>
              <w:jc w:val="left"/>
              <w:rPr>
                <w:szCs w:val="22"/>
              </w:rPr>
            </w:pPr>
            <w:r w:rsidRPr="00EC3EB4">
              <w:rPr>
                <w:szCs w:val="22"/>
              </w:rPr>
              <w:t>Component 3:</w:t>
            </w:r>
          </w:p>
          <w:p w14:paraId="782EE1DC" w14:textId="77777777" w:rsidR="0008719E" w:rsidRPr="00EC3EB4" w:rsidRDefault="0008719E" w:rsidP="0008719E">
            <w:pPr>
              <w:jc w:val="left"/>
              <w:rPr>
                <w:szCs w:val="22"/>
              </w:rPr>
            </w:pPr>
            <w:r>
              <w:rPr>
                <w:szCs w:val="22"/>
              </w:rPr>
              <w:t>Financing for urban NAMAs</w:t>
            </w:r>
          </w:p>
        </w:tc>
        <w:tc>
          <w:tcPr>
            <w:tcW w:w="1758" w:type="dxa"/>
            <w:vAlign w:val="center"/>
          </w:tcPr>
          <w:p w14:paraId="399BACE2" w14:textId="77777777" w:rsidR="0008719E" w:rsidRPr="00EC3EB4" w:rsidRDefault="0008719E" w:rsidP="0008719E">
            <w:pPr>
              <w:jc w:val="left"/>
              <w:rPr>
                <w:szCs w:val="22"/>
              </w:rPr>
            </w:pPr>
            <w:r>
              <w:rPr>
                <w:szCs w:val="22"/>
              </w:rPr>
              <w:t>275</w:t>
            </w:r>
            <w:r w:rsidRPr="00EC3EB4">
              <w:rPr>
                <w:szCs w:val="22"/>
              </w:rPr>
              <w:t>,000</w:t>
            </w:r>
          </w:p>
        </w:tc>
        <w:tc>
          <w:tcPr>
            <w:tcW w:w="4513" w:type="dxa"/>
            <w:shd w:val="clear" w:color="auto" w:fill="auto"/>
            <w:vAlign w:val="center"/>
          </w:tcPr>
          <w:p w14:paraId="24442C9A" w14:textId="77777777" w:rsidR="0008719E" w:rsidRPr="00EC3EB4" w:rsidRDefault="0008719E" w:rsidP="0008719E">
            <w:pPr>
              <w:jc w:val="left"/>
              <w:rPr>
                <w:szCs w:val="22"/>
              </w:rPr>
            </w:pPr>
            <w:r>
              <w:rPr>
                <w:szCs w:val="22"/>
              </w:rPr>
              <w:t xml:space="preserve">Post-project investment of $13.2 million into further NAMAs from the project-supported NAMA </w:t>
            </w:r>
            <w:r w:rsidR="004A721C">
              <w:rPr>
                <w:szCs w:val="22"/>
              </w:rPr>
              <w:t>funding mechanisms</w:t>
            </w:r>
            <w:r>
              <w:rPr>
                <w:szCs w:val="22"/>
              </w:rPr>
              <w:t xml:space="preserve"> with an average threshold of 220 GJ in energy savings per $1,000 invested (based on the analysis of Prigorodnoye pilot) is expected to generate a further 275,000 tCO2 in lifetime direct post-project GHG emission reductions.</w:t>
            </w:r>
          </w:p>
        </w:tc>
      </w:tr>
      <w:tr w:rsidR="0008719E" w:rsidRPr="00EC3EB4" w14:paraId="10ACDD6B" w14:textId="77777777" w:rsidTr="0008719E">
        <w:tc>
          <w:tcPr>
            <w:tcW w:w="1341" w:type="dxa"/>
            <w:shd w:val="clear" w:color="auto" w:fill="auto"/>
            <w:vAlign w:val="center"/>
          </w:tcPr>
          <w:p w14:paraId="6894B8CF" w14:textId="77777777" w:rsidR="0008719E" w:rsidRPr="00EC3EB4" w:rsidRDefault="0008719E" w:rsidP="0008719E">
            <w:pPr>
              <w:jc w:val="left"/>
              <w:rPr>
                <w:szCs w:val="22"/>
              </w:rPr>
            </w:pPr>
            <w:r w:rsidRPr="00EC3EB4">
              <w:rPr>
                <w:szCs w:val="22"/>
              </w:rPr>
              <w:t xml:space="preserve">Indirect </w:t>
            </w:r>
          </w:p>
        </w:tc>
        <w:tc>
          <w:tcPr>
            <w:tcW w:w="1743" w:type="dxa"/>
            <w:shd w:val="clear" w:color="auto" w:fill="auto"/>
            <w:vAlign w:val="center"/>
          </w:tcPr>
          <w:p w14:paraId="2C82D370" w14:textId="77777777" w:rsidR="0008719E" w:rsidRPr="00824968" w:rsidRDefault="0008719E" w:rsidP="0008719E">
            <w:pPr>
              <w:jc w:val="left"/>
              <w:rPr>
                <w:szCs w:val="22"/>
              </w:rPr>
            </w:pPr>
            <w:r w:rsidRPr="00824968">
              <w:rPr>
                <w:szCs w:val="22"/>
              </w:rPr>
              <w:t xml:space="preserve">Components 1,2 and 5: Integrated municipal planning, Institutional framework for urban NAMAs, MRV </w:t>
            </w:r>
          </w:p>
        </w:tc>
        <w:tc>
          <w:tcPr>
            <w:tcW w:w="1758" w:type="dxa"/>
            <w:vAlign w:val="center"/>
          </w:tcPr>
          <w:p w14:paraId="31F63B4B" w14:textId="77777777" w:rsidR="0008719E" w:rsidRPr="00824968" w:rsidRDefault="0008719E" w:rsidP="0008719E">
            <w:pPr>
              <w:jc w:val="left"/>
              <w:rPr>
                <w:szCs w:val="22"/>
              </w:rPr>
            </w:pPr>
            <w:r w:rsidRPr="00824968">
              <w:rPr>
                <w:szCs w:val="22"/>
              </w:rPr>
              <w:t xml:space="preserve">1,025,000 – bottom-up </w:t>
            </w:r>
          </w:p>
          <w:p w14:paraId="4E4D6A49" w14:textId="77777777" w:rsidR="0008719E" w:rsidRPr="00824968" w:rsidRDefault="0008719E" w:rsidP="0008719E">
            <w:pPr>
              <w:jc w:val="left"/>
              <w:rPr>
                <w:szCs w:val="22"/>
              </w:rPr>
            </w:pPr>
            <w:r w:rsidRPr="00824968">
              <w:rPr>
                <w:szCs w:val="22"/>
              </w:rPr>
              <w:t xml:space="preserve">5,000,000 – top-down </w:t>
            </w:r>
          </w:p>
          <w:p w14:paraId="0AF35BA6" w14:textId="77777777" w:rsidR="0008719E" w:rsidRPr="00824968" w:rsidRDefault="0008719E" w:rsidP="0008719E">
            <w:pPr>
              <w:jc w:val="left"/>
              <w:rPr>
                <w:szCs w:val="22"/>
              </w:rPr>
            </w:pPr>
          </w:p>
          <w:p w14:paraId="350F9CB6" w14:textId="77777777" w:rsidR="0008719E" w:rsidRPr="00824968" w:rsidRDefault="0008719E" w:rsidP="0008719E">
            <w:pPr>
              <w:jc w:val="left"/>
              <w:rPr>
                <w:szCs w:val="22"/>
              </w:rPr>
            </w:pPr>
          </w:p>
        </w:tc>
        <w:tc>
          <w:tcPr>
            <w:tcW w:w="4513" w:type="dxa"/>
            <w:shd w:val="clear" w:color="auto" w:fill="auto"/>
            <w:vAlign w:val="center"/>
          </w:tcPr>
          <w:p w14:paraId="32FBCECE" w14:textId="77777777" w:rsidR="0008719E" w:rsidRPr="00865476" w:rsidRDefault="0008719E" w:rsidP="0008719E">
            <w:pPr>
              <w:jc w:val="left"/>
              <w:rPr>
                <w:i/>
                <w:szCs w:val="22"/>
              </w:rPr>
            </w:pPr>
            <w:r w:rsidRPr="00865476">
              <w:rPr>
                <w:i/>
                <w:szCs w:val="22"/>
              </w:rPr>
              <w:t>Bottom-up estimate:</w:t>
            </w:r>
          </w:p>
          <w:p w14:paraId="013982C4" w14:textId="77777777" w:rsidR="0008719E" w:rsidRDefault="0008719E" w:rsidP="0008719E">
            <w:pPr>
              <w:jc w:val="left"/>
              <w:rPr>
                <w:szCs w:val="22"/>
              </w:rPr>
            </w:pPr>
            <w:r>
              <w:rPr>
                <w:szCs w:val="22"/>
              </w:rPr>
              <w:t>Replication of the pilot NAMA in Prigorodnoye to at least 5 other similar districts across Kazakhstan is going to generate 475,000 tCO2 in indirect savings.</w:t>
            </w:r>
          </w:p>
          <w:p w14:paraId="165A4916" w14:textId="77777777" w:rsidR="0008719E" w:rsidRDefault="0008719E" w:rsidP="0008719E">
            <w:pPr>
              <w:jc w:val="left"/>
              <w:rPr>
                <w:szCs w:val="22"/>
              </w:rPr>
            </w:pPr>
            <w:r>
              <w:rPr>
                <w:szCs w:val="22"/>
              </w:rPr>
              <w:t>Additional capitalization of the NAMA Fund at least to the original investment level of $26.4 million is going to bring about an additional 550,000 tCO2 in indirect savings, for a total bottom-up estimate of 1.025 million tCO2.</w:t>
            </w:r>
          </w:p>
          <w:p w14:paraId="20B28718" w14:textId="77777777" w:rsidR="0008719E" w:rsidRDefault="0008719E" w:rsidP="0008719E">
            <w:pPr>
              <w:jc w:val="left"/>
              <w:rPr>
                <w:i/>
                <w:szCs w:val="22"/>
              </w:rPr>
            </w:pPr>
            <w:r w:rsidRPr="00865476">
              <w:rPr>
                <w:i/>
                <w:szCs w:val="22"/>
              </w:rPr>
              <w:t>Top-down estimate:</w:t>
            </w:r>
          </w:p>
          <w:p w14:paraId="7BF5683D" w14:textId="77777777" w:rsidR="0008719E" w:rsidRPr="006142C9" w:rsidRDefault="0008719E" w:rsidP="0008719E">
            <w:pPr>
              <w:jc w:val="left"/>
              <w:rPr>
                <w:szCs w:val="22"/>
                <w:highlight w:val="red"/>
              </w:rPr>
            </w:pPr>
            <w:r w:rsidRPr="0003276D">
              <w:rPr>
                <w:szCs w:val="22"/>
              </w:rPr>
              <w:t>The</w:t>
            </w:r>
            <w:r>
              <w:rPr>
                <w:szCs w:val="22"/>
              </w:rPr>
              <w:t xml:space="preserve"> total market potential for GHG emission reductions in the urban sector is estimated at around 50 million tCO2 (Kazakhstan 3</w:t>
            </w:r>
            <w:r w:rsidRPr="0003276D">
              <w:rPr>
                <w:szCs w:val="22"/>
                <w:vertAlign w:val="superscript"/>
              </w:rPr>
              <w:t>rd</w:t>
            </w:r>
            <w:r>
              <w:rPr>
                <w:szCs w:val="22"/>
              </w:rPr>
              <w:t xml:space="preserve"> National Communication). With a conservative GEF causality factor of 10%, this translates into indirect top-down emission reductions of 5 million tCO2. </w:t>
            </w:r>
          </w:p>
        </w:tc>
      </w:tr>
    </w:tbl>
    <w:p w14:paraId="52B7074B" w14:textId="77777777" w:rsidR="0008719E" w:rsidRDefault="0008719E" w:rsidP="0008719E">
      <w:pPr>
        <w:rPr>
          <w:rFonts w:cs="Arial"/>
          <w:b/>
          <w:smallCaps/>
          <w:szCs w:val="22"/>
          <w:lang w:val="en-US"/>
        </w:rPr>
      </w:pPr>
    </w:p>
    <w:p w14:paraId="529FB5A4" w14:textId="77777777" w:rsidR="00686EC4" w:rsidRPr="0008719E" w:rsidRDefault="00686EC4" w:rsidP="00B616FC">
      <w:pPr>
        <w:pStyle w:val="Bodynumbered"/>
        <w:numPr>
          <w:ilvl w:val="0"/>
          <w:numId w:val="0"/>
        </w:numPr>
        <w:ind w:left="720" w:hanging="360"/>
        <w:rPr>
          <w:lang w:val="en-US"/>
        </w:rPr>
      </w:pPr>
    </w:p>
    <w:p w14:paraId="540835E9" w14:textId="77777777" w:rsidR="004445B5" w:rsidRPr="0042018B" w:rsidRDefault="004445B5" w:rsidP="005B02B2">
      <w:pPr>
        <w:rPr>
          <w:rFonts w:cs="Arial"/>
          <w:smallCaps/>
          <w:szCs w:val="22"/>
          <w:lang w:val="en-US"/>
        </w:rPr>
      </w:pPr>
    </w:p>
    <w:p w14:paraId="5A09039C" w14:textId="77777777" w:rsidR="005B02B2" w:rsidRPr="005B5602" w:rsidRDefault="005B02B2" w:rsidP="005B02B2">
      <w:pPr>
        <w:rPr>
          <w:rFonts w:cs="Arial"/>
          <w:b/>
          <w:smallCaps/>
          <w:szCs w:val="22"/>
          <w:lang w:val="en-US"/>
        </w:rPr>
        <w:sectPr w:rsidR="005B02B2" w:rsidRPr="005B5602" w:rsidSect="001774BC">
          <w:footerReference w:type="default" r:id="rId20"/>
          <w:footerReference w:type="first" r:id="rId21"/>
          <w:pgSz w:w="11907" w:h="16839" w:code="9"/>
          <w:pgMar w:top="1440" w:right="1440" w:bottom="1440" w:left="1440" w:header="706" w:footer="706" w:gutter="0"/>
          <w:cols w:space="708"/>
          <w:docGrid w:linePitch="360"/>
        </w:sectPr>
      </w:pPr>
    </w:p>
    <w:p w14:paraId="26DC5AF4" w14:textId="77777777" w:rsidR="00E1433A" w:rsidRPr="005B5602" w:rsidRDefault="00E1433A" w:rsidP="00E95FC3">
      <w:pPr>
        <w:pStyle w:val="Heading1"/>
        <w:rPr>
          <w:bCs/>
          <w:lang w:val="en-US"/>
        </w:rPr>
      </w:pPr>
      <w:bookmarkStart w:id="63" w:name="_Toc207800912"/>
      <w:bookmarkStart w:id="64" w:name="_Toc393449001"/>
      <w:r w:rsidRPr="005B5602">
        <w:rPr>
          <w:lang w:val="en-US"/>
        </w:rPr>
        <w:t>Project Results Framework</w:t>
      </w:r>
      <w:bookmarkStart w:id="65" w:name="_Toc207800913"/>
      <w:bookmarkEnd w:id="63"/>
      <w:bookmarkEnd w:id="64"/>
    </w:p>
    <w:p w14:paraId="6E9A0FF7" w14:textId="77777777" w:rsidR="00E1433A" w:rsidRPr="005B5602" w:rsidRDefault="00E1433A" w:rsidP="00E1433A">
      <w:pPr>
        <w:ind w:left="360"/>
        <w:rPr>
          <w:b/>
          <w:bCs/>
          <w:sz w:val="20"/>
          <w:szCs w:val="20"/>
          <w:lang w:val="en-US"/>
        </w:rPr>
      </w:pP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5"/>
        <w:gridCol w:w="1075"/>
        <w:gridCol w:w="936"/>
        <w:gridCol w:w="1399"/>
        <w:gridCol w:w="1276"/>
        <w:gridCol w:w="1417"/>
        <w:gridCol w:w="3686"/>
        <w:gridCol w:w="2693"/>
      </w:tblGrid>
      <w:tr w:rsidR="004976C2" w:rsidRPr="005B5602" w14:paraId="7C0B7002" w14:textId="77777777" w:rsidTr="00BA2E09">
        <w:tc>
          <w:tcPr>
            <w:tcW w:w="3160" w:type="dxa"/>
            <w:gridSpan w:val="2"/>
          </w:tcPr>
          <w:p w14:paraId="276361F4" w14:textId="77777777" w:rsidR="004976C2" w:rsidRPr="005B5602" w:rsidRDefault="004976C2" w:rsidP="005751FA">
            <w:pPr>
              <w:jc w:val="left"/>
              <w:rPr>
                <w:b/>
                <w:bCs/>
                <w:sz w:val="18"/>
                <w:szCs w:val="18"/>
                <w:lang w:val="en-US"/>
              </w:rPr>
            </w:pPr>
          </w:p>
        </w:tc>
        <w:tc>
          <w:tcPr>
            <w:tcW w:w="11407" w:type="dxa"/>
            <w:gridSpan w:val="6"/>
            <w:shd w:val="clear" w:color="auto" w:fill="auto"/>
          </w:tcPr>
          <w:p w14:paraId="2AB1A4C9" w14:textId="77777777" w:rsidR="004976C2" w:rsidRPr="005B5602" w:rsidRDefault="004976C2" w:rsidP="005751FA">
            <w:pPr>
              <w:jc w:val="left"/>
              <w:rPr>
                <w:b/>
                <w:bCs/>
                <w:sz w:val="18"/>
                <w:szCs w:val="18"/>
                <w:lang w:val="en-US"/>
              </w:rPr>
            </w:pPr>
            <w:r w:rsidRPr="005B5602">
              <w:rPr>
                <w:b/>
                <w:bCs/>
                <w:sz w:val="18"/>
                <w:szCs w:val="18"/>
                <w:lang w:val="en-US"/>
              </w:rPr>
              <w:t xml:space="preserve">This project will contribute to achieving the following Country Programme Outcome as defined in CPAP or CPD: </w:t>
            </w:r>
            <w:r w:rsidRPr="005B5602">
              <w:rPr>
                <w:iCs/>
                <w:sz w:val="20"/>
                <w:szCs w:val="20"/>
                <w:lang w:val="en-US"/>
              </w:rPr>
              <w:t>The Government, industries and civil society take steps to adapt to climate change and mitigate its impact through energy efficiency measures and climate change adaptation policies.</w:t>
            </w:r>
          </w:p>
        </w:tc>
      </w:tr>
      <w:tr w:rsidR="004976C2" w:rsidRPr="005B5602" w14:paraId="2B515723" w14:textId="77777777" w:rsidTr="00BA2E09">
        <w:trPr>
          <w:trHeight w:val="245"/>
        </w:trPr>
        <w:tc>
          <w:tcPr>
            <w:tcW w:w="3160" w:type="dxa"/>
            <w:gridSpan w:val="2"/>
          </w:tcPr>
          <w:p w14:paraId="5DD4F762" w14:textId="77777777" w:rsidR="004976C2" w:rsidRPr="005B5602" w:rsidRDefault="004976C2" w:rsidP="005751FA">
            <w:pPr>
              <w:rPr>
                <w:b/>
                <w:bCs/>
                <w:sz w:val="18"/>
                <w:szCs w:val="18"/>
                <w:lang w:val="en-US"/>
              </w:rPr>
            </w:pPr>
          </w:p>
        </w:tc>
        <w:tc>
          <w:tcPr>
            <w:tcW w:w="11407" w:type="dxa"/>
            <w:gridSpan w:val="6"/>
            <w:shd w:val="clear" w:color="auto" w:fill="auto"/>
          </w:tcPr>
          <w:p w14:paraId="4E2351C7" w14:textId="77777777" w:rsidR="004976C2" w:rsidRPr="00AB161E" w:rsidRDefault="004976C2" w:rsidP="005751FA">
            <w:pPr>
              <w:rPr>
                <w:bCs/>
                <w:sz w:val="18"/>
                <w:szCs w:val="18"/>
                <w:lang w:val="en-US"/>
              </w:rPr>
            </w:pPr>
            <w:r w:rsidRPr="005B5602">
              <w:rPr>
                <w:b/>
                <w:bCs/>
                <w:sz w:val="18"/>
                <w:szCs w:val="18"/>
                <w:lang w:val="en-US"/>
              </w:rPr>
              <w:t>Country Programme Outcome Indicators:</w:t>
            </w:r>
            <w:r>
              <w:t xml:space="preserve"> </w:t>
            </w:r>
            <w:r w:rsidRPr="00AB161E">
              <w:rPr>
                <w:bCs/>
                <w:sz w:val="18"/>
                <w:szCs w:val="18"/>
                <w:lang w:val="en-US"/>
              </w:rPr>
              <w:t>Climate change mainstreamed into national environmental and sustainable development strategic action plans</w:t>
            </w:r>
          </w:p>
          <w:p w14:paraId="3C051DB4" w14:textId="77777777" w:rsidR="004976C2" w:rsidRPr="005B5602" w:rsidRDefault="004976C2" w:rsidP="005751FA">
            <w:pPr>
              <w:rPr>
                <w:b/>
                <w:bCs/>
                <w:sz w:val="18"/>
                <w:szCs w:val="18"/>
                <w:lang w:val="en-US"/>
              </w:rPr>
            </w:pPr>
          </w:p>
        </w:tc>
      </w:tr>
      <w:tr w:rsidR="004976C2" w:rsidRPr="005B5602" w14:paraId="272DD2F7" w14:textId="77777777" w:rsidTr="00BA2E09">
        <w:trPr>
          <w:trHeight w:val="244"/>
        </w:trPr>
        <w:tc>
          <w:tcPr>
            <w:tcW w:w="3160" w:type="dxa"/>
            <w:gridSpan w:val="2"/>
          </w:tcPr>
          <w:p w14:paraId="6A889DE6" w14:textId="77777777" w:rsidR="004976C2" w:rsidRPr="005B5602" w:rsidRDefault="004976C2" w:rsidP="00C34522">
            <w:pPr>
              <w:rPr>
                <w:b/>
                <w:bCs/>
                <w:sz w:val="18"/>
                <w:szCs w:val="18"/>
                <w:lang w:val="en-US"/>
              </w:rPr>
            </w:pPr>
          </w:p>
        </w:tc>
        <w:tc>
          <w:tcPr>
            <w:tcW w:w="11407" w:type="dxa"/>
            <w:gridSpan w:val="6"/>
            <w:shd w:val="clear" w:color="auto" w:fill="auto"/>
          </w:tcPr>
          <w:p w14:paraId="161E65A3" w14:textId="77777777" w:rsidR="004976C2" w:rsidRPr="005B5602" w:rsidRDefault="004976C2" w:rsidP="00C34522">
            <w:pPr>
              <w:rPr>
                <w:b/>
                <w:bCs/>
                <w:sz w:val="18"/>
                <w:szCs w:val="18"/>
                <w:lang w:val="en-US"/>
              </w:rPr>
            </w:pPr>
            <w:r w:rsidRPr="005B5602">
              <w:rPr>
                <w:b/>
                <w:bCs/>
                <w:sz w:val="18"/>
                <w:szCs w:val="18"/>
                <w:lang w:val="en-US"/>
              </w:rPr>
              <w:t>Primary applicable Key Environment and Sustainable Development Key Result Area (same as that on the cover page, circle one):  2.  Catalyzing environmental finance</w:t>
            </w:r>
          </w:p>
        </w:tc>
      </w:tr>
      <w:tr w:rsidR="004976C2" w:rsidRPr="005B5602" w14:paraId="3ED8EF81" w14:textId="77777777" w:rsidTr="00BA2E09">
        <w:tc>
          <w:tcPr>
            <w:tcW w:w="3160" w:type="dxa"/>
            <w:gridSpan w:val="2"/>
          </w:tcPr>
          <w:p w14:paraId="240322C7" w14:textId="77777777" w:rsidR="004976C2" w:rsidRPr="005B5602" w:rsidRDefault="004976C2" w:rsidP="005751FA">
            <w:pPr>
              <w:rPr>
                <w:b/>
                <w:bCs/>
                <w:sz w:val="18"/>
                <w:szCs w:val="18"/>
                <w:lang w:val="en-US"/>
              </w:rPr>
            </w:pPr>
          </w:p>
        </w:tc>
        <w:tc>
          <w:tcPr>
            <w:tcW w:w="11407" w:type="dxa"/>
            <w:gridSpan w:val="6"/>
            <w:shd w:val="clear" w:color="auto" w:fill="auto"/>
          </w:tcPr>
          <w:p w14:paraId="2759E5FD" w14:textId="77777777" w:rsidR="004976C2" w:rsidRPr="005B5602" w:rsidRDefault="004976C2" w:rsidP="005751FA">
            <w:pPr>
              <w:rPr>
                <w:b/>
                <w:bCs/>
                <w:sz w:val="18"/>
                <w:szCs w:val="18"/>
                <w:lang w:val="en-US"/>
              </w:rPr>
            </w:pPr>
            <w:r w:rsidRPr="005B5602">
              <w:rPr>
                <w:b/>
                <w:bCs/>
                <w:sz w:val="18"/>
                <w:szCs w:val="18"/>
                <w:lang w:val="en-US"/>
              </w:rPr>
              <w:t>Applicable GEF Strategic Objective and Program:</w:t>
            </w:r>
            <w:r>
              <w:rPr>
                <w:b/>
                <w:bCs/>
                <w:sz w:val="18"/>
                <w:szCs w:val="18"/>
                <w:lang w:val="en-US"/>
              </w:rPr>
              <w:t xml:space="preserve"> </w:t>
            </w:r>
            <w:r w:rsidRPr="00AB161E">
              <w:rPr>
                <w:bCs/>
                <w:sz w:val="18"/>
                <w:szCs w:val="18"/>
                <w:lang w:val="en-US"/>
              </w:rPr>
              <w:t>Objective 4 “Promote energy efficient, low-carbon transport and urban systems”</w:t>
            </w:r>
          </w:p>
        </w:tc>
      </w:tr>
      <w:tr w:rsidR="004976C2" w:rsidRPr="005B5602" w14:paraId="63021528" w14:textId="77777777" w:rsidTr="00BA2E09">
        <w:tc>
          <w:tcPr>
            <w:tcW w:w="3160" w:type="dxa"/>
            <w:gridSpan w:val="2"/>
          </w:tcPr>
          <w:p w14:paraId="2369047A" w14:textId="77777777" w:rsidR="004976C2" w:rsidRPr="005B5602" w:rsidRDefault="004976C2" w:rsidP="00C34522">
            <w:pPr>
              <w:rPr>
                <w:b/>
                <w:bCs/>
                <w:sz w:val="18"/>
                <w:szCs w:val="18"/>
                <w:lang w:val="en-US"/>
              </w:rPr>
            </w:pPr>
          </w:p>
        </w:tc>
        <w:tc>
          <w:tcPr>
            <w:tcW w:w="11407" w:type="dxa"/>
            <w:gridSpan w:val="6"/>
            <w:shd w:val="clear" w:color="auto" w:fill="auto"/>
          </w:tcPr>
          <w:p w14:paraId="0EDD8348" w14:textId="77777777" w:rsidR="004976C2" w:rsidRPr="005B5602" w:rsidRDefault="004976C2" w:rsidP="00C34522">
            <w:pPr>
              <w:rPr>
                <w:b/>
                <w:bCs/>
                <w:sz w:val="18"/>
                <w:szCs w:val="18"/>
                <w:lang w:val="en-US"/>
              </w:rPr>
            </w:pPr>
            <w:r w:rsidRPr="005B5602">
              <w:rPr>
                <w:b/>
                <w:bCs/>
                <w:sz w:val="18"/>
                <w:szCs w:val="18"/>
                <w:lang w:val="en-US"/>
              </w:rPr>
              <w:t>Applicable GEF Expected Outcomes:</w:t>
            </w:r>
            <w:r>
              <w:rPr>
                <w:b/>
                <w:bCs/>
                <w:sz w:val="18"/>
                <w:szCs w:val="18"/>
                <w:lang w:val="en-US"/>
              </w:rPr>
              <w:t xml:space="preserve"> </w:t>
            </w:r>
            <w:r w:rsidRPr="00AB161E">
              <w:rPr>
                <w:bCs/>
                <w:sz w:val="18"/>
                <w:szCs w:val="18"/>
                <w:lang w:val="en-US"/>
              </w:rPr>
              <w:t>a. Sustainable transport and urban policy and regulatory frameworks adopted and implemented; b. Increased investment in less-GHG intensive transport and urban systems; c. GHG emissions avoided</w:t>
            </w:r>
          </w:p>
        </w:tc>
      </w:tr>
      <w:tr w:rsidR="004976C2" w:rsidRPr="005B5602" w14:paraId="15F26430" w14:textId="77777777" w:rsidTr="00BA2E09">
        <w:tc>
          <w:tcPr>
            <w:tcW w:w="3160" w:type="dxa"/>
            <w:gridSpan w:val="2"/>
          </w:tcPr>
          <w:p w14:paraId="61F27B9E" w14:textId="77777777" w:rsidR="004976C2" w:rsidRPr="005B5602" w:rsidRDefault="004976C2" w:rsidP="00C34522">
            <w:pPr>
              <w:rPr>
                <w:b/>
                <w:bCs/>
                <w:sz w:val="18"/>
                <w:szCs w:val="18"/>
                <w:lang w:val="en-US"/>
              </w:rPr>
            </w:pPr>
          </w:p>
        </w:tc>
        <w:tc>
          <w:tcPr>
            <w:tcW w:w="11407" w:type="dxa"/>
            <w:gridSpan w:val="6"/>
            <w:shd w:val="clear" w:color="auto" w:fill="auto"/>
          </w:tcPr>
          <w:p w14:paraId="2E7D3F4E" w14:textId="77777777" w:rsidR="004976C2" w:rsidRPr="005B5602" w:rsidRDefault="004976C2" w:rsidP="00C34522">
            <w:pPr>
              <w:rPr>
                <w:b/>
                <w:bCs/>
                <w:sz w:val="18"/>
                <w:szCs w:val="18"/>
                <w:lang w:val="en-US"/>
              </w:rPr>
            </w:pPr>
            <w:r w:rsidRPr="005B5602">
              <w:rPr>
                <w:b/>
                <w:bCs/>
                <w:sz w:val="18"/>
                <w:szCs w:val="18"/>
                <w:lang w:val="en-US"/>
              </w:rPr>
              <w:t>Applicable GEF Outcome Indicators:</w:t>
            </w:r>
            <w:r>
              <w:rPr>
                <w:b/>
                <w:bCs/>
                <w:sz w:val="18"/>
                <w:szCs w:val="18"/>
                <w:lang w:val="en-US"/>
              </w:rPr>
              <w:t xml:space="preserve"> </w:t>
            </w:r>
            <w:r w:rsidRPr="00AB161E">
              <w:rPr>
                <w:bCs/>
                <w:sz w:val="18"/>
                <w:szCs w:val="18"/>
                <w:lang w:val="en-US"/>
              </w:rPr>
              <w:t>a. Number of cities adopting sustainable transport and urban policies and regulations; b. Volume of investment mobilized; c. Tonnes of CO2 equivalent avoided</w:t>
            </w:r>
          </w:p>
        </w:tc>
      </w:tr>
      <w:tr w:rsidR="004976C2" w:rsidRPr="005B5602" w14:paraId="25902302" w14:textId="77777777" w:rsidTr="0038689C">
        <w:trPr>
          <w:trHeight w:val="544"/>
        </w:trPr>
        <w:tc>
          <w:tcPr>
            <w:tcW w:w="2085" w:type="dxa"/>
            <w:shd w:val="pct12" w:color="auto" w:fill="auto"/>
          </w:tcPr>
          <w:p w14:paraId="0EFA388B" w14:textId="77777777" w:rsidR="004976C2" w:rsidRPr="005B5602" w:rsidRDefault="004976C2" w:rsidP="005751FA">
            <w:pPr>
              <w:jc w:val="center"/>
              <w:rPr>
                <w:b/>
                <w:bCs/>
                <w:sz w:val="18"/>
                <w:szCs w:val="18"/>
                <w:lang w:val="en-US"/>
              </w:rPr>
            </w:pPr>
          </w:p>
        </w:tc>
        <w:tc>
          <w:tcPr>
            <w:tcW w:w="2011" w:type="dxa"/>
            <w:gridSpan w:val="2"/>
            <w:shd w:val="pct12" w:color="auto" w:fill="auto"/>
          </w:tcPr>
          <w:p w14:paraId="3057DB54" w14:textId="77777777" w:rsidR="004976C2" w:rsidRPr="005B5602" w:rsidRDefault="004976C2" w:rsidP="005751FA">
            <w:pPr>
              <w:jc w:val="center"/>
              <w:rPr>
                <w:b/>
                <w:bCs/>
                <w:sz w:val="18"/>
                <w:szCs w:val="18"/>
                <w:lang w:val="en-US"/>
              </w:rPr>
            </w:pPr>
            <w:r w:rsidRPr="005B5602">
              <w:rPr>
                <w:b/>
                <w:bCs/>
                <w:sz w:val="18"/>
                <w:szCs w:val="18"/>
                <w:lang w:val="en-US"/>
              </w:rPr>
              <w:t>Indicator</w:t>
            </w:r>
            <w:r>
              <w:rPr>
                <w:rStyle w:val="FootnoteReference"/>
                <w:b/>
                <w:bCs/>
                <w:szCs w:val="18"/>
                <w:lang w:val="en-US"/>
              </w:rPr>
              <w:footnoteReference w:id="27"/>
            </w:r>
          </w:p>
        </w:tc>
        <w:tc>
          <w:tcPr>
            <w:tcW w:w="1399" w:type="dxa"/>
            <w:shd w:val="pct12" w:color="auto" w:fill="auto"/>
          </w:tcPr>
          <w:p w14:paraId="3585ED26" w14:textId="77777777" w:rsidR="004976C2" w:rsidRPr="005B5602" w:rsidRDefault="004976C2" w:rsidP="005751FA">
            <w:pPr>
              <w:jc w:val="center"/>
              <w:rPr>
                <w:b/>
                <w:bCs/>
                <w:sz w:val="18"/>
                <w:szCs w:val="18"/>
                <w:lang w:val="en-US"/>
              </w:rPr>
            </w:pPr>
            <w:r w:rsidRPr="005B5602">
              <w:rPr>
                <w:b/>
                <w:bCs/>
                <w:sz w:val="18"/>
                <w:szCs w:val="18"/>
                <w:lang w:val="en-US"/>
              </w:rPr>
              <w:t>Baseline</w:t>
            </w:r>
          </w:p>
        </w:tc>
        <w:tc>
          <w:tcPr>
            <w:tcW w:w="1276" w:type="dxa"/>
            <w:shd w:val="pct12" w:color="auto" w:fill="auto"/>
          </w:tcPr>
          <w:p w14:paraId="6DE79727" w14:textId="77777777" w:rsidR="004976C2" w:rsidRPr="005B5602" w:rsidRDefault="004976C2" w:rsidP="005751FA">
            <w:pPr>
              <w:jc w:val="center"/>
              <w:rPr>
                <w:b/>
                <w:bCs/>
                <w:sz w:val="18"/>
                <w:szCs w:val="18"/>
                <w:lang w:val="en-US"/>
              </w:rPr>
            </w:pPr>
            <w:r>
              <w:rPr>
                <w:b/>
                <w:bCs/>
                <w:sz w:val="18"/>
                <w:szCs w:val="18"/>
                <w:lang w:val="en-US"/>
              </w:rPr>
              <w:t>Mid-term targets</w:t>
            </w:r>
          </w:p>
        </w:tc>
        <w:tc>
          <w:tcPr>
            <w:tcW w:w="1417" w:type="dxa"/>
            <w:shd w:val="pct12" w:color="auto" w:fill="auto"/>
          </w:tcPr>
          <w:p w14:paraId="689EB6E4" w14:textId="77777777" w:rsidR="004976C2" w:rsidRPr="005B5602" w:rsidRDefault="004976C2" w:rsidP="005751FA">
            <w:pPr>
              <w:jc w:val="center"/>
              <w:rPr>
                <w:b/>
                <w:bCs/>
                <w:sz w:val="18"/>
                <w:szCs w:val="18"/>
                <w:lang w:val="en-US"/>
              </w:rPr>
            </w:pPr>
            <w:r w:rsidRPr="005B5602">
              <w:rPr>
                <w:b/>
                <w:bCs/>
                <w:sz w:val="18"/>
                <w:szCs w:val="18"/>
                <w:lang w:val="en-US"/>
              </w:rPr>
              <w:t xml:space="preserve">Targets </w:t>
            </w:r>
          </w:p>
          <w:p w14:paraId="2BDB2F42" w14:textId="77777777" w:rsidR="004976C2" w:rsidRPr="005B5602" w:rsidRDefault="004976C2" w:rsidP="005751FA">
            <w:pPr>
              <w:jc w:val="center"/>
              <w:rPr>
                <w:b/>
                <w:bCs/>
                <w:sz w:val="18"/>
                <w:szCs w:val="18"/>
                <w:lang w:val="en-US"/>
              </w:rPr>
            </w:pPr>
            <w:r w:rsidRPr="005B5602">
              <w:rPr>
                <w:b/>
                <w:bCs/>
                <w:sz w:val="18"/>
                <w:szCs w:val="18"/>
                <w:lang w:val="en-US"/>
              </w:rPr>
              <w:t>End of Project</w:t>
            </w:r>
          </w:p>
        </w:tc>
        <w:tc>
          <w:tcPr>
            <w:tcW w:w="3686" w:type="dxa"/>
            <w:shd w:val="pct12" w:color="auto" w:fill="auto"/>
          </w:tcPr>
          <w:p w14:paraId="12B0B612" w14:textId="77777777" w:rsidR="004976C2" w:rsidRPr="005B5602" w:rsidRDefault="004976C2" w:rsidP="005751FA">
            <w:pPr>
              <w:jc w:val="center"/>
              <w:rPr>
                <w:b/>
                <w:bCs/>
                <w:sz w:val="18"/>
                <w:szCs w:val="18"/>
                <w:lang w:val="en-US"/>
              </w:rPr>
            </w:pPr>
            <w:r w:rsidRPr="005B5602">
              <w:rPr>
                <w:b/>
                <w:bCs/>
                <w:sz w:val="18"/>
                <w:szCs w:val="18"/>
                <w:lang w:val="en-US"/>
              </w:rPr>
              <w:t>Source of verification</w:t>
            </w:r>
          </w:p>
        </w:tc>
        <w:tc>
          <w:tcPr>
            <w:tcW w:w="2693" w:type="dxa"/>
            <w:shd w:val="pct12" w:color="auto" w:fill="auto"/>
          </w:tcPr>
          <w:p w14:paraId="204581C5" w14:textId="77777777" w:rsidR="004976C2" w:rsidRPr="005B5602" w:rsidRDefault="004976C2" w:rsidP="005751FA">
            <w:pPr>
              <w:jc w:val="center"/>
              <w:rPr>
                <w:b/>
                <w:bCs/>
                <w:sz w:val="18"/>
                <w:szCs w:val="18"/>
                <w:lang w:val="en-US"/>
              </w:rPr>
            </w:pPr>
            <w:r w:rsidRPr="005B5602">
              <w:rPr>
                <w:b/>
                <w:bCs/>
                <w:sz w:val="18"/>
                <w:szCs w:val="18"/>
                <w:lang w:val="en-US"/>
              </w:rPr>
              <w:t>Risks and Assumptions</w:t>
            </w:r>
          </w:p>
        </w:tc>
      </w:tr>
      <w:tr w:rsidR="004976C2" w:rsidRPr="005B5602" w14:paraId="0B666DAA" w14:textId="77777777" w:rsidTr="0038689C">
        <w:tc>
          <w:tcPr>
            <w:tcW w:w="2085" w:type="dxa"/>
            <w:shd w:val="pct12" w:color="auto" w:fill="auto"/>
          </w:tcPr>
          <w:p w14:paraId="259BBF4C" w14:textId="77777777" w:rsidR="004976C2" w:rsidRPr="005B5602" w:rsidRDefault="004976C2" w:rsidP="004F1E6B">
            <w:pPr>
              <w:spacing w:after="0"/>
              <w:jc w:val="left"/>
              <w:rPr>
                <w:b/>
                <w:bCs/>
                <w:sz w:val="18"/>
                <w:szCs w:val="18"/>
                <w:lang w:val="en-US"/>
              </w:rPr>
            </w:pPr>
            <w:r w:rsidRPr="005B5602">
              <w:rPr>
                <w:b/>
                <w:bCs/>
                <w:sz w:val="18"/>
                <w:szCs w:val="18"/>
                <w:lang w:val="en-US"/>
              </w:rPr>
              <w:t>Project Objective</w:t>
            </w:r>
            <w:r w:rsidRPr="005B5602">
              <w:rPr>
                <w:rStyle w:val="FootnoteReference"/>
                <w:b/>
                <w:bCs/>
                <w:szCs w:val="18"/>
                <w:lang w:val="en-US"/>
              </w:rPr>
              <w:footnoteReference w:id="28"/>
            </w:r>
            <w:r w:rsidRPr="005B5602">
              <w:rPr>
                <w:b/>
                <w:bCs/>
                <w:sz w:val="18"/>
                <w:szCs w:val="18"/>
                <w:lang w:val="en-US"/>
              </w:rPr>
              <w:t xml:space="preserve"> </w:t>
            </w:r>
          </w:p>
          <w:p w14:paraId="63068998" w14:textId="77777777" w:rsidR="004976C2" w:rsidRPr="005B5602" w:rsidRDefault="004976C2" w:rsidP="00AB161E">
            <w:pPr>
              <w:spacing w:after="0"/>
              <w:jc w:val="left"/>
              <w:rPr>
                <w:b/>
                <w:bCs/>
                <w:sz w:val="18"/>
                <w:szCs w:val="18"/>
                <w:lang w:val="en-US"/>
              </w:rPr>
            </w:pPr>
            <w:r>
              <w:rPr>
                <w:b/>
                <w:bCs/>
                <w:sz w:val="18"/>
                <w:szCs w:val="18"/>
                <w:lang w:val="en-US"/>
              </w:rPr>
              <w:t>Su</w:t>
            </w:r>
            <w:r w:rsidRPr="00BC356B">
              <w:rPr>
                <w:b/>
                <w:bCs/>
                <w:sz w:val="18"/>
                <w:szCs w:val="18"/>
                <w:lang w:val="en-US"/>
              </w:rPr>
              <w:t>pport the Government of Kazakhstan in the development and implementation of National Appropriate Mitigation Actions (NAMAs) in the urban sector to achieve voluntary national GHG emission reduction targets</w:t>
            </w:r>
          </w:p>
        </w:tc>
        <w:tc>
          <w:tcPr>
            <w:tcW w:w="2011" w:type="dxa"/>
            <w:gridSpan w:val="2"/>
          </w:tcPr>
          <w:p w14:paraId="0CD974E6" w14:textId="77777777" w:rsidR="004976C2" w:rsidRPr="00AB161E" w:rsidRDefault="004976C2" w:rsidP="00AB161E">
            <w:pPr>
              <w:spacing w:after="0"/>
              <w:jc w:val="left"/>
              <w:rPr>
                <w:bCs/>
                <w:sz w:val="18"/>
                <w:szCs w:val="18"/>
                <w:lang w:val="en-US"/>
              </w:rPr>
            </w:pPr>
            <w:r w:rsidRPr="00AB161E">
              <w:rPr>
                <w:bCs/>
                <w:sz w:val="18"/>
                <w:szCs w:val="18"/>
                <w:lang w:val="en-US"/>
              </w:rPr>
              <w:t>Number of Urban NAMAs under development</w:t>
            </w:r>
          </w:p>
          <w:p w14:paraId="0D664585" w14:textId="77777777" w:rsidR="004976C2" w:rsidRPr="00AB161E" w:rsidRDefault="004976C2" w:rsidP="00AB161E">
            <w:pPr>
              <w:spacing w:after="0"/>
              <w:jc w:val="left"/>
              <w:rPr>
                <w:bCs/>
                <w:sz w:val="18"/>
                <w:szCs w:val="18"/>
                <w:lang w:val="en-US"/>
              </w:rPr>
            </w:pPr>
          </w:p>
          <w:p w14:paraId="2785A801" w14:textId="77777777" w:rsidR="004976C2" w:rsidRPr="00AB161E" w:rsidRDefault="004976C2" w:rsidP="00AB161E">
            <w:pPr>
              <w:spacing w:after="0"/>
              <w:jc w:val="left"/>
              <w:rPr>
                <w:bCs/>
                <w:sz w:val="18"/>
                <w:szCs w:val="18"/>
                <w:lang w:val="en-US"/>
              </w:rPr>
            </w:pPr>
            <w:r w:rsidRPr="00AB161E">
              <w:rPr>
                <w:bCs/>
                <w:sz w:val="18"/>
                <w:szCs w:val="18"/>
                <w:lang w:val="en-US"/>
              </w:rPr>
              <w:t>Value of Urban NAMAs under development (USD)</w:t>
            </w:r>
            <w:r w:rsidR="0002762E">
              <w:rPr>
                <w:bCs/>
                <w:sz w:val="18"/>
                <w:szCs w:val="18"/>
                <w:lang w:val="en-US"/>
              </w:rPr>
              <w:t xml:space="preserve"> = cumulative cofinancing realized</w:t>
            </w:r>
          </w:p>
          <w:p w14:paraId="4D8AFA0A" w14:textId="77777777" w:rsidR="004976C2" w:rsidRPr="00AB161E" w:rsidRDefault="004976C2" w:rsidP="00AB161E">
            <w:pPr>
              <w:spacing w:after="0"/>
              <w:jc w:val="left"/>
              <w:rPr>
                <w:bCs/>
                <w:sz w:val="18"/>
                <w:szCs w:val="18"/>
                <w:lang w:val="en-US"/>
              </w:rPr>
            </w:pPr>
          </w:p>
          <w:p w14:paraId="67A73D01" w14:textId="77777777" w:rsidR="004976C2" w:rsidRPr="00AB161E" w:rsidRDefault="004976C2" w:rsidP="00AB161E">
            <w:pPr>
              <w:spacing w:after="0"/>
              <w:jc w:val="left"/>
              <w:rPr>
                <w:bCs/>
                <w:sz w:val="18"/>
                <w:szCs w:val="18"/>
                <w:lang w:val="en-US"/>
              </w:rPr>
            </w:pPr>
            <w:r w:rsidRPr="00AB161E">
              <w:rPr>
                <w:bCs/>
                <w:sz w:val="18"/>
                <w:szCs w:val="18"/>
                <w:lang w:val="en-US"/>
              </w:rPr>
              <w:t>Number of Urban NAMAs under implementation</w:t>
            </w:r>
          </w:p>
          <w:p w14:paraId="15DC345F" w14:textId="77777777" w:rsidR="004976C2" w:rsidRPr="00AB161E" w:rsidRDefault="004976C2" w:rsidP="00AB161E">
            <w:pPr>
              <w:spacing w:after="0"/>
              <w:jc w:val="left"/>
              <w:rPr>
                <w:bCs/>
                <w:sz w:val="18"/>
                <w:szCs w:val="18"/>
                <w:lang w:val="en-US"/>
              </w:rPr>
            </w:pPr>
          </w:p>
          <w:p w14:paraId="3BD1CE4B" w14:textId="77777777" w:rsidR="004976C2" w:rsidRPr="00AB161E" w:rsidRDefault="004976C2" w:rsidP="00AB161E">
            <w:pPr>
              <w:spacing w:after="0"/>
              <w:jc w:val="left"/>
              <w:rPr>
                <w:bCs/>
                <w:sz w:val="18"/>
                <w:szCs w:val="18"/>
                <w:lang w:val="en-US"/>
              </w:rPr>
            </w:pPr>
            <w:r w:rsidRPr="00AB161E">
              <w:rPr>
                <w:bCs/>
                <w:sz w:val="18"/>
                <w:szCs w:val="18"/>
                <w:lang w:val="en-US"/>
              </w:rPr>
              <w:t>Value of Urban NAMAs under implementation (USD)</w:t>
            </w:r>
          </w:p>
          <w:p w14:paraId="7AE3EC68" w14:textId="77777777" w:rsidR="004976C2" w:rsidRPr="00AB161E" w:rsidRDefault="004976C2" w:rsidP="00AB161E">
            <w:pPr>
              <w:spacing w:after="0"/>
              <w:jc w:val="left"/>
              <w:rPr>
                <w:bCs/>
                <w:sz w:val="18"/>
                <w:szCs w:val="18"/>
                <w:lang w:val="en-US"/>
              </w:rPr>
            </w:pPr>
          </w:p>
          <w:p w14:paraId="14F157D5" w14:textId="77777777" w:rsidR="004976C2" w:rsidRDefault="004976C2" w:rsidP="00F77C3F">
            <w:pPr>
              <w:spacing w:after="0"/>
              <w:jc w:val="left"/>
              <w:rPr>
                <w:bCs/>
                <w:sz w:val="18"/>
                <w:szCs w:val="18"/>
                <w:lang w:val="en-US"/>
              </w:rPr>
            </w:pPr>
            <w:r>
              <w:rPr>
                <w:bCs/>
                <w:sz w:val="18"/>
                <w:szCs w:val="18"/>
                <w:lang w:val="en-US"/>
              </w:rPr>
              <w:t xml:space="preserve">Expected direct lifetime </w:t>
            </w:r>
            <w:r w:rsidRPr="00AB161E">
              <w:rPr>
                <w:bCs/>
                <w:sz w:val="18"/>
                <w:szCs w:val="18"/>
                <w:lang w:val="en-US"/>
              </w:rPr>
              <w:t>GHG emission</w:t>
            </w:r>
            <w:r>
              <w:rPr>
                <w:bCs/>
                <w:sz w:val="18"/>
                <w:szCs w:val="18"/>
                <w:lang w:val="en-US"/>
              </w:rPr>
              <w:t xml:space="preserve"> reductions from pilot NAMA implementation and NAMA Fund investments </w:t>
            </w:r>
          </w:p>
          <w:p w14:paraId="09C33836" w14:textId="77777777" w:rsidR="004976C2" w:rsidRDefault="004976C2" w:rsidP="00F77C3F">
            <w:pPr>
              <w:spacing w:after="0"/>
              <w:jc w:val="left"/>
              <w:rPr>
                <w:bCs/>
                <w:sz w:val="18"/>
                <w:szCs w:val="18"/>
                <w:lang w:val="en-US"/>
              </w:rPr>
            </w:pPr>
          </w:p>
          <w:p w14:paraId="21501B14" w14:textId="77777777" w:rsidR="004976C2" w:rsidRDefault="0002762E" w:rsidP="00F77C3F">
            <w:pPr>
              <w:spacing w:after="0"/>
              <w:jc w:val="left"/>
              <w:rPr>
                <w:bCs/>
                <w:sz w:val="18"/>
                <w:szCs w:val="18"/>
                <w:lang w:val="en-US"/>
              </w:rPr>
            </w:pPr>
            <w:r w:rsidRPr="0002762E">
              <w:rPr>
                <w:bCs/>
                <w:sz w:val="18"/>
                <w:szCs w:val="18"/>
                <w:lang w:val="en-US"/>
              </w:rPr>
              <w:t>Number of people benefiting from the improved transport and urban systems</w:t>
            </w:r>
          </w:p>
          <w:p w14:paraId="192B8F3B" w14:textId="77777777" w:rsidR="000C4743" w:rsidRDefault="000C4743" w:rsidP="00F77C3F">
            <w:pPr>
              <w:spacing w:after="0"/>
              <w:jc w:val="left"/>
              <w:rPr>
                <w:bCs/>
                <w:sz w:val="18"/>
                <w:szCs w:val="18"/>
                <w:lang w:val="en-US"/>
              </w:rPr>
            </w:pPr>
          </w:p>
          <w:p w14:paraId="3722906B" w14:textId="77777777" w:rsidR="000C4743" w:rsidRPr="00AB161E" w:rsidRDefault="000C4743" w:rsidP="000C4743">
            <w:pPr>
              <w:spacing w:after="0"/>
              <w:jc w:val="left"/>
              <w:rPr>
                <w:bCs/>
                <w:sz w:val="18"/>
                <w:szCs w:val="18"/>
                <w:lang w:val="en-US"/>
              </w:rPr>
            </w:pPr>
            <w:r w:rsidRPr="000C4743">
              <w:rPr>
                <w:bCs/>
                <w:sz w:val="18"/>
                <w:szCs w:val="18"/>
                <w:lang w:val="en-US"/>
              </w:rPr>
              <w:t>Establishment of financial facilities</w:t>
            </w:r>
            <w:r>
              <w:rPr>
                <w:bCs/>
                <w:sz w:val="18"/>
                <w:szCs w:val="18"/>
                <w:lang w:val="en-US"/>
              </w:rPr>
              <w:t xml:space="preserve"> for NAMAs</w:t>
            </w:r>
            <w:r w:rsidRPr="000C4743">
              <w:rPr>
                <w:bCs/>
                <w:sz w:val="18"/>
                <w:szCs w:val="18"/>
                <w:lang w:val="en-US"/>
              </w:rPr>
              <w:t xml:space="preserve">   </w:t>
            </w:r>
          </w:p>
        </w:tc>
        <w:tc>
          <w:tcPr>
            <w:tcW w:w="1399" w:type="dxa"/>
          </w:tcPr>
          <w:p w14:paraId="440B255F" w14:textId="77777777" w:rsidR="004976C2" w:rsidRPr="00AB161E" w:rsidRDefault="004976C2" w:rsidP="00AB161E">
            <w:pPr>
              <w:spacing w:after="0"/>
              <w:jc w:val="left"/>
              <w:rPr>
                <w:bCs/>
                <w:sz w:val="18"/>
                <w:szCs w:val="18"/>
                <w:lang w:val="en-US"/>
              </w:rPr>
            </w:pPr>
            <w:r w:rsidRPr="00AB161E">
              <w:rPr>
                <w:bCs/>
                <w:sz w:val="18"/>
                <w:szCs w:val="18"/>
                <w:lang w:val="en-US"/>
              </w:rPr>
              <w:t>0</w:t>
            </w:r>
          </w:p>
          <w:p w14:paraId="7AA598CE" w14:textId="77777777" w:rsidR="004976C2" w:rsidRPr="00AB161E" w:rsidRDefault="004976C2">
            <w:pPr>
              <w:spacing w:after="0"/>
              <w:jc w:val="left"/>
              <w:rPr>
                <w:bCs/>
                <w:sz w:val="18"/>
                <w:szCs w:val="18"/>
                <w:lang w:val="en-US"/>
              </w:rPr>
            </w:pPr>
          </w:p>
          <w:p w14:paraId="3DE41B3C" w14:textId="77777777" w:rsidR="004976C2" w:rsidRPr="00AB161E" w:rsidRDefault="004976C2">
            <w:pPr>
              <w:spacing w:after="0"/>
              <w:jc w:val="left"/>
              <w:rPr>
                <w:bCs/>
                <w:sz w:val="18"/>
                <w:szCs w:val="18"/>
                <w:lang w:val="en-US"/>
              </w:rPr>
            </w:pPr>
          </w:p>
          <w:p w14:paraId="72F5A522" w14:textId="77777777" w:rsidR="004976C2" w:rsidRPr="00AB161E" w:rsidRDefault="004976C2">
            <w:pPr>
              <w:spacing w:after="0"/>
              <w:jc w:val="left"/>
              <w:rPr>
                <w:bCs/>
                <w:sz w:val="18"/>
                <w:szCs w:val="18"/>
                <w:lang w:val="en-US"/>
              </w:rPr>
            </w:pPr>
          </w:p>
          <w:p w14:paraId="54CD0F79" w14:textId="77777777" w:rsidR="004976C2" w:rsidRPr="00AB161E" w:rsidRDefault="004976C2">
            <w:pPr>
              <w:spacing w:after="0"/>
              <w:jc w:val="left"/>
              <w:rPr>
                <w:bCs/>
                <w:sz w:val="18"/>
                <w:szCs w:val="18"/>
                <w:lang w:val="en-US"/>
              </w:rPr>
            </w:pPr>
            <w:r w:rsidRPr="00AB161E">
              <w:rPr>
                <w:bCs/>
                <w:sz w:val="18"/>
                <w:szCs w:val="18"/>
                <w:lang w:val="en-US"/>
              </w:rPr>
              <w:t>0</w:t>
            </w:r>
          </w:p>
          <w:p w14:paraId="59D77431" w14:textId="77777777" w:rsidR="004976C2" w:rsidRDefault="004976C2">
            <w:pPr>
              <w:spacing w:after="0"/>
              <w:jc w:val="left"/>
              <w:rPr>
                <w:bCs/>
                <w:sz w:val="18"/>
                <w:szCs w:val="18"/>
                <w:lang w:val="en-US"/>
              </w:rPr>
            </w:pPr>
          </w:p>
          <w:p w14:paraId="39915078" w14:textId="77777777" w:rsidR="0002762E" w:rsidRDefault="0002762E">
            <w:pPr>
              <w:spacing w:after="0"/>
              <w:jc w:val="left"/>
              <w:rPr>
                <w:bCs/>
                <w:sz w:val="18"/>
                <w:szCs w:val="18"/>
                <w:lang w:val="en-US"/>
              </w:rPr>
            </w:pPr>
          </w:p>
          <w:p w14:paraId="16C8EF2D" w14:textId="77777777" w:rsidR="0002762E" w:rsidRPr="00AB161E" w:rsidRDefault="0002762E">
            <w:pPr>
              <w:spacing w:after="0"/>
              <w:jc w:val="left"/>
              <w:rPr>
                <w:bCs/>
                <w:sz w:val="18"/>
                <w:szCs w:val="18"/>
                <w:lang w:val="en-US"/>
              </w:rPr>
            </w:pPr>
          </w:p>
          <w:p w14:paraId="358C542F" w14:textId="77777777" w:rsidR="004976C2" w:rsidRPr="00AB161E" w:rsidRDefault="004976C2">
            <w:pPr>
              <w:spacing w:after="0"/>
              <w:jc w:val="left"/>
              <w:rPr>
                <w:bCs/>
                <w:sz w:val="18"/>
                <w:szCs w:val="18"/>
                <w:lang w:val="en-US"/>
              </w:rPr>
            </w:pPr>
          </w:p>
          <w:p w14:paraId="638669CF" w14:textId="77777777" w:rsidR="004976C2" w:rsidRPr="00AB161E" w:rsidRDefault="004976C2">
            <w:pPr>
              <w:spacing w:after="0"/>
              <w:jc w:val="left"/>
              <w:rPr>
                <w:bCs/>
                <w:sz w:val="18"/>
                <w:szCs w:val="18"/>
                <w:lang w:val="en-US"/>
              </w:rPr>
            </w:pPr>
          </w:p>
          <w:p w14:paraId="36962921" w14:textId="77777777" w:rsidR="004976C2" w:rsidRPr="00AB161E" w:rsidRDefault="004976C2">
            <w:pPr>
              <w:spacing w:after="0"/>
              <w:jc w:val="left"/>
              <w:rPr>
                <w:bCs/>
                <w:sz w:val="18"/>
                <w:szCs w:val="18"/>
                <w:lang w:val="en-US"/>
              </w:rPr>
            </w:pPr>
            <w:r w:rsidRPr="00AB161E">
              <w:rPr>
                <w:bCs/>
                <w:sz w:val="18"/>
                <w:szCs w:val="18"/>
                <w:lang w:val="en-US"/>
              </w:rPr>
              <w:t>0</w:t>
            </w:r>
          </w:p>
          <w:p w14:paraId="39B4A54A" w14:textId="77777777" w:rsidR="004976C2" w:rsidRPr="00AB161E" w:rsidRDefault="004976C2">
            <w:pPr>
              <w:spacing w:after="0"/>
              <w:jc w:val="left"/>
              <w:rPr>
                <w:bCs/>
                <w:sz w:val="18"/>
                <w:szCs w:val="18"/>
                <w:lang w:val="en-US"/>
              </w:rPr>
            </w:pPr>
          </w:p>
          <w:p w14:paraId="6235DA9A" w14:textId="77777777" w:rsidR="004976C2" w:rsidRPr="00AB161E" w:rsidRDefault="004976C2">
            <w:pPr>
              <w:spacing w:after="0"/>
              <w:jc w:val="left"/>
              <w:rPr>
                <w:bCs/>
                <w:sz w:val="18"/>
                <w:szCs w:val="18"/>
                <w:lang w:val="en-US"/>
              </w:rPr>
            </w:pPr>
          </w:p>
          <w:p w14:paraId="4710342A" w14:textId="77777777" w:rsidR="004976C2" w:rsidRPr="00AB161E" w:rsidRDefault="004976C2">
            <w:pPr>
              <w:spacing w:after="0"/>
              <w:jc w:val="left"/>
              <w:rPr>
                <w:bCs/>
                <w:sz w:val="18"/>
                <w:szCs w:val="18"/>
                <w:lang w:val="en-US"/>
              </w:rPr>
            </w:pPr>
          </w:p>
          <w:p w14:paraId="53AE1084" w14:textId="77777777" w:rsidR="004976C2" w:rsidRPr="00AB161E" w:rsidRDefault="004976C2">
            <w:pPr>
              <w:spacing w:after="0"/>
              <w:jc w:val="left"/>
              <w:rPr>
                <w:bCs/>
                <w:sz w:val="18"/>
                <w:szCs w:val="18"/>
                <w:lang w:val="en-US"/>
              </w:rPr>
            </w:pPr>
            <w:r w:rsidRPr="00AB161E">
              <w:rPr>
                <w:bCs/>
                <w:sz w:val="18"/>
                <w:szCs w:val="18"/>
                <w:lang w:val="en-US"/>
              </w:rPr>
              <w:t>0</w:t>
            </w:r>
          </w:p>
          <w:p w14:paraId="57BC68F3" w14:textId="77777777" w:rsidR="004976C2" w:rsidRPr="00AB161E" w:rsidRDefault="004976C2">
            <w:pPr>
              <w:spacing w:after="0"/>
              <w:jc w:val="left"/>
              <w:rPr>
                <w:bCs/>
                <w:sz w:val="18"/>
                <w:szCs w:val="18"/>
                <w:lang w:val="en-US"/>
              </w:rPr>
            </w:pPr>
          </w:p>
          <w:p w14:paraId="721319AD" w14:textId="77777777" w:rsidR="004976C2" w:rsidRPr="00AB161E" w:rsidRDefault="004976C2">
            <w:pPr>
              <w:spacing w:after="0"/>
              <w:jc w:val="left"/>
              <w:rPr>
                <w:bCs/>
                <w:sz w:val="18"/>
                <w:szCs w:val="18"/>
                <w:lang w:val="en-US"/>
              </w:rPr>
            </w:pPr>
          </w:p>
          <w:p w14:paraId="61CCF529" w14:textId="77777777" w:rsidR="004976C2" w:rsidRPr="00AB161E" w:rsidRDefault="004976C2">
            <w:pPr>
              <w:spacing w:after="0"/>
              <w:jc w:val="left"/>
              <w:rPr>
                <w:bCs/>
                <w:sz w:val="18"/>
                <w:szCs w:val="18"/>
                <w:lang w:val="en-US"/>
              </w:rPr>
            </w:pPr>
          </w:p>
          <w:p w14:paraId="0EE614B7" w14:textId="77777777" w:rsidR="004976C2" w:rsidRDefault="004976C2">
            <w:pPr>
              <w:spacing w:after="0"/>
              <w:jc w:val="left"/>
              <w:rPr>
                <w:bCs/>
                <w:sz w:val="18"/>
                <w:szCs w:val="18"/>
                <w:lang w:val="en-US"/>
              </w:rPr>
            </w:pPr>
            <w:r w:rsidRPr="00AB161E">
              <w:rPr>
                <w:bCs/>
                <w:sz w:val="18"/>
                <w:szCs w:val="18"/>
                <w:lang w:val="en-US"/>
              </w:rPr>
              <w:t>0</w:t>
            </w:r>
          </w:p>
          <w:p w14:paraId="2BB57CC2" w14:textId="77777777" w:rsidR="0002762E" w:rsidRDefault="0002762E">
            <w:pPr>
              <w:spacing w:after="0"/>
              <w:jc w:val="left"/>
              <w:rPr>
                <w:bCs/>
                <w:sz w:val="18"/>
                <w:szCs w:val="18"/>
                <w:lang w:val="en-US"/>
              </w:rPr>
            </w:pPr>
          </w:p>
          <w:p w14:paraId="6C7FF4DE" w14:textId="77777777" w:rsidR="0002762E" w:rsidRDefault="0002762E">
            <w:pPr>
              <w:spacing w:after="0"/>
              <w:jc w:val="left"/>
              <w:rPr>
                <w:bCs/>
                <w:sz w:val="18"/>
                <w:szCs w:val="18"/>
                <w:lang w:val="en-US"/>
              </w:rPr>
            </w:pPr>
          </w:p>
          <w:p w14:paraId="03E1D30D" w14:textId="77777777" w:rsidR="0002762E" w:rsidRDefault="0002762E">
            <w:pPr>
              <w:spacing w:after="0"/>
              <w:jc w:val="left"/>
              <w:rPr>
                <w:bCs/>
                <w:sz w:val="18"/>
                <w:szCs w:val="18"/>
                <w:lang w:val="en-US"/>
              </w:rPr>
            </w:pPr>
          </w:p>
          <w:p w14:paraId="096A4A81" w14:textId="77777777" w:rsidR="0002762E" w:rsidRDefault="0002762E">
            <w:pPr>
              <w:spacing w:after="0"/>
              <w:jc w:val="left"/>
              <w:rPr>
                <w:bCs/>
                <w:sz w:val="18"/>
                <w:szCs w:val="18"/>
                <w:lang w:val="en-US"/>
              </w:rPr>
            </w:pPr>
          </w:p>
          <w:p w14:paraId="4DB8F3DB" w14:textId="77777777" w:rsidR="0002762E" w:rsidRDefault="0002762E">
            <w:pPr>
              <w:spacing w:after="0"/>
              <w:jc w:val="left"/>
              <w:rPr>
                <w:bCs/>
                <w:sz w:val="18"/>
                <w:szCs w:val="18"/>
                <w:lang w:val="en-US"/>
              </w:rPr>
            </w:pPr>
          </w:p>
          <w:p w14:paraId="4B6FECDA" w14:textId="77777777" w:rsidR="0002762E" w:rsidRDefault="0002762E">
            <w:pPr>
              <w:spacing w:after="0"/>
              <w:jc w:val="left"/>
              <w:rPr>
                <w:bCs/>
                <w:sz w:val="18"/>
                <w:szCs w:val="18"/>
                <w:lang w:val="en-US"/>
              </w:rPr>
            </w:pPr>
          </w:p>
          <w:p w14:paraId="1FDE4E4D" w14:textId="77777777" w:rsidR="00144AC2" w:rsidRDefault="00144AC2">
            <w:pPr>
              <w:spacing w:after="0"/>
              <w:jc w:val="left"/>
              <w:rPr>
                <w:bCs/>
                <w:sz w:val="18"/>
                <w:szCs w:val="18"/>
                <w:lang w:val="en-US"/>
              </w:rPr>
            </w:pPr>
            <w:r>
              <w:rPr>
                <w:bCs/>
                <w:sz w:val="18"/>
                <w:szCs w:val="18"/>
                <w:lang w:val="en-US"/>
              </w:rPr>
              <w:t>0</w:t>
            </w:r>
          </w:p>
          <w:p w14:paraId="2E6E910D" w14:textId="77777777" w:rsidR="000C4743" w:rsidRDefault="000C4743">
            <w:pPr>
              <w:spacing w:after="0"/>
              <w:jc w:val="left"/>
              <w:rPr>
                <w:bCs/>
                <w:sz w:val="18"/>
                <w:szCs w:val="18"/>
                <w:lang w:val="en-US"/>
              </w:rPr>
            </w:pPr>
          </w:p>
          <w:p w14:paraId="62BF7896" w14:textId="77777777" w:rsidR="000C4743" w:rsidRDefault="000C4743">
            <w:pPr>
              <w:spacing w:after="0"/>
              <w:jc w:val="left"/>
              <w:rPr>
                <w:bCs/>
                <w:sz w:val="18"/>
                <w:szCs w:val="18"/>
                <w:lang w:val="en-US"/>
              </w:rPr>
            </w:pPr>
          </w:p>
          <w:p w14:paraId="6681FCAA" w14:textId="77777777" w:rsidR="000C4743" w:rsidRDefault="000C4743">
            <w:pPr>
              <w:spacing w:after="0"/>
              <w:jc w:val="left"/>
              <w:rPr>
                <w:bCs/>
                <w:sz w:val="18"/>
                <w:szCs w:val="18"/>
                <w:lang w:val="en-US"/>
              </w:rPr>
            </w:pPr>
          </w:p>
          <w:p w14:paraId="23C6EE5C" w14:textId="77777777" w:rsidR="000C4743" w:rsidRDefault="000C4743">
            <w:pPr>
              <w:spacing w:after="0"/>
              <w:jc w:val="left"/>
              <w:rPr>
                <w:bCs/>
                <w:sz w:val="18"/>
                <w:szCs w:val="18"/>
                <w:lang w:val="en-US"/>
              </w:rPr>
            </w:pPr>
          </w:p>
          <w:p w14:paraId="21B308C7" w14:textId="77777777" w:rsidR="000C4743" w:rsidRPr="00AB161E" w:rsidRDefault="000C4743">
            <w:pPr>
              <w:spacing w:after="0"/>
              <w:jc w:val="left"/>
              <w:rPr>
                <w:bCs/>
                <w:sz w:val="18"/>
                <w:szCs w:val="18"/>
                <w:lang w:val="en-US"/>
              </w:rPr>
            </w:pPr>
            <w:r>
              <w:rPr>
                <w:bCs/>
                <w:sz w:val="18"/>
                <w:szCs w:val="18"/>
                <w:lang w:val="en-US"/>
              </w:rPr>
              <w:t>1</w:t>
            </w:r>
          </w:p>
        </w:tc>
        <w:tc>
          <w:tcPr>
            <w:tcW w:w="1276" w:type="dxa"/>
          </w:tcPr>
          <w:p w14:paraId="6C648D76" w14:textId="77777777" w:rsidR="004976C2" w:rsidRDefault="00F27069">
            <w:pPr>
              <w:spacing w:after="0"/>
              <w:jc w:val="left"/>
              <w:rPr>
                <w:bCs/>
                <w:sz w:val="18"/>
                <w:szCs w:val="18"/>
                <w:lang w:val="en-US"/>
              </w:rPr>
            </w:pPr>
            <w:r>
              <w:rPr>
                <w:bCs/>
                <w:sz w:val="18"/>
                <w:szCs w:val="18"/>
                <w:lang w:val="en-US"/>
              </w:rPr>
              <w:t>4</w:t>
            </w:r>
          </w:p>
          <w:p w14:paraId="6893D988" w14:textId="77777777" w:rsidR="00F27069" w:rsidRDefault="00F27069">
            <w:pPr>
              <w:spacing w:after="0"/>
              <w:jc w:val="left"/>
              <w:rPr>
                <w:bCs/>
                <w:sz w:val="18"/>
                <w:szCs w:val="18"/>
                <w:lang w:val="en-US"/>
              </w:rPr>
            </w:pPr>
          </w:p>
          <w:p w14:paraId="0B0D2561" w14:textId="77777777" w:rsidR="00F27069" w:rsidRDefault="00F27069">
            <w:pPr>
              <w:spacing w:after="0"/>
              <w:jc w:val="left"/>
              <w:rPr>
                <w:bCs/>
                <w:sz w:val="18"/>
                <w:szCs w:val="18"/>
                <w:lang w:val="en-US"/>
              </w:rPr>
            </w:pPr>
          </w:p>
          <w:p w14:paraId="125FAE17" w14:textId="77777777" w:rsidR="00F27069" w:rsidRDefault="00F27069">
            <w:pPr>
              <w:spacing w:after="0"/>
              <w:jc w:val="left"/>
              <w:rPr>
                <w:bCs/>
                <w:sz w:val="18"/>
                <w:szCs w:val="18"/>
                <w:lang w:val="en-US"/>
              </w:rPr>
            </w:pPr>
          </w:p>
          <w:p w14:paraId="7BA67681" w14:textId="77777777" w:rsidR="00F27069" w:rsidRDefault="00F27069">
            <w:pPr>
              <w:spacing w:after="0"/>
              <w:jc w:val="left"/>
              <w:rPr>
                <w:bCs/>
                <w:sz w:val="18"/>
                <w:szCs w:val="18"/>
                <w:lang w:val="en-US"/>
              </w:rPr>
            </w:pPr>
            <w:r>
              <w:rPr>
                <w:bCs/>
                <w:sz w:val="18"/>
                <w:szCs w:val="18"/>
                <w:lang w:val="en-US"/>
              </w:rPr>
              <w:t>20 million</w:t>
            </w:r>
          </w:p>
          <w:p w14:paraId="3C1D1E03" w14:textId="77777777" w:rsidR="00F27069" w:rsidRDefault="00F27069">
            <w:pPr>
              <w:spacing w:after="0"/>
              <w:jc w:val="left"/>
              <w:rPr>
                <w:bCs/>
                <w:sz w:val="18"/>
                <w:szCs w:val="18"/>
                <w:lang w:val="en-US"/>
              </w:rPr>
            </w:pPr>
          </w:p>
          <w:p w14:paraId="44152957" w14:textId="77777777" w:rsidR="0002762E" w:rsidRDefault="0002762E">
            <w:pPr>
              <w:spacing w:after="0"/>
              <w:jc w:val="left"/>
              <w:rPr>
                <w:bCs/>
                <w:sz w:val="18"/>
                <w:szCs w:val="18"/>
                <w:lang w:val="en-US"/>
              </w:rPr>
            </w:pPr>
          </w:p>
          <w:p w14:paraId="7ADFB6AF" w14:textId="77777777" w:rsidR="0002762E" w:rsidRDefault="0002762E">
            <w:pPr>
              <w:spacing w:after="0"/>
              <w:jc w:val="left"/>
              <w:rPr>
                <w:bCs/>
                <w:sz w:val="18"/>
                <w:szCs w:val="18"/>
                <w:lang w:val="en-US"/>
              </w:rPr>
            </w:pPr>
          </w:p>
          <w:p w14:paraId="73704DBC" w14:textId="77777777" w:rsidR="00F27069" w:rsidRDefault="00F27069">
            <w:pPr>
              <w:spacing w:after="0"/>
              <w:jc w:val="left"/>
              <w:rPr>
                <w:bCs/>
                <w:sz w:val="18"/>
                <w:szCs w:val="18"/>
                <w:lang w:val="en-US"/>
              </w:rPr>
            </w:pPr>
          </w:p>
          <w:p w14:paraId="3663105F" w14:textId="77777777" w:rsidR="00F27069" w:rsidRDefault="00F27069">
            <w:pPr>
              <w:spacing w:after="0"/>
              <w:jc w:val="left"/>
              <w:rPr>
                <w:bCs/>
                <w:sz w:val="18"/>
                <w:szCs w:val="18"/>
                <w:lang w:val="en-US"/>
              </w:rPr>
            </w:pPr>
          </w:p>
          <w:p w14:paraId="1177D5B8" w14:textId="77777777" w:rsidR="00F27069" w:rsidRDefault="00F27069">
            <w:pPr>
              <w:spacing w:after="0"/>
              <w:jc w:val="left"/>
              <w:rPr>
                <w:bCs/>
                <w:sz w:val="18"/>
                <w:szCs w:val="18"/>
                <w:lang w:val="en-US"/>
              </w:rPr>
            </w:pPr>
            <w:r>
              <w:rPr>
                <w:bCs/>
                <w:sz w:val="18"/>
                <w:szCs w:val="18"/>
                <w:lang w:val="en-US"/>
              </w:rPr>
              <w:t>1</w:t>
            </w:r>
          </w:p>
          <w:p w14:paraId="3D4EB914" w14:textId="77777777" w:rsidR="00F27069" w:rsidRDefault="00F27069">
            <w:pPr>
              <w:spacing w:after="0"/>
              <w:jc w:val="left"/>
              <w:rPr>
                <w:bCs/>
                <w:sz w:val="18"/>
                <w:szCs w:val="18"/>
                <w:lang w:val="en-US"/>
              </w:rPr>
            </w:pPr>
          </w:p>
          <w:p w14:paraId="101F07D0" w14:textId="77777777" w:rsidR="00F27069" w:rsidRDefault="00F27069">
            <w:pPr>
              <w:spacing w:after="0"/>
              <w:jc w:val="left"/>
              <w:rPr>
                <w:bCs/>
                <w:sz w:val="18"/>
                <w:szCs w:val="18"/>
                <w:lang w:val="en-US"/>
              </w:rPr>
            </w:pPr>
          </w:p>
          <w:p w14:paraId="117B7E59" w14:textId="77777777" w:rsidR="00F27069" w:rsidRDefault="00F27069">
            <w:pPr>
              <w:spacing w:after="0"/>
              <w:jc w:val="left"/>
              <w:rPr>
                <w:bCs/>
                <w:sz w:val="18"/>
                <w:szCs w:val="18"/>
                <w:lang w:val="en-US"/>
              </w:rPr>
            </w:pPr>
          </w:p>
          <w:p w14:paraId="49AAD042" w14:textId="77777777" w:rsidR="00F27069" w:rsidRDefault="00F27069">
            <w:pPr>
              <w:spacing w:after="0"/>
              <w:jc w:val="left"/>
              <w:rPr>
                <w:bCs/>
                <w:sz w:val="18"/>
                <w:szCs w:val="18"/>
                <w:lang w:val="en-US"/>
              </w:rPr>
            </w:pPr>
            <w:r>
              <w:rPr>
                <w:bCs/>
                <w:sz w:val="18"/>
                <w:szCs w:val="18"/>
                <w:lang w:val="en-US"/>
              </w:rPr>
              <w:t>3 million</w:t>
            </w:r>
          </w:p>
          <w:p w14:paraId="39044919" w14:textId="77777777" w:rsidR="00F27069" w:rsidRDefault="00F27069">
            <w:pPr>
              <w:spacing w:after="0"/>
              <w:jc w:val="left"/>
              <w:rPr>
                <w:bCs/>
                <w:sz w:val="18"/>
                <w:szCs w:val="18"/>
                <w:lang w:val="en-US"/>
              </w:rPr>
            </w:pPr>
          </w:p>
          <w:p w14:paraId="747504BE" w14:textId="77777777" w:rsidR="00F27069" w:rsidRDefault="00F27069">
            <w:pPr>
              <w:spacing w:after="0"/>
              <w:jc w:val="left"/>
              <w:rPr>
                <w:bCs/>
                <w:sz w:val="18"/>
                <w:szCs w:val="18"/>
                <w:lang w:val="en-US"/>
              </w:rPr>
            </w:pPr>
          </w:p>
          <w:p w14:paraId="4843E3DC" w14:textId="77777777" w:rsidR="00F27069" w:rsidRDefault="00F27069">
            <w:pPr>
              <w:spacing w:after="0"/>
              <w:jc w:val="left"/>
              <w:rPr>
                <w:bCs/>
                <w:sz w:val="18"/>
                <w:szCs w:val="18"/>
                <w:lang w:val="en-US"/>
              </w:rPr>
            </w:pPr>
          </w:p>
          <w:p w14:paraId="6F894C0E" w14:textId="3BD46757" w:rsidR="00F27069" w:rsidRDefault="00312677">
            <w:pPr>
              <w:spacing w:after="0"/>
              <w:jc w:val="left"/>
              <w:rPr>
                <w:bCs/>
                <w:sz w:val="18"/>
                <w:szCs w:val="18"/>
                <w:lang w:val="en-US"/>
              </w:rPr>
            </w:pPr>
            <w:r>
              <w:rPr>
                <w:bCs/>
                <w:sz w:val="18"/>
                <w:szCs w:val="18"/>
                <w:lang w:val="en-US"/>
              </w:rPr>
              <w:t>74,000</w:t>
            </w:r>
            <w:r w:rsidR="00F27069" w:rsidRPr="00AB161E" w:rsidDel="00F66F6B">
              <w:rPr>
                <w:bCs/>
                <w:sz w:val="18"/>
                <w:szCs w:val="18"/>
                <w:lang w:val="en-US"/>
              </w:rPr>
              <w:t xml:space="preserve"> </w:t>
            </w:r>
            <w:r w:rsidR="00F27069">
              <w:rPr>
                <w:bCs/>
                <w:sz w:val="18"/>
                <w:szCs w:val="18"/>
                <w:lang w:val="en-US"/>
              </w:rPr>
              <w:t xml:space="preserve"> </w:t>
            </w:r>
            <w:r w:rsidR="00F27069" w:rsidRPr="00AB161E">
              <w:rPr>
                <w:bCs/>
                <w:sz w:val="18"/>
                <w:szCs w:val="18"/>
                <w:lang w:val="en-US"/>
              </w:rPr>
              <w:t>t CO</w:t>
            </w:r>
            <w:r w:rsidR="00F27069" w:rsidRPr="00AB161E">
              <w:rPr>
                <w:bCs/>
                <w:sz w:val="18"/>
                <w:szCs w:val="18"/>
                <w:vertAlign w:val="subscript"/>
                <w:lang w:val="en-US"/>
              </w:rPr>
              <w:t>2</w:t>
            </w:r>
            <w:r w:rsidR="00F27069" w:rsidRPr="00AB161E">
              <w:rPr>
                <w:bCs/>
                <w:sz w:val="18"/>
                <w:szCs w:val="18"/>
                <w:lang w:val="en-US"/>
              </w:rPr>
              <w:t xml:space="preserve">  </w:t>
            </w:r>
          </w:p>
          <w:p w14:paraId="0137ACD3" w14:textId="77777777" w:rsidR="00144AC2" w:rsidRDefault="00144AC2">
            <w:pPr>
              <w:spacing w:after="0"/>
              <w:jc w:val="left"/>
              <w:rPr>
                <w:bCs/>
                <w:sz w:val="18"/>
                <w:szCs w:val="18"/>
                <w:lang w:val="en-US"/>
              </w:rPr>
            </w:pPr>
          </w:p>
          <w:p w14:paraId="4FEDD851" w14:textId="77777777" w:rsidR="00144AC2" w:rsidRDefault="00144AC2">
            <w:pPr>
              <w:spacing w:after="0"/>
              <w:jc w:val="left"/>
              <w:rPr>
                <w:bCs/>
                <w:sz w:val="18"/>
                <w:szCs w:val="18"/>
                <w:lang w:val="en-US"/>
              </w:rPr>
            </w:pPr>
          </w:p>
          <w:p w14:paraId="72908812" w14:textId="77777777" w:rsidR="00144AC2" w:rsidRDefault="00144AC2">
            <w:pPr>
              <w:spacing w:after="0"/>
              <w:jc w:val="left"/>
              <w:rPr>
                <w:bCs/>
                <w:sz w:val="18"/>
                <w:szCs w:val="18"/>
                <w:lang w:val="en-US"/>
              </w:rPr>
            </w:pPr>
          </w:p>
          <w:p w14:paraId="2DC10E61" w14:textId="77777777" w:rsidR="00144AC2" w:rsidRDefault="00144AC2">
            <w:pPr>
              <w:spacing w:after="0"/>
              <w:jc w:val="left"/>
              <w:rPr>
                <w:bCs/>
                <w:sz w:val="18"/>
                <w:szCs w:val="18"/>
                <w:lang w:val="en-US"/>
              </w:rPr>
            </w:pPr>
          </w:p>
          <w:p w14:paraId="6251722F" w14:textId="77777777" w:rsidR="00144AC2" w:rsidRDefault="00144AC2">
            <w:pPr>
              <w:spacing w:after="0"/>
              <w:jc w:val="left"/>
              <w:rPr>
                <w:bCs/>
                <w:sz w:val="18"/>
                <w:szCs w:val="18"/>
                <w:lang w:val="en-US"/>
              </w:rPr>
            </w:pPr>
          </w:p>
          <w:p w14:paraId="699651D5" w14:textId="77777777" w:rsidR="00144AC2" w:rsidRDefault="00144AC2">
            <w:pPr>
              <w:spacing w:after="0"/>
              <w:jc w:val="left"/>
              <w:rPr>
                <w:bCs/>
                <w:sz w:val="18"/>
                <w:szCs w:val="18"/>
                <w:lang w:val="en-US"/>
              </w:rPr>
            </w:pPr>
          </w:p>
          <w:p w14:paraId="46CE53A3" w14:textId="77777777" w:rsidR="00144AC2" w:rsidRDefault="00F838C4">
            <w:pPr>
              <w:spacing w:after="0"/>
              <w:jc w:val="left"/>
              <w:rPr>
                <w:bCs/>
                <w:sz w:val="18"/>
                <w:szCs w:val="18"/>
                <w:lang w:val="en-US"/>
              </w:rPr>
            </w:pPr>
            <w:r>
              <w:rPr>
                <w:bCs/>
                <w:sz w:val="18"/>
                <w:szCs w:val="18"/>
                <w:lang w:val="en-US"/>
              </w:rPr>
              <w:t>2,200</w:t>
            </w:r>
          </w:p>
          <w:p w14:paraId="746B6655" w14:textId="77777777" w:rsidR="000C4743" w:rsidRDefault="000C4743">
            <w:pPr>
              <w:spacing w:after="0"/>
              <w:jc w:val="left"/>
              <w:rPr>
                <w:bCs/>
                <w:sz w:val="18"/>
                <w:szCs w:val="18"/>
                <w:lang w:val="en-US"/>
              </w:rPr>
            </w:pPr>
          </w:p>
          <w:p w14:paraId="5741CE14" w14:textId="77777777" w:rsidR="000C4743" w:rsidRDefault="000C4743">
            <w:pPr>
              <w:spacing w:after="0"/>
              <w:jc w:val="left"/>
              <w:rPr>
                <w:bCs/>
                <w:sz w:val="18"/>
                <w:szCs w:val="18"/>
                <w:lang w:val="en-US"/>
              </w:rPr>
            </w:pPr>
          </w:p>
          <w:p w14:paraId="128BB135" w14:textId="77777777" w:rsidR="000C4743" w:rsidRDefault="000C4743">
            <w:pPr>
              <w:spacing w:after="0"/>
              <w:jc w:val="left"/>
              <w:rPr>
                <w:bCs/>
                <w:sz w:val="18"/>
                <w:szCs w:val="18"/>
                <w:lang w:val="en-US"/>
              </w:rPr>
            </w:pPr>
          </w:p>
          <w:p w14:paraId="1419ECDD" w14:textId="77777777" w:rsidR="000C4743" w:rsidRDefault="000C4743">
            <w:pPr>
              <w:spacing w:after="0"/>
              <w:jc w:val="left"/>
              <w:rPr>
                <w:bCs/>
                <w:sz w:val="18"/>
                <w:szCs w:val="18"/>
                <w:lang w:val="en-US"/>
              </w:rPr>
            </w:pPr>
          </w:p>
          <w:p w14:paraId="41A08D03" w14:textId="77777777" w:rsidR="000C4743" w:rsidRPr="00AB161E" w:rsidRDefault="000C4743">
            <w:pPr>
              <w:spacing w:after="0"/>
              <w:jc w:val="left"/>
              <w:rPr>
                <w:bCs/>
                <w:sz w:val="18"/>
                <w:szCs w:val="18"/>
                <w:lang w:val="en-US"/>
              </w:rPr>
            </w:pPr>
            <w:r>
              <w:rPr>
                <w:bCs/>
                <w:sz w:val="18"/>
                <w:szCs w:val="18"/>
                <w:lang w:val="en-US"/>
              </w:rPr>
              <w:t>2</w:t>
            </w:r>
          </w:p>
        </w:tc>
        <w:tc>
          <w:tcPr>
            <w:tcW w:w="1417" w:type="dxa"/>
          </w:tcPr>
          <w:p w14:paraId="474E84CE" w14:textId="77777777" w:rsidR="004976C2" w:rsidRPr="00AB161E" w:rsidRDefault="004976C2">
            <w:pPr>
              <w:spacing w:after="0"/>
              <w:jc w:val="left"/>
              <w:rPr>
                <w:bCs/>
                <w:sz w:val="18"/>
                <w:szCs w:val="18"/>
                <w:lang w:val="en-US"/>
              </w:rPr>
            </w:pPr>
            <w:r w:rsidRPr="00AB161E">
              <w:rPr>
                <w:bCs/>
                <w:sz w:val="18"/>
                <w:szCs w:val="18"/>
                <w:lang w:val="en-US"/>
              </w:rPr>
              <w:t>14</w:t>
            </w:r>
          </w:p>
          <w:p w14:paraId="2A49AF13" w14:textId="77777777" w:rsidR="004976C2" w:rsidRPr="00AB161E" w:rsidRDefault="004976C2">
            <w:pPr>
              <w:spacing w:after="0"/>
              <w:jc w:val="left"/>
              <w:rPr>
                <w:bCs/>
                <w:sz w:val="18"/>
                <w:szCs w:val="18"/>
                <w:lang w:val="en-US"/>
              </w:rPr>
            </w:pPr>
          </w:p>
          <w:p w14:paraId="67CE3661" w14:textId="77777777" w:rsidR="004976C2" w:rsidRPr="00AB161E" w:rsidRDefault="004976C2">
            <w:pPr>
              <w:spacing w:after="0"/>
              <w:jc w:val="left"/>
              <w:rPr>
                <w:bCs/>
                <w:sz w:val="18"/>
                <w:szCs w:val="18"/>
                <w:lang w:val="en-US"/>
              </w:rPr>
            </w:pPr>
          </w:p>
          <w:p w14:paraId="6D091634" w14:textId="77777777" w:rsidR="004976C2" w:rsidRPr="00AB161E" w:rsidRDefault="004976C2">
            <w:pPr>
              <w:spacing w:after="0"/>
              <w:jc w:val="left"/>
              <w:rPr>
                <w:bCs/>
                <w:sz w:val="18"/>
                <w:szCs w:val="18"/>
                <w:lang w:val="en-US"/>
              </w:rPr>
            </w:pPr>
          </w:p>
          <w:p w14:paraId="10A5C979" w14:textId="77777777" w:rsidR="004976C2" w:rsidRPr="00AB161E" w:rsidRDefault="004976C2">
            <w:pPr>
              <w:spacing w:after="0"/>
              <w:jc w:val="left"/>
              <w:rPr>
                <w:bCs/>
                <w:sz w:val="18"/>
                <w:szCs w:val="18"/>
                <w:lang w:val="en-US"/>
              </w:rPr>
            </w:pPr>
            <w:r w:rsidRPr="00AB161E">
              <w:rPr>
                <w:bCs/>
                <w:sz w:val="18"/>
                <w:szCs w:val="18"/>
                <w:lang w:val="en-US"/>
              </w:rPr>
              <w:t>70 million</w:t>
            </w:r>
          </w:p>
          <w:p w14:paraId="432ECEBE" w14:textId="77777777" w:rsidR="004976C2" w:rsidRPr="00AB161E" w:rsidRDefault="004976C2">
            <w:pPr>
              <w:spacing w:after="0"/>
              <w:jc w:val="left"/>
              <w:rPr>
                <w:bCs/>
                <w:sz w:val="18"/>
                <w:szCs w:val="18"/>
                <w:lang w:val="en-US"/>
              </w:rPr>
            </w:pPr>
          </w:p>
          <w:p w14:paraId="75BE3A2B" w14:textId="77777777" w:rsidR="004976C2" w:rsidRDefault="004976C2">
            <w:pPr>
              <w:spacing w:after="0"/>
              <w:jc w:val="left"/>
              <w:rPr>
                <w:bCs/>
                <w:sz w:val="18"/>
                <w:szCs w:val="18"/>
                <w:lang w:val="en-US"/>
              </w:rPr>
            </w:pPr>
          </w:p>
          <w:p w14:paraId="1DCA7A16" w14:textId="77777777" w:rsidR="0002762E" w:rsidRDefault="0002762E">
            <w:pPr>
              <w:spacing w:after="0"/>
              <w:jc w:val="left"/>
              <w:rPr>
                <w:bCs/>
                <w:sz w:val="18"/>
                <w:szCs w:val="18"/>
                <w:lang w:val="en-US"/>
              </w:rPr>
            </w:pPr>
          </w:p>
          <w:p w14:paraId="7BBA5835" w14:textId="77777777" w:rsidR="0002762E" w:rsidRPr="00AB161E" w:rsidRDefault="0002762E">
            <w:pPr>
              <w:spacing w:after="0"/>
              <w:jc w:val="left"/>
              <w:rPr>
                <w:bCs/>
                <w:sz w:val="18"/>
                <w:szCs w:val="18"/>
                <w:lang w:val="en-US"/>
              </w:rPr>
            </w:pPr>
          </w:p>
          <w:p w14:paraId="36D6EEA1" w14:textId="77777777" w:rsidR="004976C2" w:rsidRPr="00AB161E" w:rsidRDefault="004976C2">
            <w:pPr>
              <w:spacing w:after="0"/>
              <w:jc w:val="left"/>
              <w:rPr>
                <w:bCs/>
                <w:sz w:val="18"/>
                <w:szCs w:val="18"/>
                <w:lang w:val="en-US"/>
              </w:rPr>
            </w:pPr>
          </w:p>
          <w:p w14:paraId="6E8D5640" w14:textId="6AFA30E4" w:rsidR="004976C2" w:rsidRPr="00AB161E" w:rsidRDefault="00312677">
            <w:pPr>
              <w:spacing w:after="0"/>
              <w:jc w:val="left"/>
              <w:rPr>
                <w:bCs/>
                <w:sz w:val="18"/>
                <w:szCs w:val="18"/>
                <w:lang w:val="en-US"/>
              </w:rPr>
            </w:pPr>
            <w:r>
              <w:rPr>
                <w:bCs/>
                <w:sz w:val="18"/>
                <w:szCs w:val="18"/>
                <w:lang w:val="en-US"/>
              </w:rPr>
              <w:t>4</w:t>
            </w:r>
          </w:p>
          <w:p w14:paraId="3F32C531" w14:textId="77777777" w:rsidR="004976C2" w:rsidRPr="00AB161E" w:rsidRDefault="004976C2">
            <w:pPr>
              <w:spacing w:after="0"/>
              <w:jc w:val="left"/>
              <w:rPr>
                <w:bCs/>
                <w:sz w:val="18"/>
                <w:szCs w:val="18"/>
                <w:lang w:val="en-US"/>
              </w:rPr>
            </w:pPr>
          </w:p>
          <w:p w14:paraId="19C3D107" w14:textId="77777777" w:rsidR="004976C2" w:rsidRPr="00AB161E" w:rsidRDefault="004976C2">
            <w:pPr>
              <w:spacing w:after="0"/>
              <w:jc w:val="left"/>
              <w:rPr>
                <w:bCs/>
                <w:sz w:val="18"/>
                <w:szCs w:val="18"/>
                <w:lang w:val="en-US"/>
              </w:rPr>
            </w:pPr>
          </w:p>
          <w:p w14:paraId="0836C66C" w14:textId="77777777" w:rsidR="004976C2" w:rsidRPr="00AB161E" w:rsidRDefault="004976C2">
            <w:pPr>
              <w:spacing w:after="0"/>
              <w:jc w:val="left"/>
              <w:rPr>
                <w:bCs/>
                <w:sz w:val="18"/>
                <w:szCs w:val="18"/>
                <w:lang w:val="en-US"/>
              </w:rPr>
            </w:pPr>
          </w:p>
          <w:p w14:paraId="3866DEA6" w14:textId="77777777" w:rsidR="004976C2" w:rsidRPr="00AB161E" w:rsidRDefault="004976C2">
            <w:pPr>
              <w:spacing w:after="0"/>
              <w:jc w:val="left"/>
              <w:rPr>
                <w:bCs/>
                <w:sz w:val="18"/>
                <w:szCs w:val="18"/>
                <w:lang w:val="en-US"/>
              </w:rPr>
            </w:pPr>
            <w:r w:rsidRPr="00AB161E">
              <w:rPr>
                <w:bCs/>
                <w:sz w:val="18"/>
                <w:szCs w:val="18"/>
                <w:lang w:val="en-US"/>
              </w:rPr>
              <w:t>3 million</w:t>
            </w:r>
          </w:p>
          <w:p w14:paraId="5D784FBC" w14:textId="77777777" w:rsidR="004976C2" w:rsidRPr="00AB161E" w:rsidRDefault="004976C2">
            <w:pPr>
              <w:spacing w:after="0"/>
              <w:jc w:val="left"/>
              <w:rPr>
                <w:bCs/>
                <w:sz w:val="18"/>
                <w:szCs w:val="18"/>
                <w:lang w:val="en-US"/>
              </w:rPr>
            </w:pPr>
          </w:p>
          <w:p w14:paraId="6B97B96F" w14:textId="77777777" w:rsidR="004976C2" w:rsidRPr="00AB161E" w:rsidRDefault="004976C2">
            <w:pPr>
              <w:spacing w:after="0"/>
              <w:jc w:val="left"/>
              <w:rPr>
                <w:bCs/>
                <w:sz w:val="18"/>
                <w:szCs w:val="18"/>
                <w:lang w:val="en-US"/>
              </w:rPr>
            </w:pPr>
          </w:p>
          <w:p w14:paraId="36B1C4DF" w14:textId="77777777" w:rsidR="004976C2" w:rsidRPr="00AB161E" w:rsidRDefault="004976C2">
            <w:pPr>
              <w:spacing w:after="0"/>
              <w:jc w:val="left"/>
              <w:rPr>
                <w:bCs/>
                <w:sz w:val="18"/>
                <w:szCs w:val="18"/>
                <w:lang w:val="en-US"/>
              </w:rPr>
            </w:pPr>
          </w:p>
          <w:p w14:paraId="5CDA6811" w14:textId="77777777" w:rsidR="004976C2" w:rsidRDefault="004976C2" w:rsidP="00F66F6B">
            <w:pPr>
              <w:spacing w:after="0"/>
              <w:jc w:val="left"/>
              <w:rPr>
                <w:bCs/>
                <w:sz w:val="18"/>
                <w:szCs w:val="18"/>
                <w:lang w:val="en-US"/>
              </w:rPr>
            </w:pPr>
            <w:r>
              <w:rPr>
                <w:bCs/>
                <w:sz w:val="18"/>
                <w:szCs w:val="18"/>
                <w:lang w:val="en-US"/>
              </w:rPr>
              <w:t>370,000</w:t>
            </w:r>
            <w:r w:rsidRPr="00AB161E" w:rsidDel="00F66F6B">
              <w:rPr>
                <w:bCs/>
                <w:sz w:val="18"/>
                <w:szCs w:val="18"/>
                <w:lang w:val="en-US"/>
              </w:rPr>
              <w:t xml:space="preserve"> </w:t>
            </w:r>
            <w:r>
              <w:rPr>
                <w:bCs/>
                <w:sz w:val="18"/>
                <w:szCs w:val="18"/>
                <w:lang w:val="en-US"/>
              </w:rPr>
              <w:t xml:space="preserve"> </w:t>
            </w:r>
            <w:r w:rsidRPr="00AB161E">
              <w:rPr>
                <w:bCs/>
                <w:sz w:val="18"/>
                <w:szCs w:val="18"/>
                <w:lang w:val="en-US"/>
              </w:rPr>
              <w:t>t CO</w:t>
            </w:r>
            <w:r w:rsidRPr="00AB161E">
              <w:rPr>
                <w:bCs/>
                <w:sz w:val="18"/>
                <w:szCs w:val="18"/>
                <w:vertAlign w:val="subscript"/>
                <w:lang w:val="en-US"/>
              </w:rPr>
              <w:t>2</w:t>
            </w:r>
            <w:r w:rsidRPr="00AB161E">
              <w:rPr>
                <w:bCs/>
                <w:sz w:val="18"/>
                <w:szCs w:val="18"/>
                <w:lang w:val="en-US"/>
              </w:rPr>
              <w:t xml:space="preserve">  </w:t>
            </w:r>
          </w:p>
          <w:p w14:paraId="41D731D6" w14:textId="77777777" w:rsidR="00144AC2" w:rsidRDefault="00144AC2" w:rsidP="00F66F6B">
            <w:pPr>
              <w:spacing w:after="0"/>
              <w:jc w:val="left"/>
              <w:rPr>
                <w:bCs/>
                <w:sz w:val="18"/>
                <w:szCs w:val="18"/>
                <w:lang w:val="en-US"/>
              </w:rPr>
            </w:pPr>
          </w:p>
          <w:p w14:paraId="779FBA87" w14:textId="77777777" w:rsidR="00144AC2" w:rsidRDefault="00144AC2" w:rsidP="00F66F6B">
            <w:pPr>
              <w:spacing w:after="0"/>
              <w:jc w:val="left"/>
              <w:rPr>
                <w:bCs/>
                <w:sz w:val="18"/>
                <w:szCs w:val="18"/>
                <w:lang w:val="en-US"/>
              </w:rPr>
            </w:pPr>
          </w:p>
          <w:p w14:paraId="00D43C06" w14:textId="77777777" w:rsidR="00144AC2" w:rsidRDefault="00144AC2" w:rsidP="00F66F6B">
            <w:pPr>
              <w:spacing w:after="0"/>
              <w:jc w:val="left"/>
              <w:rPr>
                <w:bCs/>
                <w:sz w:val="18"/>
                <w:szCs w:val="18"/>
                <w:lang w:val="en-US"/>
              </w:rPr>
            </w:pPr>
          </w:p>
          <w:p w14:paraId="3680B113" w14:textId="77777777" w:rsidR="00BA2E09" w:rsidRDefault="00BA2E09" w:rsidP="00F66F6B">
            <w:pPr>
              <w:spacing w:after="0"/>
              <w:jc w:val="left"/>
              <w:rPr>
                <w:bCs/>
                <w:sz w:val="18"/>
                <w:szCs w:val="18"/>
                <w:lang w:val="en-US"/>
              </w:rPr>
            </w:pPr>
          </w:p>
          <w:p w14:paraId="690F63C8" w14:textId="77777777" w:rsidR="00144AC2" w:rsidRDefault="00144AC2" w:rsidP="00F66F6B">
            <w:pPr>
              <w:spacing w:after="0"/>
              <w:jc w:val="left"/>
              <w:rPr>
                <w:bCs/>
                <w:sz w:val="18"/>
                <w:szCs w:val="18"/>
                <w:lang w:val="en-US"/>
              </w:rPr>
            </w:pPr>
          </w:p>
          <w:p w14:paraId="0E73D2F1" w14:textId="77777777" w:rsidR="00144AC2" w:rsidRDefault="00144AC2" w:rsidP="00F66F6B">
            <w:pPr>
              <w:spacing w:after="0"/>
              <w:jc w:val="left"/>
              <w:rPr>
                <w:bCs/>
                <w:sz w:val="18"/>
                <w:szCs w:val="18"/>
                <w:lang w:val="en-US"/>
              </w:rPr>
            </w:pPr>
          </w:p>
          <w:p w14:paraId="0C7019FB" w14:textId="77777777" w:rsidR="00144AC2" w:rsidRDefault="00F838C4" w:rsidP="00F66F6B">
            <w:pPr>
              <w:spacing w:after="0"/>
              <w:jc w:val="left"/>
              <w:rPr>
                <w:bCs/>
                <w:sz w:val="18"/>
                <w:szCs w:val="18"/>
                <w:lang w:val="en-US"/>
              </w:rPr>
            </w:pPr>
            <w:r>
              <w:rPr>
                <w:bCs/>
                <w:sz w:val="18"/>
                <w:szCs w:val="18"/>
                <w:lang w:val="en-US"/>
              </w:rPr>
              <w:t>180,000</w:t>
            </w:r>
          </w:p>
          <w:p w14:paraId="43A16F07" w14:textId="77777777" w:rsidR="000C4743" w:rsidRDefault="000C4743" w:rsidP="00F66F6B">
            <w:pPr>
              <w:spacing w:after="0"/>
              <w:jc w:val="left"/>
              <w:rPr>
                <w:bCs/>
                <w:sz w:val="18"/>
                <w:szCs w:val="18"/>
                <w:lang w:val="en-US"/>
              </w:rPr>
            </w:pPr>
          </w:p>
          <w:p w14:paraId="232D25E7" w14:textId="77777777" w:rsidR="000C4743" w:rsidRDefault="000C4743" w:rsidP="00F66F6B">
            <w:pPr>
              <w:spacing w:after="0"/>
              <w:jc w:val="left"/>
              <w:rPr>
                <w:bCs/>
                <w:sz w:val="18"/>
                <w:szCs w:val="18"/>
                <w:lang w:val="en-US"/>
              </w:rPr>
            </w:pPr>
          </w:p>
          <w:p w14:paraId="1613D7E7" w14:textId="77777777" w:rsidR="000C4743" w:rsidRDefault="000C4743" w:rsidP="00F66F6B">
            <w:pPr>
              <w:spacing w:after="0"/>
              <w:jc w:val="left"/>
              <w:rPr>
                <w:bCs/>
                <w:sz w:val="18"/>
                <w:szCs w:val="18"/>
                <w:lang w:val="en-US"/>
              </w:rPr>
            </w:pPr>
          </w:p>
          <w:p w14:paraId="124E6940" w14:textId="77777777" w:rsidR="000C4743" w:rsidRDefault="000C4743" w:rsidP="00F66F6B">
            <w:pPr>
              <w:spacing w:after="0"/>
              <w:jc w:val="left"/>
              <w:rPr>
                <w:bCs/>
                <w:sz w:val="18"/>
                <w:szCs w:val="18"/>
                <w:lang w:val="en-US"/>
              </w:rPr>
            </w:pPr>
          </w:p>
          <w:p w14:paraId="652875CB" w14:textId="7A64B6AA" w:rsidR="000C4743" w:rsidRPr="00AB161E" w:rsidRDefault="00312677" w:rsidP="00F66F6B">
            <w:pPr>
              <w:spacing w:after="0"/>
              <w:jc w:val="left"/>
              <w:rPr>
                <w:bCs/>
                <w:sz w:val="18"/>
                <w:szCs w:val="18"/>
                <w:lang w:val="en-US"/>
              </w:rPr>
            </w:pPr>
            <w:r>
              <w:rPr>
                <w:bCs/>
                <w:sz w:val="18"/>
                <w:szCs w:val="18"/>
                <w:lang w:val="en-US"/>
              </w:rPr>
              <w:t>5</w:t>
            </w:r>
          </w:p>
        </w:tc>
        <w:tc>
          <w:tcPr>
            <w:tcW w:w="3686" w:type="dxa"/>
          </w:tcPr>
          <w:p w14:paraId="5C3BD9C4" w14:textId="77777777" w:rsidR="004976C2" w:rsidRPr="00AB161E" w:rsidRDefault="004976C2">
            <w:pPr>
              <w:spacing w:after="0"/>
              <w:jc w:val="left"/>
              <w:rPr>
                <w:bCs/>
                <w:sz w:val="18"/>
                <w:szCs w:val="18"/>
                <w:lang w:val="en-US"/>
              </w:rPr>
            </w:pPr>
            <w:r>
              <w:rPr>
                <w:bCs/>
                <w:sz w:val="18"/>
                <w:szCs w:val="18"/>
                <w:lang w:val="en-US"/>
              </w:rPr>
              <w:t>Inception, Mid-term and Final report, APR/PIR</w:t>
            </w:r>
            <w:r w:rsidRPr="00AB161E">
              <w:rPr>
                <w:bCs/>
                <w:sz w:val="18"/>
                <w:szCs w:val="18"/>
                <w:lang w:val="en-US"/>
              </w:rPr>
              <w:t>, NAMA proposals</w:t>
            </w:r>
          </w:p>
          <w:p w14:paraId="7F1E190E" w14:textId="77777777" w:rsidR="004976C2" w:rsidRPr="00AB161E" w:rsidRDefault="004976C2">
            <w:pPr>
              <w:spacing w:after="0"/>
              <w:jc w:val="left"/>
              <w:rPr>
                <w:bCs/>
                <w:sz w:val="18"/>
                <w:szCs w:val="18"/>
                <w:lang w:val="en-US"/>
              </w:rPr>
            </w:pPr>
          </w:p>
          <w:p w14:paraId="40B41AA8" w14:textId="77777777" w:rsidR="004976C2" w:rsidRPr="00AB161E" w:rsidRDefault="004976C2">
            <w:pPr>
              <w:spacing w:after="0"/>
              <w:jc w:val="left"/>
              <w:rPr>
                <w:bCs/>
                <w:sz w:val="18"/>
                <w:szCs w:val="18"/>
                <w:lang w:val="en-US"/>
              </w:rPr>
            </w:pPr>
          </w:p>
          <w:p w14:paraId="586F8083" w14:textId="77777777" w:rsidR="004976C2" w:rsidRPr="00AB161E" w:rsidRDefault="004976C2" w:rsidP="004976C2">
            <w:pPr>
              <w:spacing w:after="0"/>
              <w:jc w:val="left"/>
              <w:rPr>
                <w:bCs/>
                <w:sz w:val="18"/>
                <w:szCs w:val="18"/>
                <w:lang w:val="en-US"/>
              </w:rPr>
            </w:pPr>
            <w:r>
              <w:rPr>
                <w:bCs/>
                <w:sz w:val="18"/>
                <w:szCs w:val="18"/>
                <w:lang w:val="en-US"/>
              </w:rPr>
              <w:t>Inception, Mid-term and Final report, APR/PIR</w:t>
            </w:r>
            <w:r w:rsidRPr="00AB161E">
              <w:rPr>
                <w:bCs/>
                <w:sz w:val="18"/>
                <w:szCs w:val="18"/>
                <w:lang w:val="en-US"/>
              </w:rPr>
              <w:t>, NAMA proposals</w:t>
            </w:r>
          </w:p>
          <w:p w14:paraId="48A2077E" w14:textId="77777777" w:rsidR="004976C2" w:rsidRPr="00AB161E" w:rsidRDefault="004976C2">
            <w:pPr>
              <w:spacing w:after="0"/>
              <w:jc w:val="left"/>
              <w:rPr>
                <w:bCs/>
                <w:sz w:val="18"/>
                <w:szCs w:val="18"/>
                <w:lang w:val="en-US"/>
              </w:rPr>
            </w:pPr>
          </w:p>
          <w:p w14:paraId="0B0647D1" w14:textId="77777777" w:rsidR="004976C2" w:rsidRDefault="004976C2">
            <w:pPr>
              <w:spacing w:after="0"/>
              <w:jc w:val="left"/>
              <w:rPr>
                <w:bCs/>
                <w:sz w:val="18"/>
                <w:szCs w:val="18"/>
                <w:lang w:val="en-US"/>
              </w:rPr>
            </w:pPr>
          </w:p>
          <w:p w14:paraId="0AFDC4A4" w14:textId="77777777" w:rsidR="00144AC2" w:rsidRDefault="00144AC2">
            <w:pPr>
              <w:spacing w:after="0"/>
              <w:jc w:val="left"/>
              <w:rPr>
                <w:bCs/>
                <w:sz w:val="18"/>
                <w:szCs w:val="18"/>
                <w:lang w:val="en-US"/>
              </w:rPr>
            </w:pPr>
          </w:p>
          <w:p w14:paraId="446D8565" w14:textId="77777777" w:rsidR="00144AC2" w:rsidRPr="00AB161E" w:rsidRDefault="00144AC2">
            <w:pPr>
              <w:spacing w:after="0"/>
              <w:jc w:val="left"/>
              <w:rPr>
                <w:bCs/>
                <w:sz w:val="18"/>
                <w:szCs w:val="18"/>
                <w:lang w:val="en-US"/>
              </w:rPr>
            </w:pPr>
          </w:p>
          <w:p w14:paraId="38A347E9" w14:textId="77777777" w:rsidR="004976C2" w:rsidRPr="00AB161E" w:rsidRDefault="004976C2" w:rsidP="004976C2">
            <w:pPr>
              <w:spacing w:after="0"/>
              <w:jc w:val="left"/>
              <w:rPr>
                <w:bCs/>
                <w:sz w:val="18"/>
                <w:szCs w:val="18"/>
                <w:lang w:val="en-US"/>
              </w:rPr>
            </w:pPr>
            <w:r>
              <w:rPr>
                <w:bCs/>
                <w:sz w:val="18"/>
                <w:szCs w:val="18"/>
                <w:lang w:val="en-US"/>
              </w:rPr>
              <w:t>Inception, Mid-term and Final report, APR/PIR</w:t>
            </w:r>
            <w:r w:rsidRPr="00AB161E">
              <w:rPr>
                <w:bCs/>
                <w:sz w:val="18"/>
                <w:szCs w:val="18"/>
                <w:lang w:val="en-US"/>
              </w:rPr>
              <w:t>, NAMA proposals</w:t>
            </w:r>
          </w:p>
          <w:p w14:paraId="6B0A95C6" w14:textId="77777777" w:rsidR="004976C2" w:rsidRPr="00AB161E" w:rsidRDefault="004976C2">
            <w:pPr>
              <w:spacing w:after="0"/>
              <w:jc w:val="left"/>
              <w:rPr>
                <w:bCs/>
                <w:sz w:val="18"/>
                <w:szCs w:val="18"/>
                <w:lang w:val="en-US"/>
              </w:rPr>
            </w:pPr>
          </w:p>
          <w:p w14:paraId="1020CEDC" w14:textId="77777777" w:rsidR="00144AC2" w:rsidRPr="00AB161E" w:rsidRDefault="00144AC2">
            <w:pPr>
              <w:spacing w:after="0"/>
              <w:jc w:val="left"/>
              <w:rPr>
                <w:bCs/>
                <w:sz w:val="18"/>
                <w:szCs w:val="18"/>
                <w:lang w:val="en-US"/>
              </w:rPr>
            </w:pPr>
          </w:p>
          <w:p w14:paraId="55AC8033" w14:textId="77777777" w:rsidR="004976C2" w:rsidRPr="00AB161E" w:rsidRDefault="004976C2" w:rsidP="004976C2">
            <w:pPr>
              <w:spacing w:after="0"/>
              <w:jc w:val="left"/>
              <w:rPr>
                <w:bCs/>
                <w:sz w:val="18"/>
                <w:szCs w:val="18"/>
                <w:lang w:val="en-US"/>
              </w:rPr>
            </w:pPr>
            <w:r>
              <w:rPr>
                <w:bCs/>
                <w:sz w:val="18"/>
                <w:szCs w:val="18"/>
                <w:lang w:val="en-US"/>
              </w:rPr>
              <w:t>Inception, Mid-term and Final report, APR/PIR</w:t>
            </w:r>
            <w:r w:rsidRPr="00AB161E">
              <w:rPr>
                <w:bCs/>
                <w:sz w:val="18"/>
                <w:szCs w:val="18"/>
                <w:lang w:val="en-US"/>
              </w:rPr>
              <w:t>, NAMA proposals</w:t>
            </w:r>
          </w:p>
          <w:p w14:paraId="55BEF9CB" w14:textId="77777777" w:rsidR="004976C2" w:rsidRPr="00AB161E" w:rsidRDefault="004976C2">
            <w:pPr>
              <w:spacing w:after="0"/>
              <w:jc w:val="left"/>
              <w:rPr>
                <w:bCs/>
                <w:sz w:val="18"/>
                <w:szCs w:val="18"/>
                <w:lang w:val="en-US"/>
              </w:rPr>
            </w:pPr>
          </w:p>
          <w:p w14:paraId="1A81D5B6" w14:textId="77777777" w:rsidR="00144AC2" w:rsidRDefault="00144AC2">
            <w:pPr>
              <w:spacing w:after="0"/>
              <w:jc w:val="left"/>
              <w:rPr>
                <w:bCs/>
                <w:sz w:val="18"/>
                <w:szCs w:val="18"/>
                <w:lang w:val="en-US"/>
              </w:rPr>
            </w:pPr>
          </w:p>
          <w:p w14:paraId="01F06F5A" w14:textId="77777777" w:rsidR="004976C2" w:rsidRDefault="004976C2">
            <w:pPr>
              <w:spacing w:after="0"/>
              <w:jc w:val="left"/>
              <w:rPr>
                <w:bCs/>
                <w:sz w:val="18"/>
                <w:szCs w:val="18"/>
                <w:lang w:val="en-US"/>
              </w:rPr>
            </w:pPr>
            <w:r>
              <w:rPr>
                <w:bCs/>
                <w:sz w:val="18"/>
                <w:szCs w:val="18"/>
                <w:lang w:val="en-US"/>
              </w:rPr>
              <w:t>D</w:t>
            </w:r>
            <w:r w:rsidRPr="00AB161E">
              <w:rPr>
                <w:bCs/>
                <w:sz w:val="18"/>
                <w:szCs w:val="18"/>
                <w:lang w:val="en-US"/>
              </w:rPr>
              <w:t>esign and commissioning documentation, MRV system</w:t>
            </w:r>
            <w:r>
              <w:rPr>
                <w:bCs/>
                <w:sz w:val="18"/>
                <w:szCs w:val="18"/>
                <w:lang w:val="en-US"/>
              </w:rPr>
              <w:t xml:space="preserve"> reports, APR/PIR</w:t>
            </w:r>
          </w:p>
          <w:p w14:paraId="7FEC8710" w14:textId="77777777" w:rsidR="00144AC2" w:rsidRDefault="00144AC2">
            <w:pPr>
              <w:spacing w:after="0"/>
              <w:jc w:val="left"/>
              <w:rPr>
                <w:bCs/>
                <w:sz w:val="18"/>
                <w:szCs w:val="18"/>
                <w:lang w:val="en-US"/>
              </w:rPr>
            </w:pPr>
          </w:p>
          <w:p w14:paraId="300679EF" w14:textId="77777777" w:rsidR="00144AC2" w:rsidRDefault="00144AC2">
            <w:pPr>
              <w:spacing w:after="0"/>
              <w:jc w:val="left"/>
              <w:rPr>
                <w:bCs/>
                <w:sz w:val="18"/>
                <w:szCs w:val="18"/>
                <w:lang w:val="en-US"/>
              </w:rPr>
            </w:pPr>
          </w:p>
          <w:p w14:paraId="03809FD1" w14:textId="77777777" w:rsidR="00144AC2" w:rsidRDefault="00144AC2">
            <w:pPr>
              <w:spacing w:after="0"/>
              <w:jc w:val="left"/>
              <w:rPr>
                <w:bCs/>
                <w:sz w:val="18"/>
                <w:szCs w:val="18"/>
                <w:lang w:val="en-US"/>
              </w:rPr>
            </w:pPr>
          </w:p>
          <w:p w14:paraId="787FCE2B" w14:textId="77777777" w:rsidR="00144AC2" w:rsidRDefault="00144AC2">
            <w:pPr>
              <w:spacing w:after="0"/>
              <w:jc w:val="left"/>
              <w:rPr>
                <w:bCs/>
                <w:sz w:val="18"/>
                <w:szCs w:val="18"/>
                <w:lang w:val="en-US"/>
              </w:rPr>
            </w:pPr>
          </w:p>
          <w:p w14:paraId="5A153F21" w14:textId="77777777" w:rsidR="00144AC2" w:rsidRDefault="00144AC2">
            <w:pPr>
              <w:spacing w:after="0"/>
              <w:jc w:val="left"/>
              <w:rPr>
                <w:bCs/>
                <w:sz w:val="18"/>
                <w:szCs w:val="18"/>
                <w:lang w:val="en-US"/>
              </w:rPr>
            </w:pPr>
          </w:p>
          <w:p w14:paraId="7C23CA66" w14:textId="77777777" w:rsidR="00144AC2" w:rsidRPr="00AB161E" w:rsidRDefault="00144AC2" w:rsidP="00144AC2">
            <w:pPr>
              <w:spacing w:after="0"/>
              <w:jc w:val="left"/>
              <w:rPr>
                <w:bCs/>
                <w:sz w:val="18"/>
                <w:szCs w:val="18"/>
                <w:lang w:val="en-US"/>
              </w:rPr>
            </w:pPr>
            <w:r>
              <w:rPr>
                <w:bCs/>
                <w:sz w:val="18"/>
                <w:szCs w:val="18"/>
                <w:lang w:val="en-US"/>
              </w:rPr>
              <w:t>Inception, Mid-term and Final report, APR/PIR</w:t>
            </w:r>
            <w:r w:rsidRPr="00AB161E">
              <w:rPr>
                <w:bCs/>
                <w:sz w:val="18"/>
                <w:szCs w:val="18"/>
                <w:lang w:val="en-US"/>
              </w:rPr>
              <w:t>, NAMA proposals</w:t>
            </w:r>
          </w:p>
          <w:p w14:paraId="04189D19" w14:textId="77777777" w:rsidR="00144AC2" w:rsidRDefault="00144AC2">
            <w:pPr>
              <w:spacing w:after="0"/>
              <w:jc w:val="left"/>
              <w:rPr>
                <w:bCs/>
                <w:sz w:val="18"/>
                <w:szCs w:val="18"/>
                <w:lang w:val="en-US"/>
              </w:rPr>
            </w:pPr>
          </w:p>
          <w:p w14:paraId="3F4F8D3E" w14:textId="77777777" w:rsidR="000C4743" w:rsidRDefault="000C4743">
            <w:pPr>
              <w:spacing w:after="0"/>
              <w:jc w:val="left"/>
              <w:rPr>
                <w:bCs/>
                <w:sz w:val="18"/>
                <w:szCs w:val="18"/>
                <w:lang w:val="en-US"/>
              </w:rPr>
            </w:pPr>
          </w:p>
          <w:p w14:paraId="69EA5019" w14:textId="77777777" w:rsidR="000C4743" w:rsidRDefault="000C4743">
            <w:pPr>
              <w:spacing w:after="0"/>
              <w:jc w:val="left"/>
              <w:rPr>
                <w:bCs/>
                <w:sz w:val="18"/>
                <w:szCs w:val="18"/>
                <w:lang w:val="en-US"/>
              </w:rPr>
            </w:pPr>
          </w:p>
          <w:p w14:paraId="5D0FC159" w14:textId="77777777" w:rsidR="000C4743" w:rsidRPr="00AB161E" w:rsidRDefault="000C4743" w:rsidP="000C4743">
            <w:pPr>
              <w:spacing w:after="0"/>
              <w:jc w:val="left"/>
              <w:rPr>
                <w:bCs/>
                <w:sz w:val="18"/>
                <w:szCs w:val="18"/>
                <w:lang w:val="en-US"/>
              </w:rPr>
            </w:pPr>
            <w:r>
              <w:rPr>
                <w:bCs/>
                <w:sz w:val="18"/>
                <w:szCs w:val="18"/>
                <w:lang w:val="en-US"/>
              </w:rPr>
              <w:t>Inception, Mid-term and Final report, APR/PIR</w:t>
            </w:r>
            <w:r w:rsidRPr="00AB161E">
              <w:rPr>
                <w:bCs/>
                <w:sz w:val="18"/>
                <w:szCs w:val="18"/>
                <w:lang w:val="en-US"/>
              </w:rPr>
              <w:t>, NAMA proposals</w:t>
            </w:r>
          </w:p>
          <w:p w14:paraId="40794D3F" w14:textId="77777777" w:rsidR="000C4743" w:rsidRDefault="000C4743">
            <w:pPr>
              <w:spacing w:after="0"/>
              <w:jc w:val="left"/>
              <w:rPr>
                <w:bCs/>
                <w:sz w:val="18"/>
                <w:szCs w:val="18"/>
                <w:lang w:val="en-US"/>
              </w:rPr>
            </w:pPr>
          </w:p>
          <w:p w14:paraId="08954288" w14:textId="77777777" w:rsidR="000C4743" w:rsidRPr="00AB161E" w:rsidRDefault="000C4743">
            <w:pPr>
              <w:spacing w:after="0"/>
              <w:jc w:val="left"/>
              <w:rPr>
                <w:bCs/>
                <w:sz w:val="18"/>
                <w:szCs w:val="18"/>
                <w:lang w:val="en-US"/>
              </w:rPr>
            </w:pPr>
            <w:r>
              <w:rPr>
                <w:bCs/>
                <w:sz w:val="18"/>
                <w:szCs w:val="18"/>
                <w:lang w:val="en-US"/>
              </w:rPr>
              <w:t>(</w:t>
            </w:r>
            <w:r w:rsidRPr="000C4743">
              <w:rPr>
                <w:bCs/>
                <w:sz w:val="18"/>
                <w:szCs w:val="18"/>
                <w:lang w:val="en-US"/>
              </w:rPr>
              <w:t>0: not an objective/component, 1: no facility in place, 2: facilities discussed and proposed, 3: facilities proposed but not operationalized/funded, 4: facilities operationalized/funded but have no demand, 5: facilities operationalized/fu</w:t>
            </w:r>
            <w:r>
              <w:rPr>
                <w:bCs/>
                <w:sz w:val="18"/>
                <w:szCs w:val="18"/>
                <w:lang w:val="en-US"/>
              </w:rPr>
              <w:t>nded and have sufficient demand</w:t>
            </w:r>
            <w:r w:rsidRPr="000C4743">
              <w:rPr>
                <w:bCs/>
                <w:sz w:val="18"/>
                <w:szCs w:val="18"/>
                <w:lang w:val="en-US"/>
              </w:rPr>
              <w:t>)</w:t>
            </w:r>
          </w:p>
        </w:tc>
        <w:tc>
          <w:tcPr>
            <w:tcW w:w="2693" w:type="dxa"/>
          </w:tcPr>
          <w:p w14:paraId="61260A4F" w14:textId="77777777" w:rsidR="004976C2" w:rsidRPr="00AB161E" w:rsidRDefault="004976C2">
            <w:pPr>
              <w:spacing w:after="0"/>
              <w:jc w:val="left"/>
              <w:rPr>
                <w:bCs/>
                <w:sz w:val="18"/>
                <w:szCs w:val="18"/>
                <w:lang w:val="en-US"/>
              </w:rPr>
            </w:pPr>
          </w:p>
        </w:tc>
      </w:tr>
      <w:tr w:rsidR="004976C2" w:rsidRPr="005B5602" w14:paraId="265EA07C" w14:textId="77777777" w:rsidTr="0038689C">
        <w:tc>
          <w:tcPr>
            <w:tcW w:w="2085" w:type="dxa"/>
            <w:shd w:val="pct12" w:color="auto" w:fill="auto"/>
          </w:tcPr>
          <w:p w14:paraId="7389DAFC" w14:textId="77777777" w:rsidR="004976C2" w:rsidRPr="005B5602" w:rsidRDefault="004976C2" w:rsidP="004F1E6B">
            <w:pPr>
              <w:spacing w:after="0"/>
              <w:jc w:val="left"/>
              <w:rPr>
                <w:b/>
                <w:bCs/>
                <w:sz w:val="18"/>
                <w:szCs w:val="18"/>
                <w:lang w:val="en-US"/>
              </w:rPr>
            </w:pPr>
            <w:r w:rsidRPr="005B5602">
              <w:rPr>
                <w:b/>
                <w:bCs/>
                <w:sz w:val="18"/>
                <w:szCs w:val="18"/>
                <w:lang w:val="en-US"/>
              </w:rPr>
              <w:t>Outcome 1</w:t>
            </w:r>
            <w:r w:rsidRPr="005B5602">
              <w:rPr>
                <w:rStyle w:val="FootnoteReference"/>
                <w:b/>
                <w:bCs/>
                <w:szCs w:val="18"/>
                <w:lang w:val="en-US"/>
              </w:rPr>
              <w:footnoteReference w:id="29"/>
            </w:r>
          </w:p>
          <w:p w14:paraId="0AA2F9A6" w14:textId="77777777" w:rsidR="004976C2" w:rsidRPr="005B5602" w:rsidRDefault="004976C2" w:rsidP="004F1E6B">
            <w:pPr>
              <w:spacing w:after="0"/>
              <w:jc w:val="left"/>
              <w:rPr>
                <w:b/>
                <w:bCs/>
                <w:sz w:val="18"/>
                <w:szCs w:val="18"/>
                <w:lang w:val="en-US"/>
              </w:rPr>
            </w:pPr>
            <w:r>
              <w:rPr>
                <w:b/>
                <w:bCs/>
                <w:sz w:val="18"/>
                <w:szCs w:val="18"/>
                <w:lang w:val="en-US"/>
              </w:rPr>
              <w:t>E</w:t>
            </w:r>
            <w:r w:rsidRPr="00BC356B">
              <w:rPr>
                <w:b/>
                <w:bCs/>
                <w:sz w:val="18"/>
                <w:szCs w:val="18"/>
                <w:lang w:val="en-US"/>
              </w:rPr>
              <w:t>nable participating municipalities to articulate their climate-related priorities, and identified and prioritized urban mitigation actions (urban NAMAs)</w:t>
            </w:r>
          </w:p>
        </w:tc>
        <w:tc>
          <w:tcPr>
            <w:tcW w:w="2011" w:type="dxa"/>
            <w:gridSpan w:val="2"/>
          </w:tcPr>
          <w:p w14:paraId="295011C6" w14:textId="1E800AE8" w:rsidR="004976C2" w:rsidRPr="00AB161E" w:rsidRDefault="00181F85" w:rsidP="004F1E6B">
            <w:pPr>
              <w:spacing w:after="0"/>
              <w:jc w:val="left"/>
              <w:rPr>
                <w:bCs/>
                <w:sz w:val="18"/>
                <w:szCs w:val="18"/>
                <w:lang w:val="en-US"/>
              </w:rPr>
            </w:pPr>
            <w:r>
              <w:rPr>
                <w:bCs/>
                <w:sz w:val="18"/>
                <w:szCs w:val="18"/>
                <w:lang w:val="en-US"/>
              </w:rPr>
              <w:t>Number of u</w:t>
            </w:r>
            <w:r w:rsidRPr="00AB161E">
              <w:rPr>
                <w:bCs/>
                <w:sz w:val="18"/>
                <w:szCs w:val="18"/>
                <w:lang w:val="en-US"/>
              </w:rPr>
              <w:t xml:space="preserve">rban </w:t>
            </w:r>
            <w:r w:rsidR="004976C2" w:rsidRPr="00AB161E">
              <w:rPr>
                <w:bCs/>
                <w:sz w:val="18"/>
                <w:szCs w:val="18"/>
                <w:lang w:val="en-US"/>
              </w:rPr>
              <w:t>GHG Inventories, Abatement costs curves and NAMA factsheets prepared and discussed with stakeholders</w:t>
            </w:r>
          </w:p>
          <w:p w14:paraId="7FC6A2CE" w14:textId="77777777" w:rsidR="004976C2" w:rsidRPr="00AB161E" w:rsidRDefault="004976C2" w:rsidP="004F1E6B">
            <w:pPr>
              <w:spacing w:after="0"/>
              <w:jc w:val="left"/>
              <w:rPr>
                <w:bCs/>
                <w:sz w:val="18"/>
                <w:szCs w:val="18"/>
                <w:lang w:val="en-US"/>
              </w:rPr>
            </w:pPr>
          </w:p>
          <w:p w14:paraId="0260BCCA" w14:textId="312F39C1" w:rsidR="004976C2" w:rsidRPr="00AB161E" w:rsidRDefault="00181F85" w:rsidP="00181F85">
            <w:pPr>
              <w:spacing w:after="0"/>
              <w:jc w:val="left"/>
              <w:rPr>
                <w:bCs/>
                <w:sz w:val="18"/>
                <w:szCs w:val="18"/>
                <w:lang w:val="en-US"/>
              </w:rPr>
            </w:pPr>
            <w:r>
              <w:rPr>
                <w:bCs/>
                <w:sz w:val="18"/>
                <w:szCs w:val="18"/>
                <w:lang w:val="en-US"/>
              </w:rPr>
              <w:t>Number of u</w:t>
            </w:r>
            <w:r w:rsidRPr="00AB161E">
              <w:rPr>
                <w:bCs/>
                <w:sz w:val="18"/>
                <w:szCs w:val="18"/>
                <w:lang w:val="en-US"/>
              </w:rPr>
              <w:t xml:space="preserve">rban </w:t>
            </w:r>
            <w:r w:rsidR="004976C2" w:rsidRPr="00AB161E">
              <w:rPr>
                <w:bCs/>
                <w:sz w:val="18"/>
                <w:szCs w:val="18"/>
                <w:lang w:val="en-US"/>
              </w:rPr>
              <w:t>GHG reduction targets established and officially adopted by Akimats</w:t>
            </w:r>
          </w:p>
        </w:tc>
        <w:tc>
          <w:tcPr>
            <w:tcW w:w="1399" w:type="dxa"/>
          </w:tcPr>
          <w:p w14:paraId="54373FEA" w14:textId="77777777" w:rsidR="004976C2" w:rsidRPr="00AB161E" w:rsidRDefault="004976C2" w:rsidP="004F1E6B">
            <w:pPr>
              <w:spacing w:after="0"/>
              <w:jc w:val="left"/>
              <w:rPr>
                <w:bCs/>
                <w:sz w:val="18"/>
                <w:szCs w:val="18"/>
                <w:lang w:val="en-US"/>
              </w:rPr>
            </w:pPr>
            <w:r w:rsidRPr="00AB161E">
              <w:rPr>
                <w:bCs/>
                <w:sz w:val="18"/>
                <w:szCs w:val="18"/>
                <w:lang w:val="en-US"/>
              </w:rPr>
              <w:t>0</w:t>
            </w:r>
          </w:p>
          <w:p w14:paraId="669BC621" w14:textId="77777777" w:rsidR="004976C2" w:rsidRPr="00AB161E" w:rsidRDefault="004976C2" w:rsidP="004F1E6B">
            <w:pPr>
              <w:spacing w:after="0"/>
              <w:jc w:val="left"/>
              <w:rPr>
                <w:bCs/>
                <w:sz w:val="18"/>
                <w:szCs w:val="18"/>
                <w:lang w:val="en-US"/>
              </w:rPr>
            </w:pPr>
          </w:p>
          <w:p w14:paraId="010CD3D5" w14:textId="77777777" w:rsidR="004976C2" w:rsidRPr="00AB161E" w:rsidRDefault="004976C2" w:rsidP="004F1E6B">
            <w:pPr>
              <w:spacing w:after="0"/>
              <w:jc w:val="left"/>
              <w:rPr>
                <w:bCs/>
                <w:sz w:val="18"/>
                <w:szCs w:val="18"/>
                <w:lang w:val="en-US"/>
              </w:rPr>
            </w:pPr>
          </w:p>
          <w:p w14:paraId="64273ECF" w14:textId="77777777" w:rsidR="004976C2" w:rsidRPr="00AB161E" w:rsidRDefault="004976C2" w:rsidP="004F1E6B">
            <w:pPr>
              <w:spacing w:after="0"/>
              <w:jc w:val="left"/>
              <w:rPr>
                <w:bCs/>
                <w:sz w:val="18"/>
                <w:szCs w:val="18"/>
                <w:lang w:val="en-US"/>
              </w:rPr>
            </w:pPr>
          </w:p>
          <w:p w14:paraId="50A18063" w14:textId="77777777" w:rsidR="004976C2" w:rsidRPr="00AB161E" w:rsidRDefault="004976C2" w:rsidP="004F1E6B">
            <w:pPr>
              <w:spacing w:after="0"/>
              <w:jc w:val="left"/>
              <w:rPr>
                <w:bCs/>
                <w:sz w:val="18"/>
                <w:szCs w:val="18"/>
                <w:lang w:val="en-US"/>
              </w:rPr>
            </w:pPr>
          </w:p>
          <w:p w14:paraId="5EC73E90" w14:textId="77777777" w:rsidR="004976C2" w:rsidRPr="00AB161E" w:rsidRDefault="004976C2" w:rsidP="004F1E6B">
            <w:pPr>
              <w:spacing w:after="0"/>
              <w:jc w:val="left"/>
              <w:rPr>
                <w:bCs/>
                <w:sz w:val="18"/>
                <w:szCs w:val="18"/>
                <w:lang w:val="en-US"/>
              </w:rPr>
            </w:pPr>
          </w:p>
          <w:p w14:paraId="1CB80A08" w14:textId="77777777" w:rsidR="004976C2" w:rsidRPr="00AB161E" w:rsidRDefault="004976C2" w:rsidP="004F1E6B">
            <w:pPr>
              <w:spacing w:after="0"/>
              <w:jc w:val="left"/>
              <w:rPr>
                <w:bCs/>
                <w:sz w:val="18"/>
                <w:szCs w:val="18"/>
                <w:lang w:val="en-US"/>
              </w:rPr>
            </w:pPr>
          </w:p>
          <w:p w14:paraId="5B65A813" w14:textId="77777777" w:rsidR="004976C2" w:rsidRPr="00AB161E" w:rsidRDefault="004976C2" w:rsidP="004F1E6B">
            <w:pPr>
              <w:spacing w:after="0"/>
              <w:jc w:val="left"/>
              <w:rPr>
                <w:bCs/>
                <w:sz w:val="18"/>
                <w:szCs w:val="18"/>
                <w:lang w:val="en-US"/>
              </w:rPr>
            </w:pPr>
          </w:p>
          <w:p w14:paraId="65EDD291" w14:textId="77777777" w:rsidR="004976C2" w:rsidRPr="00AB161E" w:rsidRDefault="004976C2" w:rsidP="004F1E6B">
            <w:pPr>
              <w:spacing w:after="0"/>
              <w:jc w:val="left"/>
              <w:rPr>
                <w:bCs/>
                <w:sz w:val="18"/>
                <w:szCs w:val="18"/>
                <w:lang w:val="en-US"/>
              </w:rPr>
            </w:pPr>
            <w:r w:rsidRPr="00AB161E">
              <w:rPr>
                <w:bCs/>
                <w:sz w:val="18"/>
                <w:szCs w:val="18"/>
                <w:lang w:val="en-US"/>
              </w:rPr>
              <w:t>0</w:t>
            </w:r>
          </w:p>
          <w:p w14:paraId="6FB3F391" w14:textId="77777777" w:rsidR="004976C2" w:rsidRPr="00AB161E" w:rsidRDefault="004976C2" w:rsidP="004F1E6B">
            <w:pPr>
              <w:spacing w:after="0"/>
              <w:jc w:val="left"/>
              <w:rPr>
                <w:bCs/>
                <w:sz w:val="18"/>
                <w:szCs w:val="18"/>
                <w:lang w:val="en-US"/>
              </w:rPr>
            </w:pPr>
          </w:p>
          <w:p w14:paraId="6593FB48" w14:textId="77777777" w:rsidR="004976C2" w:rsidRPr="00AB161E" w:rsidRDefault="004976C2" w:rsidP="004F1E6B">
            <w:pPr>
              <w:spacing w:after="0"/>
              <w:jc w:val="left"/>
              <w:rPr>
                <w:bCs/>
                <w:sz w:val="18"/>
                <w:szCs w:val="18"/>
                <w:lang w:val="en-US"/>
              </w:rPr>
            </w:pPr>
          </w:p>
          <w:p w14:paraId="791BF1DD" w14:textId="77777777" w:rsidR="004976C2" w:rsidRPr="00AB161E" w:rsidRDefault="004976C2" w:rsidP="004F1E6B">
            <w:pPr>
              <w:spacing w:after="0"/>
              <w:jc w:val="left"/>
              <w:rPr>
                <w:bCs/>
                <w:sz w:val="18"/>
                <w:szCs w:val="18"/>
                <w:lang w:val="en-US"/>
              </w:rPr>
            </w:pPr>
          </w:p>
        </w:tc>
        <w:tc>
          <w:tcPr>
            <w:tcW w:w="1276" w:type="dxa"/>
          </w:tcPr>
          <w:p w14:paraId="401A9D07" w14:textId="77777777" w:rsidR="004976C2" w:rsidRDefault="00F27069" w:rsidP="004F1E6B">
            <w:pPr>
              <w:spacing w:after="0"/>
              <w:jc w:val="left"/>
              <w:rPr>
                <w:bCs/>
                <w:sz w:val="18"/>
                <w:szCs w:val="18"/>
                <w:lang w:val="en-US"/>
              </w:rPr>
            </w:pPr>
            <w:r>
              <w:rPr>
                <w:bCs/>
                <w:sz w:val="18"/>
                <w:szCs w:val="18"/>
                <w:lang w:val="en-US"/>
              </w:rPr>
              <w:t>5</w:t>
            </w:r>
          </w:p>
          <w:p w14:paraId="5806E531" w14:textId="77777777" w:rsidR="00F27069" w:rsidRDefault="00F27069" w:rsidP="004F1E6B">
            <w:pPr>
              <w:spacing w:after="0"/>
              <w:jc w:val="left"/>
              <w:rPr>
                <w:bCs/>
                <w:sz w:val="18"/>
                <w:szCs w:val="18"/>
                <w:lang w:val="en-US"/>
              </w:rPr>
            </w:pPr>
          </w:p>
          <w:p w14:paraId="1B9365DD" w14:textId="77777777" w:rsidR="00F27069" w:rsidRDefault="00F27069" w:rsidP="004F1E6B">
            <w:pPr>
              <w:spacing w:after="0"/>
              <w:jc w:val="left"/>
              <w:rPr>
                <w:bCs/>
                <w:sz w:val="18"/>
                <w:szCs w:val="18"/>
                <w:lang w:val="en-US"/>
              </w:rPr>
            </w:pPr>
          </w:p>
          <w:p w14:paraId="00B799B1" w14:textId="77777777" w:rsidR="00F27069" w:rsidRDefault="00F27069" w:rsidP="004F1E6B">
            <w:pPr>
              <w:spacing w:after="0"/>
              <w:jc w:val="left"/>
              <w:rPr>
                <w:bCs/>
                <w:sz w:val="18"/>
                <w:szCs w:val="18"/>
                <w:lang w:val="en-US"/>
              </w:rPr>
            </w:pPr>
          </w:p>
          <w:p w14:paraId="1E8FDCF1" w14:textId="77777777" w:rsidR="00F27069" w:rsidRDefault="00F27069" w:rsidP="004F1E6B">
            <w:pPr>
              <w:spacing w:after="0"/>
              <w:jc w:val="left"/>
              <w:rPr>
                <w:bCs/>
                <w:sz w:val="18"/>
                <w:szCs w:val="18"/>
                <w:lang w:val="en-US"/>
              </w:rPr>
            </w:pPr>
          </w:p>
          <w:p w14:paraId="101BC187" w14:textId="77777777" w:rsidR="00F27069" w:rsidRDefault="00F27069" w:rsidP="004F1E6B">
            <w:pPr>
              <w:spacing w:after="0"/>
              <w:jc w:val="left"/>
              <w:rPr>
                <w:bCs/>
                <w:sz w:val="18"/>
                <w:szCs w:val="18"/>
                <w:lang w:val="en-US"/>
              </w:rPr>
            </w:pPr>
          </w:p>
          <w:p w14:paraId="13DC0AF6" w14:textId="77777777" w:rsidR="00F27069" w:rsidRDefault="00F27069" w:rsidP="004F1E6B">
            <w:pPr>
              <w:spacing w:after="0"/>
              <w:jc w:val="left"/>
              <w:rPr>
                <w:bCs/>
                <w:sz w:val="18"/>
                <w:szCs w:val="18"/>
                <w:lang w:val="en-US"/>
              </w:rPr>
            </w:pPr>
          </w:p>
          <w:p w14:paraId="7B9D2FF4" w14:textId="77777777" w:rsidR="00F27069" w:rsidRDefault="00F27069" w:rsidP="004F1E6B">
            <w:pPr>
              <w:spacing w:after="0"/>
              <w:jc w:val="left"/>
              <w:rPr>
                <w:bCs/>
                <w:sz w:val="18"/>
                <w:szCs w:val="18"/>
                <w:lang w:val="en-US"/>
              </w:rPr>
            </w:pPr>
          </w:p>
          <w:p w14:paraId="5845AF1E" w14:textId="77777777" w:rsidR="00F27069" w:rsidRPr="00AB161E" w:rsidRDefault="00F27069" w:rsidP="004F1E6B">
            <w:pPr>
              <w:spacing w:after="0"/>
              <w:jc w:val="left"/>
              <w:rPr>
                <w:bCs/>
                <w:sz w:val="18"/>
                <w:szCs w:val="18"/>
                <w:lang w:val="en-US"/>
              </w:rPr>
            </w:pPr>
            <w:r>
              <w:rPr>
                <w:bCs/>
                <w:sz w:val="18"/>
                <w:szCs w:val="18"/>
                <w:lang w:val="en-US"/>
              </w:rPr>
              <w:t>5</w:t>
            </w:r>
          </w:p>
        </w:tc>
        <w:tc>
          <w:tcPr>
            <w:tcW w:w="1417" w:type="dxa"/>
          </w:tcPr>
          <w:p w14:paraId="045C03B8" w14:textId="77777777" w:rsidR="004976C2" w:rsidRPr="00AB161E" w:rsidRDefault="004976C2" w:rsidP="004F1E6B">
            <w:pPr>
              <w:spacing w:after="0"/>
              <w:jc w:val="left"/>
              <w:rPr>
                <w:bCs/>
                <w:sz w:val="18"/>
                <w:szCs w:val="18"/>
                <w:lang w:val="en-US"/>
              </w:rPr>
            </w:pPr>
            <w:r w:rsidRPr="00AB161E">
              <w:rPr>
                <w:bCs/>
                <w:sz w:val="18"/>
                <w:szCs w:val="18"/>
                <w:lang w:val="en-US"/>
              </w:rPr>
              <w:t>15</w:t>
            </w:r>
          </w:p>
          <w:p w14:paraId="590759F2" w14:textId="77777777" w:rsidR="004976C2" w:rsidRPr="00AB161E" w:rsidRDefault="004976C2" w:rsidP="004F1E6B">
            <w:pPr>
              <w:spacing w:after="0"/>
              <w:jc w:val="left"/>
              <w:rPr>
                <w:bCs/>
                <w:sz w:val="18"/>
                <w:szCs w:val="18"/>
                <w:lang w:val="en-US"/>
              </w:rPr>
            </w:pPr>
          </w:p>
          <w:p w14:paraId="0A128A49" w14:textId="77777777" w:rsidR="004976C2" w:rsidRPr="00AB161E" w:rsidRDefault="004976C2" w:rsidP="004F1E6B">
            <w:pPr>
              <w:spacing w:after="0"/>
              <w:jc w:val="left"/>
              <w:rPr>
                <w:bCs/>
                <w:sz w:val="18"/>
                <w:szCs w:val="18"/>
                <w:lang w:val="en-US"/>
              </w:rPr>
            </w:pPr>
          </w:p>
          <w:p w14:paraId="044FBF2E" w14:textId="77777777" w:rsidR="004976C2" w:rsidRPr="00AB161E" w:rsidRDefault="004976C2" w:rsidP="004F1E6B">
            <w:pPr>
              <w:spacing w:after="0"/>
              <w:jc w:val="left"/>
              <w:rPr>
                <w:bCs/>
                <w:sz w:val="18"/>
                <w:szCs w:val="18"/>
                <w:lang w:val="en-US"/>
              </w:rPr>
            </w:pPr>
          </w:p>
          <w:p w14:paraId="02660515" w14:textId="77777777" w:rsidR="004976C2" w:rsidRPr="00AB161E" w:rsidRDefault="004976C2" w:rsidP="004F1E6B">
            <w:pPr>
              <w:spacing w:after="0"/>
              <w:jc w:val="left"/>
              <w:rPr>
                <w:bCs/>
                <w:sz w:val="18"/>
                <w:szCs w:val="18"/>
                <w:lang w:val="en-US"/>
              </w:rPr>
            </w:pPr>
          </w:p>
          <w:p w14:paraId="1EDDA10A" w14:textId="77777777" w:rsidR="004976C2" w:rsidRPr="00AB161E" w:rsidRDefault="004976C2" w:rsidP="004F1E6B">
            <w:pPr>
              <w:spacing w:after="0"/>
              <w:jc w:val="left"/>
              <w:rPr>
                <w:bCs/>
                <w:sz w:val="18"/>
                <w:szCs w:val="18"/>
                <w:lang w:val="en-US"/>
              </w:rPr>
            </w:pPr>
          </w:p>
          <w:p w14:paraId="3777CF22" w14:textId="77777777" w:rsidR="004976C2" w:rsidRPr="00AB161E" w:rsidRDefault="004976C2" w:rsidP="004F1E6B">
            <w:pPr>
              <w:spacing w:after="0"/>
              <w:jc w:val="left"/>
              <w:rPr>
                <w:bCs/>
                <w:sz w:val="18"/>
                <w:szCs w:val="18"/>
                <w:lang w:val="en-US"/>
              </w:rPr>
            </w:pPr>
          </w:p>
          <w:p w14:paraId="0A52154F" w14:textId="77777777" w:rsidR="004976C2" w:rsidRPr="00AB161E" w:rsidRDefault="004976C2" w:rsidP="004F1E6B">
            <w:pPr>
              <w:spacing w:after="0"/>
              <w:jc w:val="left"/>
              <w:rPr>
                <w:bCs/>
                <w:sz w:val="18"/>
                <w:szCs w:val="18"/>
                <w:lang w:val="en-US"/>
              </w:rPr>
            </w:pPr>
          </w:p>
          <w:p w14:paraId="0A0835E5" w14:textId="77777777" w:rsidR="004976C2" w:rsidRPr="00AB161E" w:rsidRDefault="004976C2" w:rsidP="004F1E6B">
            <w:pPr>
              <w:spacing w:after="0"/>
              <w:jc w:val="left"/>
              <w:rPr>
                <w:bCs/>
                <w:sz w:val="18"/>
                <w:szCs w:val="18"/>
                <w:lang w:val="en-US"/>
              </w:rPr>
            </w:pPr>
            <w:r w:rsidRPr="00AB161E">
              <w:rPr>
                <w:bCs/>
                <w:sz w:val="18"/>
                <w:szCs w:val="18"/>
                <w:lang w:val="en-US"/>
              </w:rPr>
              <w:t>15</w:t>
            </w:r>
          </w:p>
        </w:tc>
        <w:tc>
          <w:tcPr>
            <w:tcW w:w="3686" w:type="dxa"/>
          </w:tcPr>
          <w:p w14:paraId="78083C86" w14:textId="77777777" w:rsidR="004976C2" w:rsidRPr="00AB161E" w:rsidRDefault="00F27069" w:rsidP="004F1E6B">
            <w:pPr>
              <w:spacing w:after="0"/>
              <w:jc w:val="left"/>
              <w:rPr>
                <w:bCs/>
                <w:sz w:val="18"/>
                <w:szCs w:val="18"/>
                <w:lang w:val="en-US"/>
              </w:rPr>
            </w:pPr>
            <w:r>
              <w:rPr>
                <w:bCs/>
                <w:sz w:val="18"/>
                <w:szCs w:val="18"/>
                <w:lang w:val="en-US"/>
              </w:rPr>
              <w:t>Inception, Mid-term and Final report, APR/PIR, inventories, ACCs, and NAMA factsheets</w:t>
            </w:r>
          </w:p>
          <w:p w14:paraId="6F06D291" w14:textId="77777777" w:rsidR="004976C2" w:rsidRPr="00AB161E" w:rsidRDefault="004976C2" w:rsidP="004F1E6B">
            <w:pPr>
              <w:spacing w:after="0"/>
              <w:jc w:val="left"/>
              <w:rPr>
                <w:bCs/>
                <w:sz w:val="18"/>
                <w:szCs w:val="18"/>
                <w:lang w:val="en-US"/>
              </w:rPr>
            </w:pPr>
          </w:p>
          <w:p w14:paraId="73C90879" w14:textId="77777777" w:rsidR="004976C2" w:rsidRPr="00AB161E" w:rsidRDefault="004976C2" w:rsidP="004F1E6B">
            <w:pPr>
              <w:spacing w:after="0"/>
              <w:jc w:val="left"/>
              <w:rPr>
                <w:bCs/>
                <w:sz w:val="18"/>
                <w:szCs w:val="18"/>
                <w:lang w:val="en-US"/>
              </w:rPr>
            </w:pPr>
          </w:p>
          <w:p w14:paraId="0256F748" w14:textId="77777777" w:rsidR="004976C2" w:rsidRPr="00AB161E" w:rsidRDefault="004976C2" w:rsidP="004F1E6B">
            <w:pPr>
              <w:spacing w:after="0"/>
              <w:jc w:val="left"/>
              <w:rPr>
                <w:bCs/>
                <w:sz w:val="18"/>
                <w:szCs w:val="18"/>
                <w:lang w:val="en-US"/>
              </w:rPr>
            </w:pPr>
          </w:p>
          <w:p w14:paraId="5D59393B" w14:textId="77777777" w:rsidR="004976C2" w:rsidRPr="00AB161E" w:rsidRDefault="004976C2" w:rsidP="004F1E6B">
            <w:pPr>
              <w:spacing w:after="0"/>
              <w:jc w:val="left"/>
              <w:rPr>
                <w:bCs/>
                <w:sz w:val="18"/>
                <w:szCs w:val="18"/>
                <w:lang w:val="en-US"/>
              </w:rPr>
            </w:pPr>
          </w:p>
          <w:p w14:paraId="42F56F7E" w14:textId="77777777" w:rsidR="004976C2" w:rsidRPr="00AB161E" w:rsidRDefault="004976C2" w:rsidP="004F1E6B">
            <w:pPr>
              <w:spacing w:after="0"/>
              <w:jc w:val="left"/>
              <w:rPr>
                <w:bCs/>
                <w:sz w:val="18"/>
                <w:szCs w:val="18"/>
                <w:lang w:val="en-US"/>
              </w:rPr>
            </w:pPr>
          </w:p>
          <w:p w14:paraId="5CC30432" w14:textId="77777777" w:rsidR="004976C2" w:rsidRPr="00AB161E" w:rsidRDefault="004976C2" w:rsidP="004F1E6B">
            <w:pPr>
              <w:spacing w:after="0"/>
              <w:jc w:val="left"/>
              <w:rPr>
                <w:bCs/>
                <w:sz w:val="18"/>
                <w:szCs w:val="18"/>
                <w:lang w:val="en-US"/>
              </w:rPr>
            </w:pPr>
          </w:p>
          <w:p w14:paraId="4084E0AF" w14:textId="77777777" w:rsidR="004976C2" w:rsidRPr="00AB161E" w:rsidRDefault="004976C2" w:rsidP="004F1E6B">
            <w:pPr>
              <w:spacing w:after="0"/>
              <w:jc w:val="left"/>
              <w:rPr>
                <w:bCs/>
                <w:sz w:val="18"/>
                <w:szCs w:val="18"/>
                <w:lang w:val="en-US"/>
              </w:rPr>
            </w:pPr>
            <w:r w:rsidRPr="00AB161E">
              <w:rPr>
                <w:bCs/>
                <w:sz w:val="18"/>
                <w:szCs w:val="18"/>
                <w:lang w:val="en-US"/>
              </w:rPr>
              <w:t>Official resolutions from Akimats</w:t>
            </w:r>
          </w:p>
        </w:tc>
        <w:tc>
          <w:tcPr>
            <w:tcW w:w="2693" w:type="dxa"/>
          </w:tcPr>
          <w:p w14:paraId="44AC7057" w14:textId="77777777" w:rsidR="004976C2" w:rsidRPr="00AB161E" w:rsidRDefault="004976C2" w:rsidP="004F1E6B">
            <w:pPr>
              <w:spacing w:after="0"/>
              <w:jc w:val="left"/>
              <w:rPr>
                <w:bCs/>
                <w:sz w:val="18"/>
                <w:szCs w:val="18"/>
                <w:lang w:val="en-US"/>
              </w:rPr>
            </w:pPr>
          </w:p>
        </w:tc>
      </w:tr>
      <w:tr w:rsidR="004976C2" w:rsidRPr="005B5602" w14:paraId="315DAB59" w14:textId="77777777" w:rsidTr="0038689C">
        <w:tc>
          <w:tcPr>
            <w:tcW w:w="2085" w:type="dxa"/>
            <w:shd w:val="pct12" w:color="auto" w:fill="auto"/>
          </w:tcPr>
          <w:p w14:paraId="173F7796" w14:textId="77777777" w:rsidR="004976C2" w:rsidRPr="005B5602" w:rsidRDefault="004976C2" w:rsidP="004F1E6B">
            <w:pPr>
              <w:spacing w:after="0"/>
              <w:jc w:val="left"/>
              <w:rPr>
                <w:b/>
                <w:bCs/>
                <w:sz w:val="18"/>
                <w:szCs w:val="18"/>
                <w:lang w:val="en-US"/>
              </w:rPr>
            </w:pPr>
            <w:r w:rsidRPr="005B5602">
              <w:rPr>
                <w:b/>
                <w:bCs/>
                <w:sz w:val="18"/>
                <w:szCs w:val="18"/>
                <w:lang w:val="en-US"/>
              </w:rPr>
              <w:t>Outcome 2</w:t>
            </w:r>
          </w:p>
          <w:p w14:paraId="78DB745B" w14:textId="77777777" w:rsidR="004976C2" w:rsidRPr="005B5602" w:rsidRDefault="004976C2" w:rsidP="004F1E6B">
            <w:pPr>
              <w:spacing w:after="0"/>
              <w:jc w:val="left"/>
              <w:rPr>
                <w:b/>
                <w:bCs/>
                <w:sz w:val="18"/>
                <w:szCs w:val="18"/>
                <w:lang w:val="en-US"/>
              </w:rPr>
            </w:pPr>
            <w:r>
              <w:rPr>
                <w:b/>
                <w:bCs/>
                <w:sz w:val="18"/>
                <w:szCs w:val="18"/>
                <w:lang w:val="en-US"/>
              </w:rPr>
              <w:t>P</w:t>
            </w:r>
            <w:r w:rsidRPr="00BC356B">
              <w:rPr>
                <w:b/>
                <w:bCs/>
                <w:sz w:val="18"/>
                <w:szCs w:val="18"/>
                <w:lang w:val="en-US"/>
              </w:rPr>
              <w:t xml:space="preserve">ut in place the enabling institutional framework </w:t>
            </w:r>
            <w:r>
              <w:rPr>
                <w:b/>
                <w:bCs/>
                <w:sz w:val="18"/>
                <w:szCs w:val="18"/>
                <w:lang w:val="en-US"/>
              </w:rPr>
              <w:t>to facilitate</w:t>
            </w:r>
            <w:r w:rsidRPr="00BC356B">
              <w:rPr>
                <w:b/>
                <w:bCs/>
                <w:sz w:val="18"/>
                <w:szCs w:val="18"/>
                <w:lang w:val="en-US"/>
              </w:rPr>
              <w:t xml:space="preserve"> the implementation of urban mitigation</w:t>
            </w:r>
          </w:p>
        </w:tc>
        <w:tc>
          <w:tcPr>
            <w:tcW w:w="2011" w:type="dxa"/>
            <w:gridSpan w:val="2"/>
          </w:tcPr>
          <w:p w14:paraId="160BB01C" w14:textId="77777777" w:rsidR="004976C2" w:rsidRPr="00AB161E" w:rsidRDefault="00144AC2" w:rsidP="004F1E6B">
            <w:pPr>
              <w:spacing w:after="0"/>
              <w:jc w:val="left"/>
              <w:rPr>
                <w:bCs/>
                <w:sz w:val="18"/>
                <w:szCs w:val="18"/>
                <w:lang w:val="en-US"/>
              </w:rPr>
            </w:pPr>
            <w:r>
              <w:rPr>
                <w:bCs/>
                <w:sz w:val="18"/>
                <w:szCs w:val="18"/>
                <w:lang w:val="en-US"/>
              </w:rPr>
              <w:t>Technical assistance delivered according to ToR agreed with each akimat (signoff between UNDP and akimat)</w:t>
            </w:r>
          </w:p>
          <w:p w14:paraId="596FEF1F" w14:textId="77777777" w:rsidR="004976C2" w:rsidRPr="00AB161E" w:rsidRDefault="004976C2" w:rsidP="004F1E6B">
            <w:pPr>
              <w:spacing w:after="0"/>
              <w:jc w:val="left"/>
              <w:rPr>
                <w:bCs/>
                <w:sz w:val="18"/>
                <w:szCs w:val="18"/>
                <w:lang w:val="en-US"/>
              </w:rPr>
            </w:pPr>
          </w:p>
          <w:p w14:paraId="36356702" w14:textId="77777777" w:rsidR="004976C2" w:rsidRPr="00AB161E" w:rsidRDefault="00412510" w:rsidP="004F1E6B">
            <w:pPr>
              <w:spacing w:after="0"/>
              <w:jc w:val="left"/>
              <w:rPr>
                <w:bCs/>
                <w:sz w:val="18"/>
                <w:szCs w:val="18"/>
                <w:lang w:val="en-US"/>
              </w:rPr>
            </w:pPr>
            <w:r>
              <w:rPr>
                <w:bCs/>
                <w:sz w:val="18"/>
                <w:szCs w:val="18"/>
                <w:lang w:val="en-US"/>
              </w:rPr>
              <w:t>Bankable p</w:t>
            </w:r>
            <w:r w:rsidR="004976C2" w:rsidRPr="00AB161E">
              <w:rPr>
                <w:bCs/>
                <w:sz w:val="18"/>
                <w:szCs w:val="18"/>
                <w:lang w:val="en-US"/>
              </w:rPr>
              <w:t>roject document</w:t>
            </w:r>
            <w:r>
              <w:rPr>
                <w:bCs/>
                <w:sz w:val="18"/>
                <w:szCs w:val="18"/>
                <w:lang w:val="en-US"/>
              </w:rPr>
              <w:t>s</w:t>
            </w:r>
            <w:r w:rsidR="004976C2" w:rsidRPr="00AB161E">
              <w:rPr>
                <w:bCs/>
                <w:sz w:val="18"/>
                <w:szCs w:val="18"/>
                <w:lang w:val="en-US"/>
              </w:rPr>
              <w:t xml:space="preserve"> prepared</w:t>
            </w:r>
          </w:p>
          <w:p w14:paraId="39BD7D09" w14:textId="77777777" w:rsidR="004976C2" w:rsidRPr="00AB161E" w:rsidRDefault="004976C2" w:rsidP="004F1E6B">
            <w:pPr>
              <w:spacing w:after="0"/>
              <w:jc w:val="left"/>
              <w:rPr>
                <w:bCs/>
                <w:sz w:val="18"/>
                <w:szCs w:val="18"/>
                <w:lang w:val="en-US"/>
              </w:rPr>
            </w:pPr>
          </w:p>
          <w:p w14:paraId="35729CC9" w14:textId="77777777" w:rsidR="004976C2" w:rsidRPr="00AB161E" w:rsidRDefault="004976C2" w:rsidP="004F1E6B">
            <w:pPr>
              <w:spacing w:after="0"/>
              <w:jc w:val="left"/>
              <w:rPr>
                <w:bCs/>
                <w:sz w:val="18"/>
                <w:szCs w:val="18"/>
                <w:lang w:val="en-US"/>
              </w:rPr>
            </w:pPr>
            <w:r w:rsidRPr="00AB161E">
              <w:rPr>
                <w:bCs/>
                <w:sz w:val="18"/>
                <w:szCs w:val="18"/>
                <w:lang w:val="en-US"/>
              </w:rPr>
              <w:t>Public service contracts signed / tariffs agreed</w:t>
            </w:r>
          </w:p>
        </w:tc>
        <w:tc>
          <w:tcPr>
            <w:tcW w:w="1399" w:type="dxa"/>
          </w:tcPr>
          <w:p w14:paraId="08F58EAF" w14:textId="77777777" w:rsidR="004976C2" w:rsidRPr="00AB161E" w:rsidRDefault="004976C2" w:rsidP="004F1E6B">
            <w:pPr>
              <w:spacing w:after="0"/>
              <w:jc w:val="left"/>
              <w:rPr>
                <w:bCs/>
                <w:sz w:val="18"/>
                <w:szCs w:val="18"/>
                <w:lang w:val="en-US"/>
              </w:rPr>
            </w:pPr>
            <w:r w:rsidRPr="00AB161E">
              <w:rPr>
                <w:bCs/>
                <w:sz w:val="18"/>
                <w:szCs w:val="18"/>
                <w:lang w:val="en-US"/>
              </w:rPr>
              <w:t>0</w:t>
            </w:r>
          </w:p>
          <w:p w14:paraId="4F6F83E0" w14:textId="77777777" w:rsidR="004976C2" w:rsidRPr="00AB161E" w:rsidRDefault="004976C2" w:rsidP="004F1E6B">
            <w:pPr>
              <w:spacing w:after="0"/>
              <w:jc w:val="left"/>
              <w:rPr>
                <w:bCs/>
                <w:sz w:val="18"/>
                <w:szCs w:val="18"/>
                <w:lang w:val="en-US"/>
              </w:rPr>
            </w:pPr>
          </w:p>
          <w:p w14:paraId="0422F9FA" w14:textId="77777777" w:rsidR="004976C2" w:rsidRDefault="004976C2" w:rsidP="004F1E6B">
            <w:pPr>
              <w:spacing w:after="0"/>
              <w:jc w:val="left"/>
              <w:rPr>
                <w:bCs/>
                <w:sz w:val="18"/>
                <w:szCs w:val="18"/>
                <w:lang w:val="en-US"/>
              </w:rPr>
            </w:pPr>
          </w:p>
          <w:p w14:paraId="4CDC97E1" w14:textId="77777777" w:rsidR="00144AC2" w:rsidRDefault="00144AC2" w:rsidP="004F1E6B">
            <w:pPr>
              <w:spacing w:after="0"/>
              <w:jc w:val="left"/>
              <w:rPr>
                <w:bCs/>
                <w:sz w:val="18"/>
                <w:szCs w:val="18"/>
                <w:lang w:val="en-US"/>
              </w:rPr>
            </w:pPr>
          </w:p>
          <w:p w14:paraId="45BB6516" w14:textId="77777777" w:rsidR="00144AC2" w:rsidRDefault="00144AC2" w:rsidP="004F1E6B">
            <w:pPr>
              <w:spacing w:after="0"/>
              <w:jc w:val="left"/>
              <w:rPr>
                <w:bCs/>
                <w:sz w:val="18"/>
                <w:szCs w:val="18"/>
                <w:lang w:val="en-US"/>
              </w:rPr>
            </w:pPr>
          </w:p>
          <w:p w14:paraId="4121C85F" w14:textId="77777777" w:rsidR="00144AC2" w:rsidRDefault="00144AC2" w:rsidP="004F1E6B">
            <w:pPr>
              <w:spacing w:after="0"/>
              <w:jc w:val="left"/>
              <w:rPr>
                <w:bCs/>
                <w:sz w:val="18"/>
                <w:szCs w:val="18"/>
                <w:lang w:val="en-US"/>
              </w:rPr>
            </w:pPr>
          </w:p>
          <w:p w14:paraId="4810B403" w14:textId="77777777" w:rsidR="00144AC2" w:rsidRPr="00AB161E" w:rsidRDefault="00144AC2" w:rsidP="004F1E6B">
            <w:pPr>
              <w:spacing w:after="0"/>
              <w:jc w:val="left"/>
              <w:rPr>
                <w:bCs/>
                <w:sz w:val="18"/>
                <w:szCs w:val="18"/>
                <w:lang w:val="en-US"/>
              </w:rPr>
            </w:pPr>
          </w:p>
          <w:p w14:paraId="43D6A637" w14:textId="77777777" w:rsidR="004976C2" w:rsidRPr="00AB161E" w:rsidRDefault="004976C2" w:rsidP="004F1E6B">
            <w:pPr>
              <w:spacing w:after="0"/>
              <w:jc w:val="left"/>
              <w:rPr>
                <w:bCs/>
                <w:sz w:val="18"/>
                <w:szCs w:val="18"/>
                <w:lang w:val="en-US"/>
              </w:rPr>
            </w:pPr>
            <w:r w:rsidRPr="00AB161E">
              <w:rPr>
                <w:bCs/>
                <w:sz w:val="18"/>
                <w:szCs w:val="18"/>
                <w:lang w:val="en-US"/>
              </w:rPr>
              <w:t>0</w:t>
            </w:r>
          </w:p>
          <w:p w14:paraId="1CB35EA1" w14:textId="77777777" w:rsidR="004976C2" w:rsidRPr="00AB161E" w:rsidRDefault="004976C2" w:rsidP="004F1E6B">
            <w:pPr>
              <w:spacing w:after="0"/>
              <w:jc w:val="left"/>
              <w:rPr>
                <w:bCs/>
                <w:sz w:val="18"/>
                <w:szCs w:val="18"/>
                <w:lang w:val="en-US"/>
              </w:rPr>
            </w:pPr>
          </w:p>
          <w:p w14:paraId="28420761" w14:textId="77777777" w:rsidR="004976C2" w:rsidRPr="00AB161E" w:rsidRDefault="004976C2" w:rsidP="004F1E6B">
            <w:pPr>
              <w:spacing w:after="0"/>
              <w:jc w:val="left"/>
              <w:rPr>
                <w:bCs/>
                <w:sz w:val="18"/>
                <w:szCs w:val="18"/>
                <w:lang w:val="en-US"/>
              </w:rPr>
            </w:pPr>
          </w:p>
          <w:p w14:paraId="0821D342" w14:textId="77777777" w:rsidR="004976C2" w:rsidRPr="00AB161E" w:rsidRDefault="004976C2" w:rsidP="004F1E6B">
            <w:pPr>
              <w:spacing w:after="0"/>
              <w:jc w:val="left"/>
              <w:rPr>
                <w:bCs/>
                <w:sz w:val="18"/>
                <w:szCs w:val="18"/>
                <w:lang w:val="en-US"/>
              </w:rPr>
            </w:pPr>
          </w:p>
          <w:p w14:paraId="14B2353D" w14:textId="77777777" w:rsidR="004976C2" w:rsidRPr="00AB161E" w:rsidRDefault="004976C2" w:rsidP="004F1E6B">
            <w:pPr>
              <w:spacing w:after="0"/>
              <w:jc w:val="left"/>
              <w:rPr>
                <w:bCs/>
                <w:sz w:val="18"/>
                <w:szCs w:val="18"/>
                <w:lang w:val="en-US"/>
              </w:rPr>
            </w:pPr>
            <w:r w:rsidRPr="00AB161E">
              <w:rPr>
                <w:bCs/>
                <w:sz w:val="18"/>
                <w:szCs w:val="18"/>
                <w:lang w:val="en-US"/>
              </w:rPr>
              <w:t xml:space="preserve">None </w:t>
            </w:r>
          </w:p>
        </w:tc>
        <w:tc>
          <w:tcPr>
            <w:tcW w:w="1276" w:type="dxa"/>
          </w:tcPr>
          <w:p w14:paraId="13B129B9" w14:textId="77777777" w:rsidR="004976C2" w:rsidRDefault="00F27069" w:rsidP="004F1E6B">
            <w:pPr>
              <w:spacing w:after="0"/>
              <w:jc w:val="left"/>
              <w:rPr>
                <w:bCs/>
                <w:sz w:val="18"/>
                <w:szCs w:val="18"/>
                <w:lang w:val="en-US"/>
              </w:rPr>
            </w:pPr>
            <w:r>
              <w:rPr>
                <w:bCs/>
                <w:sz w:val="18"/>
                <w:szCs w:val="18"/>
                <w:lang w:val="en-US"/>
              </w:rPr>
              <w:t>5</w:t>
            </w:r>
          </w:p>
          <w:p w14:paraId="0E9A5967" w14:textId="77777777" w:rsidR="00F27069" w:rsidRDefault="00F27069" w:rsidP="004F1E6B">
            <w:pPr>
              <w:spacing w:after="0"/>
              <w:jc w:val="left"/>
              <w:rPr>
                <w:bCs/>
                <w:sz w:val="18"/>
                <w:szCs w:val="18"/>
                <w:lang w:val="en-US"/>
              </w:rPr>
            </w:pPr>
          </w:p>
          <w:p w14:paraId="52648AED" w14:textId="77777777" w:rsidR="00144AC2" w:rsidRDefault="00144AC2" w:rsidP="004F1E6B">
            <w:pPr>
              <w:spacing w:after="0"/>
              <w:jc w:val="left"/>
              <w:rPr>
                <w:bCs/>
                <w:sz w:val="18"/>
                <w:szCs w:val="18"/>
                <w:lang w:val="en-US"/>
              </w:rPr>
            </w:pPr>
          </w:p>
          <w:p w14:paraId="76327D03" w14:textId="77777777" w:rsidR="00144AC2" w:rsidRDefault="00144AC2" w:rsidP="004F1E6B">
            <w:pPr>
              <w:spacing w:after="0"/>
              <w:jc w:val="left"/>
              <w:rPr>
                <w:bCs/>
                <w:sz w:val="18"/>
                <w:szCs w:val="18"/>
                <w:lang w:val="en-US"/>
              </w:rPr>
            </w:pPr>
          </w:p>
          <w:p w14:paraId="09F2D0E8" w14:textId="77777777" w:rsidR="00144AC2" w:rsidRDefault="00144AC2" w:rsidP="004F1E6B">
            <w:pPr>
              <w:spacing w:after="0"/>
              <w:jc w:val="left"/>
              <w:rPr>
                <w:bCs/>
                <w:sz w:val="18"/>
                <w:szCs w:val="18"/>
                <w:lang w:val="en-US"/>
              </w:rPr>
            </w:pPr>
          </w:p>
          <w:p w14:paraId="43450EA7" w14:textId="77777777" w:rsidR="00144AC2" w:rsidRDefault="00144AC2" w:rsidP="004F1E6B">
            <w:pPr>
              <w:spacing w:after="0"/>
              <w:jc w:val="left"/>
              <w:rPr>
                <w:bCs/>
                <w:sz w:val="18"/>
                <w:szCs w:val="18"/>
                <w:lang w:val="en-US"/>
              </w:rPr>
            </w:pPr>
          </w:p>
          <w:p w14:paraId="4B4FE340" w14:textId="77777777" w:rsidR="00F27069" w:rsidRDefault="00F27069" w:rsidP="004F1E6B">
            <w:pPr>
              <w:spacing w:after="0"/>
              <w:jc w:val="left"/>
              <w:rPr>
                <w:bCs/>
                <w:sz w:val="18"/>
                <w:szCs w:val="18"/>
                <w:lang w:val="en-US"/>
              </w:rPr>
            </w:pPr>
          </w:p>
          <w:p w14:paraId="52CDEC22" w14:textId="77777777" w:rsidR="00F27069" w:rsidRDefault="00F27069" w:rsidP="004F1E6B">
            <w:pPr>
              <w:spacing w:after="0"/>
              <w:jc w:val="left"/>
              <w:rPr>
                <w:bCs/>
                <w:sz w:val="18"/>
                <w:szCs w:val="18"/>
                <w:lang w:val="en-US"/>
              </w:rPr>
            </w:pPr>
            <w:r>
              <w:rPr>
                <w:bCs/>
                <w:sz w:val="18"/>
                <w:szCs w:val="18"/>
                <w:lang w:val="en-US"/>
              </w:rPr>
              <w:t>5</w:t>
            </w:r>
          </w:p>
          <w:p w14:paraId="40E8C50B" w14:textId="77777777" w:rsidR="00F27069" w:rsidRDefault="00F27069" w:rsidP="004F1E6B">
            <w:pPr>
              <w:spacing w:after="0"/>
              <w:jc w:val="left"/>
              <w:rPr>
                <w:bCs/>
                <w:sz w:val="18"/>
                <w:szCs w:val="18"/>
                <w:lang w:val="en-US"/>
              </w:rPr>
            </w:pPr>
          </w:p>
          <w:p w14:paraId="3CDC1807" w14:textId="77777777" w:rsidR="00F27069" w:rsidRDefault="00F27069" w:rsidP="004F1E6B">
            <w:pPr>
              <w:spacing w:after="0"/>
              <w:jc w:val="left"/>
              <w:rPr>
                <w:bCs/>
                <w:sz w:val="18"/>
                <w:szCs w:val="18"/>
                <w:lang w:val="en-US"/>
              </w:rPr>
            </w:pPr>
          </w:p>
          <w:p w14:paraId="6292A6FF" w14:textId="77777777" w:rsidR="00F27069" w:rsidRDefault="00F27069" w:rsidP="004F1E6B">
            <w:pPr>
              <w:spacing w:after="0"/>
              <w:jc w:val="left"/>
              <w:rPr>
                <w:bCs/>
                <w:sz w:val="18"/>
                <w:szCs w:val="18"/>
                <w:lang w:val="en-US"/>
              </w:rPr>
            </w:pPr>
          </w:p>
          <w:p w14:paraId="2F1D7867" w14:textId="77777777" w:rsidR="00F27069" w:rsidRPr="00AB161E" w:rsidRDefault="00F27069" w:rsidP="004F1E6B">
            <w:pPr>
              <w:spacing w:after="0"/>
              <w:jc w:val="left"/>
              <w:rPr>
                <w:bCs/>
                <w:sz w:val="18"/>
                <w:szCs w:val="18"/>
                <w:lang w:val="en-US"/>
              </w:rPr>
            </w:pPr>
            <w:r>
              <w:rPr>
                <w:bCs/>
                <w:sz w:val="18"/>
                <w:szCs w:val="18"/>
                <w:lang w:val="en-US"/>
              </w:rPr>
              <w:t>Up to 5, depending on needs</w:t>
            </w:r>
          </w:p>
        </w:tc>
        <w:tc>
          <w:tcPr>
            <w:tcW w:w="1417" w:type="dxa"/>
          </w:tcPr>
          <w:p w14:paraId="18A0D340" w14:textId="77777777" w:rsidR="004976C2" w:rsidRPr="00AB161E" w:rsidRDefault="004976C2" w:rsidP="004F1E6B">
            <w:pPr>
              <w:spacing w:after="0"/>
              <w:jc w:val="left"/>
              <w:rPr>
                <w:bCs/>
                <w:sz w:val="18"/>
                <w:szCs w:val="18"/>
                <w:lang w:val="en-US"/>
              </w:rPr>
            </w:pPr>
            <w:r w:rsidRPr="00AB161E">
              <w:rPr>
                <w:bCs/>
                <w:sz w:val="18"/>
                <w:szCs w:val="18"/>
                <w:lang w:val="en-US"/>
              </w:rPr>
              <w:t>15</w:t>
            </w:r>
          </w:p>
          <w:p w14:paraId="6CD4EAD4" w14:textId="77777777" w:rsidR="004976C2" w:rsidRDefault="004976C2" w:rsidP="004F1E6B">
            <w:pPr>
              <w:spacing w:after="0"/>
              <w:jc w:val="left"/>
              <w:rPr>
                <w:bCs/>
                <w:sz w:val="18"/>
                <w:szCs w:val="18"/>
                <w:lang w:val="en-US"/>
              </w:rPr>
            </w:pPr>
          </w:p>
          <w:p w14:paraId="3F41CA24" w14:textId="77777777" w:rsidR="00144AC2" w:rsidRDefault="00144AC2" w:rsidP="004F1E6B">
            <w:pPr>
              <w:spacing w:after="0"/>
              <w:jc w:val="left"/>
              <w:rPr>
                <w:bCs/>
                <w:sz w:val="18"/>
                <w:szCs w:val="18"/>
                <w:lang w:val="en-US"/>
              </w:rPr>
            </w:pPr>
          </w:p>
          <w:p w14:paraId="59F49C1F" w14:textId="77777777" w:rsidR="00144AC2" w:rsidRDefault="00144AC2" w:rsidP="004F1E6B">
            <w:pPr>
              <w:spacing w:after="0"/>
              <w:jc w:val="left"/>
              <w:rPr>
                <w:bCs/>
                <w:sz w:val="18"/>
                <w:szCs w:val="18"/>
                <w:lang w:val="en-US"/>
              </w:rPr>
            </w:pPr>
          </w:p>
          <w:p w14:paraId="18163153" w14:textId="77777777" w:rsidR="00144AC2" w:rsidRDefault="00144AC2" w:rsidP="004F1E6B">
            <w:pPr>
              <w:spacing w:after="0"/>
              <w:jc w:val="left"/>
              <w:rPr>
                <w:bCs/>
                <w:sz w:val="18"/>
                <w:szCs w:val="18"/>
                <w:lang w:val="en-US"/>
              </w:rPr>
            </w:pPr>
          </w:p>
          <w:p w14:paraId="266EEB63" w14:textId="77777777" w:rsidR="00144AC2" w:rsidRPr="00AB161E" w:rsidRDefault="00144AC2" w:rsidP="004F1E6B">
            <w:pPr>
              <w:spacing w:after="0"/>
              <w:jc w:val="left"/>
              <w:rPr>
                <w:bCs/>
                <w:sz w:val="18"/>
                <w:szCs w:val="18"/>
                <w:lang w:val="en-US"/>
              </w:rPr>
            </w:pPr>
          </w:p>
          <w:p w14:paraId="0848EB37" w14:textId="77777777" w:rsidR="004976C2" w:rsidRPr="00AB161E" w:rsidRDefault="004976C2" w:rsidP="004F1E6B">
            <w:pPr>
              <w:spacing w:after="0"/>
              <w:jc w:val="left"/>
              <w:rPr>
                <w:bCs/>
                <w:sz w:val="18"/>
                <w:szCs w:val="18"/>
                <w:lang w:val="en-US"/>
              </w:rPr>
            </w:pPr>
          </w:p>
          <w:p w14:paraId="707463EF" w14:textId="77777777" w:rsidR="004976C2" w:rsidRPr="00AB161E" w:rsidRDefault="004976C2" w:rsidP="004F1E6B">
            <w:pPr>
              <w:spacing w:after="0"/>
              <w:jc w:val="left"/>
              <w:rPr>
                <w:bCs/>
                <w:sz w:val="18"/>
                <w:szCs w:val="18"/>
                <w:lang w:val="en-US"/>
              </w:rPr>
            </w:pPr>
            <w:r w:rsidRPr="00AB161E">
              <w:rPr>
                <w:bCs/>
                <w:sz w:val="18"/>
                <w:szCs w:val="18"/>
                <w:lang w:val="en-US"/>
              </w:rPr>
              <w:t>15</w:t>
            </w:r>
          </w:p>
          <w:p w14:paraId="3C2AC88D" w14:textId="77777777" w:rsidR="004976C2" w:rsidRPr="00AB161E" w:rsidRDefault="004976C2" w:rsidP="004F1E6B">
            <w:pPr>
              <w:spacing w:after="0"/>
              <w:jc w:val="left"/>
              <w:rPr>
                <w:bCs/>
                <w:sz w:val="18"/>
                <w:szCs w:val="18"/>
                <w:lang w:val="en-US"/>
              </w:rPr>
            </w:pPr>
          </w:p>
          <w:p w14:paraId="505CA575" w14:textId="77777777" w:rsidR="004976C2" w:rsidRPr="00AB161E" w:rsidRDefault="004976C2" w:rsidP="004F1E6B">
            <w:pPr>
              <w:spacing w:after="0"/>
              <w:jc w:val="left"/>
              <w:rPr>
                <w:bCs/>
                <w:sz w:val="18"/>
                <w:szCs w:val="18"/>
                <w:lang w:val="en-US"/>
              </w:rPr>
            </w:pPr>
          </w:p>
          <w:p w14:paraId="0D446A59" w14:textId="77777777" w:rsidR="004976C2" w:rsidRPr="00AB161E" w:rsidRDefault="004976C2" w:rsidP="004F1E6B">
            <w:pPr>
              <w:spacing w:after="0"/>
              <w:jc w:val="left"/>
              <w:rPr>
                <w:bCs/>
                <w:sz w:val="18"/>
                <w:szCs w:val="18"/>
                <w:lang w:val="en-US"/>
              </w:rPr>
            </w:pPr>
          </w:p>
          <w:p w14:paraId="14B0A0F1" w14:textId="77777777" w:rsidR="004976C2" w:rsidRPr="00AB161E" w:rsidRDefault="004976C2" w:rsidP="00B94E8D">
            <w:pPr>
              <w:spacing w:after="0"/>
              <w:jc w:val="left"/>
              <w:rPr>
                <w:bCs/>
                <w:sz w:val="18"/>
                <w:szCs w:val="18"/>
                <w:lang w:val="en-US"/>
              </w:rPr>
            </w:pPr>
            <w:r w:rsidRPr="00AB161E">
              <w:rPr>
                <w:bCs/>
                <w:sz w:val="18"/>
                <w:szCs w:val="18"/>
                <w:lang w:val="en-US"/>
              </w:rPr>
              <w:t>Up to 15, depending on needs</w:t>
            </w:r>
          </w:p>
        </w:tc>
        <w:tc>
          <w:tcPr>
            <w:tcW w:w="3686" w:type="dxa"/>
          </w:tcPr>
          <w:p w14:paraId="571AF166" w14:textId="77777777" w:rsidR="004976C2" w:rsidRPr="00AB161E" w:rsidRDefault="00F27069" w:rsidP="004F1E6B">
            <w:pPr>
              <w:spacing w:after="0"/>
              <w:jc w:val="left"/>
              <w:rPr>
                <w:bCs/>
                <w:sz w:val="18"/>
                <w:szCs w:val="18"/>
                <w:lang w:val="en-US"/>
              </w:rPr>
            </w:pPr>
            <w:r>
              <w:rPr>
                <w:bCs/>
                <w:sz w:val="18"/>
                <w:szCs w:val="18"/>
                <w:lang w:val="en-US"/>
              </w:rPr>
              <w:t>Inception, Mid-term and Final report, APR/PIR</w:t>
            </w:r>
            <w:r w:rsidRPr="00AB161E">
              <w:rPr>
                <w:bCs/>
                <w:sz w:val="18"/>
                <w:szCs w:val="18"/>
                <w:lang w:val="en-US"/>
              </w:rPr>
              <w:t xml:space="preserve"> </w:t>
            </w:r>
          </w:p>
          <w:p w14:paraId="3FABCA92" w14:textId="77777777" w:rsidR="004976C2" w:rsidRDefault="004976C2" w:rsidP="004F1E6B">
            <w:pPr>
              <w:spacing w:after="0"/>
              <w:jc w:val="left"/>
              <w:rPr>
                <w:bCs/>
                <w:sz w:val="18"/>
                <w:szCs w:val="18"/>
                <w:lang w:val="en-US"/>
              </w:rPr>
            </w:pPr>
          </w:p>
          <w:p w14:paraId="3C8707D3" w14:textId="77777777" w:rsidR="00144AC2" w:rsidRDefault="00144AC2" w:rsidP="004F1E6B">
            <w:pPr>
              <w:spacing w:after="0"/>
              <w:jc w:val="left"/>
              <w:rPr>
                <w:bCs/>
                <w:sz w:val="18"/>
                <w:szCs w:val="18"/>
                <w:lang w:val="en-US"/>
              </w:rPr>
            </w:pPr>
          </w:p>
          <w:p w14:paraId="2343F9C1" w14:textId="77777777" w:rsidR="00144AC2" w:rsidRDefault="00144AC2" w:rsidP="004F1E6B">
            <w:pPr>
              <w:spacing w:after="0"/>
              <w:jc w:val="left"/>
              <w:rPr>
                <w:bCs/>
                <w:sz w:val="18"/>
                <w:szCs w:val="18"/>
                <w:lang w:val="en-US"/>
              </w:rPr>
            </w:pPr>
          </w:p>
          <w:p w14:paraId="01D11B43" w14:textId="77777777" w:rsidR="00144AC2" w:rsidRDefault="00144AC2" w:rsidP="004F1E6B">
            <w:pPr>
              <w:spacing w:after="0"/>
              <w:jc w:val="left"/>
              <w:rPr>
                <w:bCs/>
                <w:sz w:val="18"/>
                <w:szCs w:val="18"/>
                <w:lang w:val="en-US"/>
              </w:rPr>
            </w:pPr>
          </w:p>
          <w:p w14:paraId="4E0F8B04" w14:textId="77777777" w:rsidR="00144AC2" w:rsidRDefault="00144AC2" w:rsidP="004F1E6B">
            <w:pPr>
              <w:spacing w:after="0"/>
              <w:jc w:val="left"/>
              <w:rPr>
                <w:bCs/>
                <w:sz w:val="18"/>
                <w:szCs w:val="18"/>
                <w:lang w:val="en-US"/>
              </w:rPr>
            </w:pPr>
          </w:p>
          <w:p w14:paraId="455502B4" w14:textId="77777777" w:rsidR="00F27069" w:rsidRPr="00AB161E" w:rsidRDefault="00F27069" w:rsidP="004F1E6B">
            <w:pPr>
              <w:spacing w:after="0"/>
              <w:jc w:val="left"/>
              <w:rPr>
                <w:bCs/>
                <w:sz w:val="18"/>
                <w:szCs w:val="18"/>
                <w:lang w:val="en-US"/>
              </w:rPr>
            </w:pPr>
          </w:p>
          <w:p w14:paraId="69559399" w14:textId="77777777" w:rsidR="004976C2" w:rsidRPr="00AB161E" w:rsidRDefault="00F27069" w:rsidP="004F1E6B">
            <w:pPr>
              <w:spacing w:after="0"/>
              <w:jc w:val="left"/>
              <w:rPr>
                <w:bCs/>
                <w:sz w:val="18"/>
                <w:szCs w:val="18"/>
                <w:lang w:val="en-US"/>
              </w:rPr>
            </w:pPr>
            <w:r>
              <w:rPr>
                <w:bCs/>
                <w:sz w:val="18"/>
                <w:szCs w:val="18"/>
                <w:lang w:val="en-US"/>
              </w:rPr>
              <w:t>Inception, Mid-term and Final report, APR/PIR</w:t>
            </w:r>
            <w:r w:rsidRPr="00AB161E">
              <w:rPr>
                <w:bCs/>
                <w:sz w:val="18"/>
                <w:szCs w:val="18"/>
                <w:lang w:val="en-US"/>
              </w:rPr>
              <w:t xml:space="preserve"> </w:t>
            </w:r>
          </w:p>
          <w:p w14:paraId="130C371E" w14:textId="77777777" w:rsidR="004976C2" w:rsidRPr="00AB161E" w:rsidRDefault="004976C2" w:rsidP="004F1E6B">
            <w:pPr>
              <w:spacing w:after="0"/>
              <w:jc w:val="left"/>
              <w:rPr>
                <w:bCs/>
                <w:sz w:val="18"/>
                <w:szCs w:val="18"/>
                <w:lang w:val="en-US"/>
              </w:rPr>
            </w:pPr>
          </w:p>
          <w:p w14:paraId="56AB27E7" w14:textId="77777777" w:rsidR="004976C2" w:rsidRDefault="004976C2" w:rsidP="004F1E6B">
            <w:pPr>
              <w:spacing w:after="0"/>
              <w:jc w:val="left"/>
              <w:rPr>
                <w:bCs/>
                <w:sz w:val="18"/>
                <w:szCs w:val="18"/>
                <w:lang w:val="en-US"/>
              </w:rPr>
            </w:pPr>
          </w:p>
          <w:p w14:paraId="7F26B6FC" w14:textId="77777777" w:rsidR="00F27069" w:rsidRPr="00AB161E" w:rsidRDefault="00F27069" w:rsidP="004F1E6B">
            <w:pPr>
              <w:spacing w:after="0"/>
              <w:jc w:val="left"/>
              <w:rPr>
                <w:bCs/>
                <w:sz w:val="18"/>
                <w:szCs w:val="18"/>
                <w:lang w:val="en-US"/>
              </w:rPr>
            </w:pPr>
          </w:p>
          <w:p w14:paraId="0B46DB3C" w14:textId="77777777" w:rsidR="004976C2" w:rsidRPr="00AB161E" w:rsidRDefault="00F27069" w:rsidP="004F1E6B">
            <w:pPr>
              <w:spacing w:after="0"/>
              <w:jc w:val="left"/>
              <w:rPr>
                <w:bCs/>
                <w:sz w:val="18"/>
                <w:szCs w:val="18"/>
                <w:lang w:val="en-US"/>
              </w:rPr>
            </w:pPr>
            <w:r>
              <w:rPr>
                <w:bCs/>
                <w:sz w:val="18"/>
                <w:szCs w:val="18"/>
                <w:lang w:val="en-US"/>
              </w:rPr>
              <w:t>Inception, Mid-term and Final report, APR/PIR</w:t>
            </w:r>
          </w:p>
        </w:tc>
        <w:tc>
          <w:tcPr>
            <w:tcW w:w="2693" w:type="dxa"/>
          </w:tcPr>
          <w:p w14:paraId="38553FAD" w14:textId="77777777" w:rsidR="004976C2" w:rsidRPr="00AB161E" w:rsidRDefault="004976C2" w:rsidP="004F1E6B">
            <w:pPr>
              <w:spacing w:after="0"/>
              <w:jc w:val="left"/>
              <w:rPr>
                <w:bCs/>
                <w:sz w:val="18"/>
                <w:szCs w:val="18"/>
                <w:lang w:val="en-US"/>
              </w:rPr>
            </w:pPr>
            <w:r w:rsidRPr="00AB161E">
              <w:rPr>
                <w:bCs/>
                <w:sz w:val="18"/>
                <w:szCs w:val="18"/>
                <w:lang w:val="en-US"/>
              </w:rPr>
              <w:t>Project opportunities are identified</w:t>
            </w:r>
          </w:p>
          <w:p w14:paraId="39789023" w14:textId="77777777" w:rsidR="004976C2" w:rsidRPr="00AB161E" w:rsidRDefault="004976C2" w:rsidP="004F1E6B">
            <w:pPr>
              <w:spacing w:after="0"/>
              <w:jc w:val="left"/>
              <w:rPr>
                <w:bCs/>
                <w:sz w:val="18"/>
                <w:szCs w:val="18"/>
                <w:lang w:val="en-US"/>
              </w:rPr>
            </w:pPr>
          </w:p>
          <w:p w14:paraId="613E62B5" w14:textId="77777777" w:rsidR="004976C2" w:rsidRPr="00AB161E" w:rsidRDefault="004976C2" w:rsidP="00590685">
            <w:pPr>
              <w:spacing w:after="0"/>
              <w:jc w:val="left"/>
              <w:rPr>
                <w:bCs/>
                <w:sz w:val="18"/>
                <w:szCs w:val="18"/>
                <w:lang w:val="en-US"/>
              </w:rPr>
            </w:pPr>
            <w:r w:rsidRPr="00AB161E">
              <w:rPr>
                <w:bCs/>
                <w:sz w:val="18"/>
                <w:szCs w:val="18"/>
                <w:lang w:val="en-US"/>
              </w:rPr>
              <w:t>Akimats choose to access project support</w:t>
            </w:r>
          </w:p>
        </w:tc>
      </w:tr>
      <w:tr w:rsidR="004976C2" w:rsidRPr="005B5602" w14:paraId="3B5B5750" w14:textId="77777777" w:rsidTr="0038689C">
        <w:tc>
          <w:tcPr>
            <w:tcW w:w="2085" w:type="dxa"/>
            <w:shd w:val="pct12" w:color="auto" w:fill="auto"/>
          </w:tcPr>
          <w:p w14:paraId="718336E4" w14:textId="77777777" w:rsidR="004976C2" w:rsidRPr="005B5602" w:rsidRDefault="004976C2" w:rsidP="004F1E6B">
            <w:pPr>
              <w:spacing w:after="0"/>
              <w:jc w:val="left"/>
              <w:rPr>
                <w:b/>
                <w:bCs/>
                <w:sz w:val="18"/>
                <w:szCs w:val="18"/>
                <w:lang w:val="en-US"/>
              </w:rPr>
            </w:pPr>
            <w:r w:rsidRPr="005B5602">
              <w:rPr>
                <w:b/>
                <w:bCs/>
                <w:sz w:val="18"/>
                <w:szCs w:val="18"/>
                <w:lang w:val="en-US"/>
              </w:rPr>
              <w:t>Outcome 3</w:t>
            </w:r>
          </w:p>
          <w:p w14:paraId="51DDC68F" w14:textId="77777777" w:rsidR="004976C2" w:rsidRPr="005B5602" w:rsidRDefault="004976C2" w:rsidP="004F1E6B">
            <w:pPr>
              <w:spacing w:after="0"/>
              <w:jc w:val="left"/>
              <w:rPr>
                <w:b/>
                <w:bCs/>
                <w:sz w:val="18"/>
                <w:szCs w:val="18"/>
                <w:lang w:val="en-US"/>
              </w:rPr>
            </w:pPr>
            <w:r>
              <w:rPr>
                <w:b/>
                <w:bCs/>
                <w:sz w:val="18"/>
                <w:szCs w:val="18"/>
                <w:lang w:val="en-US"/>
              </w:rPr>
              <w:t>Ne</w:t>
            </w:r>
            <w:r w:rsidRPr="00BC356B">
              <w:rPr>
                <w:b/>
                <w:bCs/>
                <w:sz w:val="18"/>
                <w:szCs w:val="18"/>
                <w:lang w:val="en-US"/>
              </w:rPr>
              <w:t>w and additional financing for urban NAMAs</w:t>
            </w:r>
            <w:r>
              <w:rPr>
                <w:b/>
                <w:bCs/>
                <w:sz w:val="18"/>
                <w:szCs w:val="18"/>
                <w:lang w:val="en-US"/>
              </w:rPr>
              <w:t xml:space="preserve"> levered</w:t>
            </w:r>
          </w:p>
        </w:tc>
        <w:tc>
          <w:tcPr>
            <w:tcW w:w="2011" w:type="dxa"/>
            <w:gridSpan w:val="2"/>
          </w:tcPr>
          <w:p w14:paraId="44172DFF" w14:textId="77777777" w:rsidR="00412510" w:rsidRDefault="00412510" w:rsidP="00B94E8D">
            <w:pPr>
              <w:spacing w:after="0"/>
              <w:jc w:val="left"/>
              <w:rPr>
                <w:bCs/>
                <w:sz w:val="18"/>
                <w:szCs w:val="18"/>
                <w:lang w:val="en-US"/>
              </w:rPr>
            </w:pPr>
            <w:r>
              <w:rPr>
                <w:bCs/>
                <w:sz w:val="18"/>
                <w:szCs w:val="18"/>
                <w:lang w:val="en-US"/>
              </w:rPr>
              <w:t>Capitalization of funding mechanisms for urban NAMAs</w:t>
            </w:r>
          </w:p>
          <w:p w14:paraId="484C6581" w14:textId="77777777" w:rsidR="00412510" w:rsidRDefault="00412510" w:rsidP="00B94E8D">
            <w:pPr>
              <w:spacing w:after="0"/>
              <w:jc w:val="left"/>
              <w:rPr>
                <w:bCs/>
                <w:sz w:val="18"/>
                <w:szCs w:val="18"/>
                <w:lang w:val="en-US"/>
              </w:rPr>
            </w:pPr>
          </w:p>
          <w:p w14:paraId="35DEE5D9" w14:textId="77777777" w:rsidR="004976C2" w:rsidRPr="00AB161E" w:rsidRDefault="004976C2" w:rsidP="00B94E8D">
            <w:pPr>
              <w:spacing w:after="0"/>
              <w:jc w:val="left"/>
              <w:rPr>
                <w:bCs/>
                <w:sz w:val="18"/>
                <w:szCs w:val="18"/>
                <w:lang w:val="en-US"/>
              </w:rPr>
            </w:pPr>
            <w:r w:rsidRPr="00AB161E">
              <w:rPr>
                <w:bCs/>
                <w:sz w:val="18"/>
                <w:szCs w:val="18"/>
                <w:lang w:val="en-US"/>
              </w:rPr>
              <w:t>Financing provided to urban NAMA projects from Pilot NAMA fund (USD)</w:t>
            </w:r>
          </w:p>
          <w:p w14:paraId="43248375" w14:textId="77777777" w:rsidR="004976C2" w:rsidRPr="00AB161E" w:rsidRDefault="004976C2" w:rsidP="00B94E8D">
            <w:pPr>
              <w:spacing w:after="0"/>
              <w:jc w:val="left"/>
              <w:rPr>
                <w:bCs/>
                <w:sz w:val="18"/>
                <w:szCs w:val="18"/>
                <w:lang w:val="en-US"/>
              </w:rPr>
            </w:pPr>
          </w:p>
          <w:p w14:paraId="6AD4003C" w14:textId="77777777" w:rsidR="004976C2" w:rsidRDefault="004976C2" w:rsidP="00B94E8D">
            <w:pPr>
              <w:spacing w:after="0"/>
              <w:jc w:val="left"/>
              <w:rPr>
                <w:bCs/>
                <w:sz w:val="18"/>
                <w:szCs w:val="18"/>
                <w:lang w:val="en-US"/>
              </w:rPr>
            </w:pPr>
            <w:r w:rsidRPr="00AB161E">
              <w:rPr>
                <w:bCs/>
                <w:sz w:val="18"/>
                <w:szCs w:val="18"/>
                <w:lang w:val="en-US"/>
              </w:rPr>
              <w:t>Diversification strategy developed</w:t>
            </w:r>
          </w:p>
          <w:p w14:paraId="7BC761EC" w14:textId="77777777" w:rsidR="007638DF" w:rsidRDefault="007638DF" w:rsidP="00B94E8D">
            <w:pPr>
              <w:spacing w:after="0"/>
              <w:jc w:val="left"/>
              <w:rPr>
                <w:bCs/>
                <w:sz w:val="18"/>
                <w:szCs w:val="18"/>
                <w:lang w:val="en-US"/>
              </w:rPr>
            </w:pPr>
          </w:p>
          <w:p w14:paraId="2B049F82" w14:textId="2FCB0A1B" w:rsidR="007638DF" w:rsidRPr="00AB161E" w:rsidRDefault="007638DF" w:rsidP="00B94E8D">
            <w:pPr>
              <w:spacing w:after="0"/>
              <w:jc w:val="left"/>
              <w:rPr>
                <w:bCs/>
                <w:sz w:val="18"/>
                <w:szCs w:val="18"/>
                <w:lang w:val="en-US"/>
              </w:rPr>
            </w:pPr>
            <w:r>
              <w:rPr>
                <w:bCs/>
                <w:sz w:val="18"/>
                <w:szCs w:val="18"/>
                <w:lang w:val="en-US"/>
              </w:rPr>
              <w:t>Direct lifetime GHG emission reductions from NAMA fund</w:t>
            </w:r>
          </w:p>
          <w:p w14:paraId="6219EABE" w14:textId="77777777" w:rsidR="004976C2" w:rsidRPr="00AB161E" w:rsidRDefault="004976C2" w:rsidP="00B94E8D">
            <w:pPr>
              <w:spacing w:after="0"/>
              <w:jc w:val="left"/>
              <w:rPr>
                <w:bCs/>
                <w:sz w:val="18"/>
                <w:szCs w:val="18"/>
                <w:lang w:val="en-US"/>
              </w:rPr>
            </w:pPr>
          </w:p>
        </w:tc>
        <w:tc>
          <w:tcPr>
            <w:tcW w:w="1399" w:type="dxa"/>
          </w:tcPr>
          <w:p w14:paraId="174F5910" w14:textId="77777777" w:rsidR="004976C2" w:rsidRPr="00AB161E" w:rsidRDefault="004976C2" w:rsidP="004F1E6B">
            <w:pPr>
              <w:spacing w:after="0"/>
              <w:jc w:val="left"/>
              <w:rPr>
                <w:bCs/>
                <w:sz w:val="18"/>
                <w:szCs w:val="18"/>
                <w:lang w:val="en-US"/>
              </w:rPr>
            </w:pPr>
            <w:r w:rsidRPr="00AB161E">
              <w:rPr>
                <w:bCs/>
                <w:sz w:val="18"/>
                <w:szCs w:val="18"/>
                <w:lang w:val="en-US"/>
              </w:rPr>
              <w:t>0</w:t>
            </w:r>
          </w:p>
          <w:p w14:paraId="5A186CB7" w14:textId="77777777" w:rsidR="004976C2" w:rsidRPr="00AB161E" w:rsidRDefault="004976C2" w:rsidP="004F1E6B">
            <w:pPr>
              <w:spacing w:after="0"/>
              <w:jc w:val="left"/>
              <w:rPr>
                <w:bCs/>
                <w:sz w:val="18"/>
                <w:szCs w:val="18"/>
                <w:lang w:val="en-US"/>
              </w:rPr>
            </w:pPr>
          </w:p>
          <w:p w14:paraId="760F8144" w14:textId="77777777" w:rsidR="004976C2" w:rsidRPr="00AB161E" w:rsidRDefault="004976C2" w:rsidP="004F1E6B">
            <w:pPr>
              <w:spacing w:after="0"/>
              <w:jc w:val="left"/>
              <w:rPr>
                <w:bCs/>
                <w:sz w:val="18"/>
                <w:szCs w:val="18"/>
                <w:lang w:val="en-US"/>
              </w:rPr>
            </w:pPr>
          </w:p>
          <w:p w14:paraId="4BDF1745" w14:textId="77777777" w:rsidR="004976C2" w:rsidRDefault="004976C2" w:rsidP="004F1E6B">
            <w:pPr>
              <w:spacing w:after="0"/>
              <w:jc w:val="left"/>
              <w:rPr>
                <w:bCs/>
                <w:sz w:val="18"/>
                <w:szCs w:val="18"/>
                <w:lang w:val="en-US"/>
              </w:rPr>
            </w:pPr>
          </w:p>
          <w:p w14:paraId="488C9ECA" w14:textId="77777777" w:rsidR="00412510" w:rsidRDefault="00412510" w:rsidP="004F1E6B">
            <w:pPr>
              <w:spacing w:after="0"/>
              <w:jc w:val="left"/>
              <w:rPr>
                <w:bCs/>
                <w:sz w:val="18"/>
                <w:szCs w:val="18"/>
                <w:lang w:val="en-US"/>
              </w:rPr>
            </w:pPr>
            <w:r>
              <w:rPr>
                <w:bCs/>
                <w:sz w:val="18"/>
                <w:szCs w:val="18"/>
                <w:lang w:val="en-US"/>
              </w:rPr>
              <w:t>0</w:t>
            </w:r>
          </w:p>
          <w:p w14:paraId="55B4745D" w14:textId="77777777" w:rsidR="00412510" w:rsidRDefault="00412510" w:rsidP="004F1E6B">
            <w:pPr>
              <w:spacing w:after="0"/>
              <w:jc w:val="left"/>
              <w:rPr>
                <w:bCs/>
                <w:sz w:val="18"/>
                <w:szCs w:val="18"/>
                <w:lang w:val="en-US"/>
              </w:rPr>
            </w:pPr>
          </w:p>
          <w:p w14:paraId="06E0EA7B" w14:textId="77777777" w:rsidR="00412510" w:rsidRDefault="00412510" w:rsidP="004F1E6B">
            <w:pPr>
              <w:spacing w:after="0"/>
              <w:jc w:val="left"/>
              <w:rPr>
                <w:bCs/>
                <w:sz w:val="18"/>
                <w:szCs w:val="18"/>
                <w:lang w:val="en-US"/>
              </w:rPr>
            </w:pPr>
          </w:p>
          <w:p w14:paraId="7D902A3A" w14:textId="77777777" w:rsidR="00412510" w:rsidRPr="00AB161E" w:rsidRDefault="00412510" w:rsidP="004F1E6B">
            <w:pPr>
              <w:spacing w:after="0"/>
              <w:jc w:val="left"/>
              <w:rPr>
                <w:bCs/>
                <w:sz w:val="18"/>
                <w:szCs w:val="18"/>
                <w:lang w:val="en-US"/>
              </w:rPr>
            </w:pPr>
          </w:p>
          <w:p w14:paraId="1EB0E018" w14:textId="77777777" w:rsidR="004976C2" w:rsidRPr="00AB161E" w:rsidRDefault="004976C2" w:rsidP="004F1E6B">
            <w:pPr>
              <w:spacing w:after="0"/>
              <w:jc w:val="left"/>
              <w:rPr>
                <w:bCs/>
                <w:sz w:val="18"/>
                <w:szCs w:val="18"/>
                <w:lang w:val="en-US"/>
              </w:rPr>
            </w:pPr>
          </w:p>
          <w:p w14:paraId="1B4F71B7" w14:textId="77777777" w:rsidR="004976C2" w:rsidRDefault="004976C2" w:rsidP="004F1E6B">
            <w:pPr>
              <w:spacing w:after="0"/>
              <w:jc w:val="left"/>
              <w:rPr>
                <w:bCs/>
                <w:sz w:val="18"/>
                <w:szCs w:val="18"/>
                <w:lang w:val="en-US"/>
              </w:rPr>
            </w:pPr>
            <w:r w:rsidRPr="00AB161E">
              <w:rPr>
                <w:bCs/>
                <w:sz w:val="18"/>
                <w:szCs w:val="18"/>
                <w:lang w:val="en-US"/>
              </w:rPr>
              <w:t>None</w:t>
            </w:r>
          </w:p>
          <w:p w14:paraId="51CA3ADB" w14:textId="77777777" w:rsidR="007638DF" w:rsidRDefault="007638DF" w:rsidP="004F1E6B">
            <w:pPr>
              <w:spacing w:after="0"/>
              <w:jc w:val="left"/>
              <w:rPr>
                <w:bCs/>
                <w:sz w:val="18"/>
                <w:szCs w:val="18"/>
                <w:lang w:val="en-US"/>
              </w:rPr>
            </w:pPr>
          </w:p>
          <w:p w14:paraId="5640BCAF" w14:textId="77777777" w:rsidR="007638DF" w:rsidRDefault="007638DF" w:rsidP="004F1E6B">
            <w:pPr>
              <w:spacing w:after="0"/>
              <w:jc w:val="left"/>
              <w:rPr>
                <w:bCs/>
                <w:sz w:val="18"/>
                <w:szCs w:val="18"/>
                <w:lang w:val="en-US"/>
              </w:rPr>
            </w:pPr>
          </w:p>
          <w:p w14:paraId="0291B74A" w14:textId="0C9374FF" w:rsidR="007638DF" w:rsidRPr="00AB161E" w:rsidRDefault="007638DF" w:rsidP="004F1E6B">
            <w:pPr>
              <w:spacing w:after="0"/>
              <w:jc w:val="left"/>
              <w:rPr>
                <w:bCs/>
                <w:sz w:val="18"/>
                <w:szCs w:val="18"/>
                <w:lang w:val="en-US"/>
              </w:rPr>
            </w:pPr>
            <w:r>
              <w:rPr>
                <w:bCs/>
                <w:sz w:val="18"/>
                <w:szCs w:val="18"/>
                <w:lang w:val="en-US"/>
              </w:rPr>
              <w:t>0</w:t>
            </w:r>
          </w:p>
        </w:tc>
        <w:tc>
          <w:tcPr>
            <w:tcW w:w="1276" w:type="dxa"/>
          </w:tcPr>
          <w:p w14:paraId="2B3138B3" w14:textId="77777777" w:rsidR="004976C2" w:rsidRDefault="00F27069" w:rsidP="00B94E8D">
            <w:pPr>
              <w:spacing w:after="0"/>
              <w:jc w:val="left"/>
              <w:rPr>
                <w:bCs/>
                <w:sz w:val="18"/>
                <w:szCs w:val="18"/>
                <w:lang w:val="en-US"/>
              </w:rPr>
            </w:pPr>
            <w:r>
              <w:rPr>
                <w:bCs/>
                <w:sz w:val="18"/>
                <w:szCs w:val="18"/>
                <w:lang w:val="en-US"/>
              </w:rPr>
              <w:t>10 million</w:t>
            </w:r>
          </w:p>
          <w:p w14:paraId="1A58E1F4" w14:textId="77777777" w:rsidR="00F27069" w:rsidRDefault="00F27069" w:rsidP="00B94E8D">
            <w:pPr>
              <w:spacing w:after="0"/>
              <w:jc w:val="left"/>
              <w:rPr>
                <w:bCs/>
                <w:sz w:val="18"/>
                <w:szCs w:val="18"/>
                <w:lang w:val="en-US"/>
              </w:rPr>
            </w:pPr>
          </w:p>
          <w:p w14:paraId="5EE11D96" w14:textId="77777777" w:rsidR="00F27069" w:rsidRDefault="00F27069" w:rsidP="00B94E8D">
            <w:pPr>
              <w:spacing w:after="0"/>
              <w:jc w:val="left"/>
              <w:rPr>
                <w:bCs/>
                <w:sz w:val="18"/>
                <w:szCs w:val="18"/>
                <w:lang w:val="en-US"/>
              </w:rPr>
            </w:pPr>
          </w:p>
          <w:p w14:paraId="7D38FC6C" w14:textId="77777777" w:rsidR="00F27069" w:rsidRDefault="00F27069" w:rsidP="00B94E8D">
            <w:pPr>
              <w:spacing w:after="0"/>
              <w:jc w:val="left"/>
              <w:rPr>
                <w:bCs/>
                <w:sz w:val="18"/>
                <w:szCs w:val="18"/>
                <w:lang w:val="en-US"/>
              </w:rPr>
            </w:pPr>
          </w:p>
          <w:p w14:paraId="0E38C1E2" w14:textId="77777777" w:rsidR="00412510" w:rsidRDefault="00412510" w:rsidP="00B94E8D">
            <w:pPr>
              <w:spacing w:after="0"/>
              <w:jc w:val="left"/>
              <w:rPr>
                <w:bCs/>
                <w:sz w:val="18"/>
                <w:szCs w:val="18"/>
                <w:lang w:val="en-US"/>
              </w:rPr>
            </w:pPr>
            <w:r>
              <w:rPr>
                <w:bCs/>
                <w:sz w:val="18"/>
                <w:szCs w:val="18"/>
                <w:lang w:val="en-US"/>
              </w:rPr>
              <w:t>2 million</w:t>
            </w:r>
          </w:p>
          <w:p w14:paraId="3272BE50" w14:textId="77777777" w:rsidR="00412510" w:rsidRDefault="00412510" w:rsidP="00B94E8D">
            <w:pPr>
              <w:spacing w:after="0"/>
              <w:jc w:val="left"/>
              <w:rPr>
                <w:bCs/>
                <w:sz w:val="18"/>
                <w:szCs w:val="18"/>
                <w:lang w:val="en-US"/>
              </w:rPr>
            </w:pPr>
          </w:p>
          <w:p w14:paraId="76FBDA47" w14:textId="77777777" w:rsidR="00412510" w:rsidRDefault="00412510" w:rsidP="00B94E8D">
            <w:pPr>
              <w:spacing w:after="0"/>
              <w:jc w:val="left"/>
              <w:rPr>
                <w:bCs/>
                <w:sz w:val="18"/>
                <w:szCs w:val="18"/>
                <w:lang w:val="en-US"/>
              </w:rPr>
            </w:pPr>
          </w:p>
          <w:p w14:paraId="36F1C01E" w14:textId="77777777" w:rsidR="00412510" w:rsidRDefault="00412510" w:rsidP="00B94E8D">
            <w:pPr>
              <w:spacing w:after="0"/>
              <w:jc w:val="left"/>
              <w:rPr>
                <w:bCs/>
                <w:sz w:val="18"/>
                <w:szCs w:val="18"/>
                <w:lang w:val="en-US"/>
              </w:rPr>
            </w:pPr>
          </w:p>
          <w:p w14:paraId="73640F25" w14:textId="77777777" w:rsidR="00F27069" w:rsidRDefault="00F27069" w:rsidP="00B94E8D">
            <w:pPr>
              <w:spacing w:after="0"/>
              <w:jc w:val="left"/>
              <w:rPr>
                <w:bCs/>
                <w:sz w:val="18"/>
                <w:szCs w:val="18"/>
                <w:lang w:val="en-US"/>
              </w:rPr>
            </w:pPr>
          </w:p>
          <w:p w14:paraId="0FFC11F0" w14:textId="77777777" w:rsidR="00F27069" w:rsidRDefault="00F27069" w:rsidP="00B94E8D">
            <w:pPr>
              <w:spacing w:after="0"/>
              <w:jc w:val="left"/>
              <w:rPr>
                <w:bCs/>
                <w:sz w:val="18"/>
                <w:szCs w:val="18"/>
                <w:lang w:val="en-US"/>
              </w:rPr>
            </w:pPr>
            <w:r>
              <w:rPr>
                <w:bCs/>
                <w:sz w:val="18"/>
                <w:szCs w:val="18"/>
                <w:lang w:val="en-US"/>
              </w:rPr>
              <w:t>None</w:t>
            </w:r>
          </w:p>
          <w:p w14:paraId="5448D99C" w14:textId="77777777" w:rsidR="007638DF" w:rsidRDefault="007638DF" w:rsidP="00B94E8D">
            <w:pPr>
              <w:spacing w:after="0"/>
              <w:jc w:val="left"/>
              <w:rPr>
                <w:bCs/>
                <w:sz w:val="18"/>
                <w:szCs w:val="18"/>
                <w:lang w:val="en-US"/>
              </w:rPr>
            </w:pPr>
          </w:p>
          <w:p w14:paraId="09D12312" w14:textId="77777777" w:rsidR="007638DF" w:rsidRDefault="007638DF" w:rsidP="00B94E8D">
            <w:pPr>
              <w:spacing w:after="0"/>
              <w:jc w:val="left"/>
              <w:rPr>
                <w:bCs/>
                <w:sz w:val="18"/>
                <w:szCs w:val="18"/>
                <w:lang w:val="en-US"/>
              </w:rPr>
            </w:pPr>
          </w:p>
          <w:p w14:paraId="60A5ECE2" w14:textId="72F46731" w:rsidR="007638DF" w:rsidRPr="007638DF" w:rsidRDefault="007638DF" w:rsidP="00B94E8D">
            <w:pPr>
              <w:spacing w:after="0"/>
              <w:jc w:val="left"/>
              <w:rPr>
                <w:bCs/>
                <w:sz w:val="18"/>
                <w:szCs w:val="18"/>
                <w:lang w:val="en-US"/>
              </w:rPr>
            </w:pPr>
            <w:r>
              <w:rPr>
                <w:bCs/>
                <w:sz w:val="18"/>
                <w:szCs w:val="18"/>
                <w:lang w:val="en-US"/>
              </w:rPr>
              <w:t>55,000 t CO</w:t>
            </w:r>
            <w:r>
              <w:rPr>
                <w:bCs/>
                <w:sz w:val="18"/>
                <w:szCs w:val="18"/>
                <w:lang w:val="en-US"/>
              </w:rPr>
              <w:softHyphen/>
            </w:r>
            <w:r>
              <w:rPr>
                <w:bCs/>
                <w:sz w:val="18"/>
                <w:szCs w:val="18"/>
                <w:vertAlign w:val="subscript"/>
                <w:lang w:val="en-US"/>
              </w:rPr>
              <w:t>2</w:t>
            </w:r>
          </w:p>
        </w:tc>
        <w:tc>
          <w:tcPr>
            <w:tcW w:w="1417" w:type="dxa"/>
          </w:tcPr>
          <w:p w14:paraId="587D906A" w14:textId="77777777" w:rsidR="004976C2" w:rsidRPr="00AB161E" w:rsidRDefault="004976C2" w:rsidP="00B94E8D">
            <w:pPr>
              <w:spacing w:after="0"/>
              <w:jc w:val="left"/>
              <w:rPr>
                <w:bCs/>
                <w:sz w:val="18"/>
                <w:szCs w:val="18"/>
                <w:lang w:val="en-US"/>
              </w:rPr>
            </w:pPr>
            <w:r w:rsidRPr="00AB161E">
              <w:rPr>
                <w:bCs/>
                <w:sz w:val="18"/>
                <w:szCs w:val="18"/>
                <w:lang w:val="en-US"/>
              </w:rPr>
              <w:t xml:space="preserve">44 million </w:t>
            </w:r>
          </w:p>
          <w:p w14:paraId="641A0514" w14:textId="77777777" w:rsidR="004976C2" w:rsidRPr="00AB161E" w:rsidRDefault="004976C2" w:rsidP="00B94E8D">
            <w:pPr>
              <w:spacing w:after="0"/>
              <w:jc w:val="left"/>
              <w:rPr>
                <w:bCs/>
                <w:sz w:val="18"/>
                <w:szCs w:val="18"/>
                <w:lang w:val="en-US"/>
              </w:rPr>
            </w:pPr>
          </w:p>
          <w:p w14:paraId="5541B08C" w14:textId="77777777" w:rsidR="004976C2" w:rsidRPr="00AB161E" w:rsidRDefault="004976C2" w:rsidP="00B94E8D">
            <w:pPr>
              <w:spacing w:after="0"/>
              <w:jc w:val="left"/>
              <w:rPr>
                <w:bCs/>
                <w:sz w:val="18"/>
                <w:szCs w:val="18"/>
                <w:lang w:val="en-US"/>
              </w:rPr>
            </w:pPr>
          </w:p>
          <w:p w14:paraId="541ED45C" w14:textId="77777777" w:rsidR="004976C2" w:rsidRPr="00AB161E" w:rsidRDefault="004976C2" w:rsidP="00B94E8D">
            <w:pPr>
              <w:spacing w:after="0"/>
              <w:jc w:val="left"/>
              <w:rPr>
                <w:bCs/>
                <w:sz w:val="18"/>
                <w:szCs w:val="18"/>
                <w:lang w:val="en-US"/>
              </w:rPr>
            </w:pPr>
          </w:p>
          <w:p w14:paraId="3DC59DAC" w14:textId="77777777" w:rsidR="004976C2" w:rsidRDefault="00412510" w:rsidP="00B94E8D">
            <w:pPr>
              <w:spacing w:after="0"/>
              <w:jc w:val="left"/>
              <w:rPr>
                <w:bCs/>
                <w:sz w:val="18"/>
                <w:szCs w:val="18"/>
                <w:lang w:val="en-US"/>
              </w:rPr>
            </w:pPr>
            <w:r>
              <w:rPr>
                <w:bCs/>
                <w:sz w:val="18"/>
                <w:szCs w:val="18"/>
                <w:lang w:val="en-US"/>
              </w:rPr>
              <w:t>8 million</w:t>
            </w:r>
          </w:p>
          <w:p w14:paraId="613E9790" w14:textId="77777777" w:rsidR="00412510" w:rsidRDefault="00412510" w:rsidP="00B94E8D">
            <w:pPr>
              <w:spacing w:after="0"/>
              <w:jc w:val="left"/>
              <w:rPr>
                <w:bCs/>
                <w:sz w:val="18"/>
                <w:szCs w:val="18"/>
                <w:lang w:val="en-US"/>
              </w:rPr>
            </w:pPr>
          </w:p>
          <w:p w14:paraId="3949657A" w14:textId="77777777" w:rsidR="00412510" w:rsidRDefault="00412510" w:rsidP="00B94E8D">
            <w:pPr>
              <w:spacing w:after="0"/>
              <w:jc w:val="left"/>
              <w:rPr>
                <w:bCs/>
                <w:sz w:val="18"/>
                <w:szCs w:val="18"/>
                <w:lang w:val="en-US"/>
              </w:rPr>
            </w:pPr>
          </w:p>
          <w:p w14:paraId="4FC6BDF4" w14:textId="77777777" w:rsidR="00412510" w:rsidRDefault="00412510" w:rsidP="00B94E8D">
            <w:pPr>
              <w:spacing w:after="0"/>
              <w:jc w:val="left"/>
              <w:rPr>
                <w:bCs/>
                <w:sz w:val="18"/>
                <w:szCs w:val="18"/>
                <w:lang w:val="en-US"/>
              </w:rPr>
            </w:pPr>
          </w:p>
          <w:p w14:paraId="1672222B" w14:textId="77777777" w:rsidR="00412510" w:rsidRPr="00AB161E" w:rsidRDefault="00412510" w:rsidP="00B94E8D">
            <w:pPr>
              <w:spacing w:after="0"/>
              <w:jc w:val="left"/>
              <w:rPr>
                <w:bCs/>
                <w:sz w:val="18"/>
                <w:szCs w:val="18"/>
                <w:lang w:val="en-US"/>
              </w:rPr>
            </w:pPr>
          </w:p>
          <w:p w14:paraId="2527A615" w14:textId="77777777" w:rsidR="004976C2" w:rsidRDefault="004976C2" w:rsidP="00B94E8D">
            <w:pPr>
              <w:spacing w:after="0"/>
              <w:jc w:val="left"/>
              <w:rPr>
                <w:bCs/>
                <w:sz w:val="18"/>
                <w:szCs w:val="18"/>
                <w:lang w:val="en-US"/>
              </w:rPr>
            </w:pPr>
            <w:r w:rsidRPr="00AB161E">
              <w:rPr>
                <w:bCs/>
                <w:sz w:val="18"/>
                <w:szCs w:val="18"/>
                <w:lang w:val="en-US"/>
              </w:rPr>
              <w:t>Strategy developed</w:t>
            </w:r>
          </w:p>
          <w:p w14:paraId="199A9BBD" w14:textId="77777777" w:rsidR="007638DF" w:rsidRDefault="007638DF" w:rsidP="00B94E8D">
            <w:pPr>
              <w:spacing w:after="0"/>
              <w:jc w:val="left"/>
              <w:rPr>
                <w:bCs/>
                <w:sz w:val="18"/>
                <w:szCs w:val="18"/>
                <w:lang w:val="en-US"/>
              </w:rPr>
            </w:pPr>
          </w:p>
          <w:p w14:paraId="33958E02" w14:textId="69C76AB4" w:rsidR="007638DF" w:rsidRPr="00AB161E" w:rsidRDefault="007638DF" w:rsidP="00B94E8D">
            <w:pPr>
              <w:spacing w:after="0"/>
              <w:jc w:val="left"/>
              <w:rPr>
                <w:bCs/>
                <w:sz w:val="18"/>
                <w:szCs w:val="18"/>
                <w:lang w:val="en-US"/>
              </w:rPr>
            </w:pPr>
            <w:r>
              <w:rPr>
                <w:bCs/>
                <w:sz w:val="18"/>
                <w:szCs w:val="18"/>
                <w:lang w:val="en-US"/>
              </w:rPr>
              <w:t xml:space="preserve">275,000 </w:t>
            </w:r>
            <w:r w:rsidRPr="00AB161E">
              <w:rPr>
                <w:bCs/>
                <w:sz w:val="18"/>
                <w:szCs w:val="18"/>
                <w:lang w:val="en-US"/>
              </w:rPr>
              <w:t>t CO</w:t>
            </w:r>
            <w:r w:rsidRPr="00AB161E">
              <w:rPr>
                <w:bCs/>
                <w:sz w:val="18"/>
                <w:szCs w:val="18"/>
                <w:vertAlign w:val="subscript"/>
                <w:lang w:val="en-US"/>
              </w:rPr>
              <w:t>2</w:t>
            </w:r>
          </w:p>
        </w:tc>
        <w:tc>
          <w:tcPr>
            <w:tcW w:w="3686" w:type="dxa"/>
          </w:tcPr>
          <w:p w14:paraId="0B75BA06" w14:textId="77777777" w:rsidR="004976C2" w:rsidRPr="00AB161E" w:rsidRDefault="004976C2" w:rsidP="004F1E6B">
            <w:pPr>
              <w:spacing w:after="0"/>
              <w:jc w:val="left"/>
              <w:rPr>
                <w:bCs/>
                <w:sz w:val="18"/>
                <w:szCs w:val="18"/>
                <w:lang w:val="en-US"/>
              </w:rPr>
            </w:pPr>
            <w:r w:rsidRPr="00AB161E">
              <w:rPr>
                <w:bCs/>
                <w:sz w:val="18"/>
                <w:szCs w:val="18"/>
                <w:lang w:val="en-US"/>
              </w:rPr>
              <w:t>Fund reports</w:t>
            </w:r>
            <w:r w:rsidR="00F27069">
              <w:rPr>
                <w:bCs/>
                <w:sz w:val="18"/>
                <w:szCs w:val="18"/>
                <w:lang w:val="en-US"/>
              </w:rPr>
              <w:t>, Inception, Mid-term and Final report, APR/PIR</w:t>
            </w:r>
          </w:p>
          <w:p w14:paraId="3E6E1CBF" w14:textId="77777777" w:rsidR="004976C2" w:rsidRPr="00AB161E" w:rsidRDefault="004976C2" w:rsidP="004F1E6B">
            <w:pPr>
              <w:spacing w:after="0"/>
              <w:jc w:val="left"/>
              <w:rPr>
                <w:bCs/>
                <w:sz w:val="18"/>
                <w:szCs w:val="18"/>
                <w:lang w:val="en-US"/>
              </w:rPr>
            </w:pPr>
          </w:p>
          <w:p w14:paraId="21519771" w14:textId="77777777" w:rsidR="004976C2" w:rsidRPr="00AB161E" w:rsidRDefault="004976C2" w:rsidP="004F1E6B">
            <w:pPr>
              <w:spacing w:after="0"/>
              <w:jc w:val="left"/>
              <w:rPr>
                <w:bCs/>
                <w:sz w:val="18"/>
                <w:szCs w:val="18"/>
                <w:lang w:val="en-US"/>
              </w:rPr>
            </w:pPr>
          </w:p>
          <w:p w14:paraId="522B8B8A" w14:textId="77777777" w:rsidR="00412510" w:rsidRPr="00AB161E" w:rsidRDefault="00412510" w:rsidP="00412510">
            <w:pPr>
              <w:spacing w:after="0"/>
              <w:jc w:val="left"/>
              <w:rPr>
                <w:bCs/>
                <w:sz w:val="18"/>
                <w:szCs w:val="18"/>
                <w:lang w:val="en-US"/>
              </w:rPr>
            </w:pPr>
            <w:r w:rsidRPr="00AB161E">
              <w:rPr>
                <w:bCs/>
                <w:sz w:val="18"/>
                <w:szCs w:val="18"/>
                <w:lang w:val="en-US"/>
              </w:rPr>
              <w:t>Fund reports</w:t>
            </w:r>
            <w:r>
              <w:rPr>
                <w:bCs/>
                <w:sz w:val="18"/>
                <w:szCs w:val="18"/>
                <w:lang w:val="en-US"/>
              </w:rPr>
              <w:t>, Inception, Mid-term and Final report, APR/PIR</w:t>
            </w:r>
          </w:p>
          <w:p w14:paraId="6B94FD87" w14:textId="77777777" w:rsidR="00412510" w:rsidRDefault="00412510" w:rsidP="004F1E6B">
            <w:pPr>
              <w:spacing w:after="0"/>
              <w:jc w:val="left"/>
              <w:rPr>
                <w:bCs/>
                <w:sz w:val="18"/>
                <w:szCs w:val="18"/>
                <w:lang w:val="en-US"/>
              </w:rPr>
            </w:pPr>
          </w:p>
          <w:p w14:paraId="4DCF206C" w14:textId="77777777" w:rsidR="00412510" w:rsidRDefault="00412510" w:rsidP="004F1E6B">
            <w:pPr>
              <w:spacing w:after="0"/>
              <w:jc w:val="left"/>
              <w:rPr>
                <w:bCs/>
                <w:sz w:val="18"/>
                <w:szCs w:val="18"/>
                <w:lang w:val="en-US"/>
              </w:rPr>
            </w:pPr>
          </w:p>
          <w:p w14:paraId="1E1BBD28" w14:textId="77777777" w:rsidR="00412510" w:rsidRPr="00AB161E" w:rsidRDefault="00412510" w:rsidP="004F1E6B">
            <w:pPr>
              <w:spacing w:after="0"/>
              <w:jc w:val="left"/>
              <w:rPr>
                <w:bCs/>
                <w:sz w:val="18"/>
                <w:szCs w:val="18"/>
                <w:lang w:val="en-US"/>
              </w:rPr>
            </w:pPr>
          </w:p>
          <w:p w14:paraId="18D71F8E" w14:textId="77777777" w:rsidR="004976C2" w:rsidRDefault="00F27069" w:rsidP="00F27069">
            <w:pPr>
              <w:spacing w:after="0"/>
              <w:jc w:val="left"/>
              <w:rPr>
                <w:bCs/>
                <w:sz w:val="18"/>
                <w:szCs w:val="18"/>
                <w:lang w:val="en-US"/>
              </w:rPr>
            </w:pPr>
            <w:r>
              <w:rPr>
                <w:bCs/>
                <w:sz w:val="18"/>
                <w:szCs w:val="18"/>
                <w:lang w:val="en-US"/>
              </w:rPr>
              <w:t>Agreed s</w:t>
            </w:r>
            <w:r w:rsidR="004976C2" w:rsidRPr="00AB161E">
              <w:rPr>
                <w:bCs/>
                <w:sz w:val="18"/>
                <w:szCs w:val="18"/>
                <w:lang w:val="en-US"/>
              </w:rPr>
              <w:t>trategy</w:t>
            </w:r>
            <w:r>
              <w:rPr>
                <w:bCs/>
                <w:sz w:val="18"/>
                <w:szCs w:val="18"/>
                <w:lang w:val="en-US"/>
              </w:rPr>
              <w:t>, Inception, Mid-term and Final report, APR/PIR</w:t>
            </w:r>
          </w:p>
          <w:p w14:paraId="0FE23706" w14:textId="77777777" w:rsidR="007638DF" w:rsidRDefault="007638DF" w:rsidP="00F27069">
            <w:pPr>
              <w:spacing w:after="0"/>
              <w:jc w:val="left"/>
              <w:rPr>
                <w:bCs/>
                <w:sz w:val="18"/>
                <w:szCs w:val="18"/>
                <w:lang w:val="en-US"/>
              </w:rPr>
            </w:pPr>
          </w:p>
          <w:p w14:paraId="29346CEB" w14:textId="746589A3" w:rsidR="007638DF" w:rsidRPr="00AB161E" w:rsidRDefault="007638DF" w:rsidP="00F27069">
            <w:pPr>
              <w:spacing w:after="0"/>
              <w:jc w:val="left"/>
              <w:rPr>
                <w:bCs/>
                <w:sz w:val="18"/>
                <w:szCs w:val="18"/>
                <w:lang w:val="en-US"/>
              </w:rPr>
            </w:pPr>
            <w:r w:rsidRPr="00AB161E">
              <w:rPr>
                <w:bCs/>
                <w:sz w:val="18"/>
                <w:szCs w:val="18"/>
                <w:lang w:val="en-US"/>
              </w:rPr>
              <w:t>Design and commissioning documentation, MRV system</w:t>
            </w:r>
            <w:r>
              <w:rPr>
                <w:bCs/>
                <w:sz w:val="18"/>
                <w:szCs w:val="18"/>
                <w:lang w:val="en-US"/>
              </w:rPr>
              <w:t>, Inception, Mid-term and Final report, APR/PIR</w:t>
            </w:r>
          </w:p>
        </w:tc>
        <w:tc>
          <w:tcPr>
            <w:tcW w:w="2693" w:type="dxa"/>
          </w:tcPr>
          <w:p w14:paraId="5B432E7D" w14:textId="77777777" w:rsidR="004976C2" w:rsidRPr="00AB161E" w:rsidRDefault="004976C2" w:rsidP="004F1E6B">
            <w:pPr>
              <w:spacing w:after="0"/>
              <w:jc w:val="left"/>
              <w:rPr>
                <w:bCs/>
                <w:sz w:val="18"/>
                <w:szCs w:val="18"/>
                <w:lang w:val="en-US"/>
              </w:rPr>
            </w:pPr>
            <w:r w:rsidRPr="00AB161E">
              <w:rPr>
                <w:bCs/>
                <w:sz w:val="18"/>
                <w:szCs w:val="18"/>
                <w:lang w:val="en-US"/>
              </w:rPr>
              <w:t>Bankable projects are identified and banks invest</w:t>
            </w:r>
          </w:p>
        </w:tc>
      </w:tr>
      <w:tr w:rsidR="00E25679" w:rsidRPr="005B5602" w14:paraId="0C807F6D" w14:textId="77777777" w:rsidTr="0038689C">
        <w:tc>
          <w:tcPr>
            <w:tcW w:w="2085" w:type="dxa"/>
            <w:tcBorders>
              <w:bottom w:val="single" w:sz="4" w:space="0" w:color="auto"/>
            </w:tcBorders>
            <w:shd w:val="pct12" w:color="auto" w:fill="auto"/>
          </w:tcPr>
          <w:p w14:paraId="3A31731A" w14:textId="77777777" w:rsidR="00E25679" w:rsidRPr="005B5602" w:rsidRDefault="00E25679" w:rsidP="004F1E6B">
            <w:pPr>
              <w:spacing w:after="0"/>
              <w:jc w:val="left"/>
              <w:rPr>
                <w:b/>
                <w:bCs/>
                <w:sz w:val="18"/>
                <w:szCs w:val="18"/>
                <w:lang w:val="en-US"/>
              </w:rPr>
            </w:pPr>
            <w:r w:rsidRPr="005B5602">
              <w:rPr>
                <w:b/>
                <w:bCs/>
                <w:sz w:val="18"/>
                <w:szCs w:val="18"/>
                <w:lang w:val="en-US"/>
              </w:rPr>
              <w:t>Outcome 4</w:t>
            </w:r>
          </w:p>
          <w:p w14:paraId="16197A86" w14:textId="77777777" w:rsidR="00E25679" w:rsidRPr="005B5602" w:rsidRDefault="00E25679" w:rsidP="004F1E6B">
            <w:pPr>
              <w:spacing w:after="0"/>
              <w:jc w:val="left"/>
              <w:rPr>
                <w:b/>
                <w:bCs/>
                <w:sz w:val="18"/>
                <w:szCs w:val="18"/>
                <w:lang w:val="en-US"/>
              </w:rPr>
            </w:pPr>
            <w:r>
              <w:rPr>
                <w:b/>
                <w:bCs/>
                <w:sz w:val="18"/>
                <w:szCs w:val="18"/>
                <w:lang w:val="en-US"/>
              </w:rPr>
              <w:t>I</w:t>
            </w:r>
            <w:r w:rsidRPr="00BC356B">
              <w:rPr>
                <w:b/>
                <w:bCs/>
                <w:sz w:val="18"/>
                <w:szCs w:val="18"/>
                <w:lang w:val="en-US"/>
              </w:rPr>
              <w:t>dentify and finance a pilot urban mitigation action to demonstrate the feasibility of urban emission reduction for future replication</w:t>
            </w:r>
          </w:p>
        </w:tc>
        <w:tc>
          <w:tcPr>
            <w:tcW w:w="2011" w:type="dxa"/>
            <w:gridSpan w:val="2"/>
            <w:tcBorders>
              <w:bottom w:val="single" w:sz="4" w:space="0" w:color="auto"/>
            </w:tcBorders>
          </w:tcPr>
          <w:p w14:paraId="6A7E247E" w14:textId="77777777" w:rsidR="00E25679" w:rsidRDefault="00E25679" w:rsidP="00F77C3F">
            <w:pPr>
              <w:spacing w:after="0"/>
              <w:jc w:val="left"/>
              <w:rPr>
                <w:bCs/>
                <w:sz w:val="18"/>
                <w:szCs w:val="18"/>
                <w:lang w:val="en-US"/>
              </w:rPr>
            </w:pPr>
            <w:r>
              <w:rPr>
                <w:bCs/>
                <w:sz w:val="18"/>
                <w:szCs w:val="18"/>
                <w:lang w:val="en-US"/>
              </w:rPr>
              <w:t xml:space="preserve">Direct annual </w:t>
            </w:r>
            <w:r w:rsidRPr="00AB161E">
              <w:rPr>
                <w:bCs/>
                <w:sz w:val="18"/>
                <w:szCs w:val="18"/>
                <w:lang w:val="en-US"/>
              </w:rPr>
              <w:t>GHG emission</w:t>
            </w:r>
            <w:r>
              <w:rPr>
                <w:bCs/>
                <w:sz w:val="18"/>
                <w:szCs w:val="18"/>
                <w:lang w:val="en-US"/>
              </w:rPr>
              <w:t xml:space="preserve"> reduction</w:t>
            </w:r>
            <w:r w:rsidRPr="00AB161E">
              <w:rPr>
                <w:bCs/>
                <w:sz w:val="18"/>
                <w:szCs w:val="18"/>
                <w:lang w:val="en-US"/>
              </w:rPr>
              <w:t>s from pilot urban mitigation action</w:t>
            </w:r>
          </w:p>
          <w:p w14:paraId="044AF05C" w14:textId="77777777" w:rsidR="00E25679" w:rsidRDefault="00E25679" w:rsidP="00F77C3F">
            <w:pPr>
              <w:spacing w:after="0"/>
              <w:jc w:val="left"/>
              <w:rPr>
                <w:bCs/>
                <w:sz w:val="18"/>
                <w:szCs w:val="18"/>
                <w:lang w:val="en-US"/>
              </w:rPr>
            </w:pPr>
          </w:p>
          <w:p w14:paraId="49F3B331" w14:textId="77777777" w:rsidR="00E25679" w:rsidRDefault="00E25679" w:rsidP="00F77C3F">
            <w:pPr>
              <w:spacing w:after="0"/>
              <w:jc w:val="left"/>
              <w:rPr>
                <w:bCs/>
                <w:sz w:val="18"/>
                <w:szCs w:val="18"/>
                <w:lang w:val="en-US"/>
              </w:rPr>
            </w:pPr>
            <w:r>
              <w:rPr>
                <w:bCs/>
                <w:sz w:val="18"/>
                <w:szCs w:val="18"/>
                <w:lang w:val="en-US"/>
              </w:rPr>
              <w:t xml:space="preserve">Expected direct lifetime </w:t>
            </w:r>
            <w:r w:rsidRPr="00AB161E">
              <w:rPr>
                <w:bCs/>
                <w:sz w:val="18"/>
                <w:szCs w:val="18"/>
                <w:lang w:val="en-US"/>
              </w:rPr>
              <w:t>GHG emission</w:t>
            </w:r>
            <w:r>
              <w:rPr>
                <w:bCs/>
                <w:sz w:val="18"/>
                <w:szCs w:val="18"/>
                <w:lang w:val="en-US"/>
              </w:rPr>
              <w:t xml:space="preserve"> reduction</w:t>
            </w:r>
            <w:r w:rsidRPr="00AB161E">
              <w:rPr>
                <w:bCs/>
                <w:sz w:val="18"/>
                <w:szCs w:val="18"/>
                <w:lang w:val="en-US"/>
              </w:rPr>
              <w:t>s from pilot urban mitigation action</w:t>
            </w:r>
          </w:p>
          <w:p w14:paraId="252E3A5D" w14:textId="77777777" w:rsidR="00E25679" w:rsidRPr="00AB161E" w:rsidRDefault="00E25679" w:rsidP="00F77C3F">
            <w:pPr>
              <w:spacing w:after="0"/>
              <w:jc w:val="left"/>
              <w:rPr>
                <w:bCs/>
                <w:sz w:val="18"/>
                <w:szCs w:val="18"/>
                <w:lang w:val="en-US"/>
              </w:rPr>
            </w:pPr>
          </w:p>
        </w:tc>
        <w:tc>
          <w:tcPr>
            <w:tcW w:w="1399" w:type="dxa"/>
            <w:tcBorders>
              <w:bottom w:val="single" w:sz="4" w:space="0" w:color="auto"/>
            </w:tcBorders>
          </w:tcPr>
          <w:p w14:paraId="7981DA46" w14:textId="77777777" w:rsidR="00E25679" w:rsidRDefault="00E25679" w:rsidP="004F1E6B">
            <w:pPr>
              <w:spacing w:after="0"/>
              <w:jc w:val="left"/>
              <w:rPr>
                <w:bCs/>
                <w:sz w:val="18"/>
                <w:szCs w:val="18"/>
                <w:lang w:val="en-US"/>
              </w:rPr>
            </w:pPr>
            <w:r>
              <w:rPr>
                <w:bCs/>
                <w:sz w:val="18"/>
                <w:szCs w:val="18"/>
                <w:lang w:val="en-US"/>
              </w:rPr>
              <w:t>0</w:t>
            </w:r>
          </w:p>
          <w:p w14:paraId="059F9D21" w14:textId="77777777" w:rsidR="00E25679" w:rsidRDefault="00E25679" w:rsidP="004F1E6B">
            <w:pPr>
              <w:spacing w:after="0"/>
              <w:jc w:val="left"/>
              <w:rPr>
                <w:bCs/>
                <w:sz w:val="18"/>
                <w:szCs w:val="18"/>
                <w:lang w:val="en-US"/>
              </w:rPr>
            </w:pPr>
          </w:p>
          <w:p w14:paraId="575BAB77" w14:textId="77777777" w:rsidR="00E25679" w:rsidRDefault="00E25679" w:rsidP="004F1E6B">
            <w:pPr>
              <w:spacing w:after="0"/>
              <w:jc w:val="left"/>
              <w:rPr>
                <w:bCs/>
                <w:sz w:val="18"/>
                <w:szCs w:val="18"/>
                <w:lang w:val="en-US"/>
              </w:rPr>
            </w:pPr>
          </w:p>
          <w:p w14:paraId="72CDE213" w14:textId="77777777" w:rsidR="00E25679" w:rsidRDefault="00E25679" w:rsidP="004F1E6B">
            <w:pPr>
              <w:spacing w:after="0"/>
              <w:jc w:val="left"/>
              <w:rPr>
                <w:bCs/>
                <w:sz w:val="18"/>
                <w:szCs w:val="18"/>
                <w:lang w:val="en-US"/>
              </w:rPr>
            </w:pPr>
          </w:p>
          <w:p w14:paraId="5F66D7AE" w14:textId="77777777" w:rsidR="00E25679" w:rsidRDefault="00E25679" w:rsidP="004F1E6B">
            <w:pPr>
              <w:spacing w:after="0"/>
              <w:jc w:val="left"/>
              <w:rPr>
                <w:bCs/>
                <w:sz w:val="18"/>
                <w:szCs w:val="18"/>
                <w:lang w:val="en-US"/>
              </w:rPr>
            </w:pPr>
          </w:p>
          <w:p w14:paraId="076D13E4" w14:textId="77777777" w:rsidR="00E25679" w:rsidRPr="00AB161E" w:rsidRDefault="00E25679" w:rsidP="004F1E6B">
            <w:pPr>
              <w:spacing w:after="0"/>
              <w:jc w:val="left"/>
              <w:rPr>
                <w:bCs/>
                <w:sz w:val="18"/>
                <w:szCs w:val="18"/>
                <w:lang w:val="en-US"/>
              </w:rPr>
            </w:pPr>
            <w:r w:rsidRPr="00AB161E">
              <w:rPr>
                <w:bCs/>
                <w:sz w:val="18"/>
                <w:szCs w:val="18"/>
                <w:lang w:val="en-US"/>
              </w:rPr>
              <w:t>0</w:t>
            </w:r>
          </w:p>
        </w:tc>
        <w:tc>
          <w:tcPr>
            <w:tcW w:w="1276" w:type="dxa"/>
            <w:tcBorders>
              <w:bottom w:val="single" w:sz="4" w:space="0" w:color="auto"/>
            </w:tcBorders>
          </w:tcPr>
          <w:p w14:paraId="7EA0D7F5" w14:textId="302C05C5" w:rsidR="00E25679" w:rsidRDefault="007638DF" w:rsidP="00CF3CD7">
            <w:pPr>
              <w:spacing w:after="0"/>
              <w:jc w:val="left"/>
              <w:rPr>
                <w:bCs/>
                <w:sz w:val="18"/>
                <w:szCs w:val="18"/>
                <w:lang w:val="en-US"/>
              </w:rPr>
            </w:pPr>
            <w:r>
              <w:rPr>
                <w:bCs/>
                <w:sz w:val="18"/>
                <w:szCs w:val="18"/>
                <w:lang w:val="en-US"/>
              </w:rPr>
              <w:t>950</w:t>
            </w:r>
            <w:r w:rsidR="00E25679">
              <w:rPr>
                <w:bCs/>
                <w:sz w:val="18"/>
                <w:szCs w:val="18"/>
                <w:lang w:val="en-US"/>
              </w:rPr>
              <w:t xml:space="preserve"> </w:t>
            </w:r>
            <w:r w:rsidR="00E25679" w:rsidRPr="00AB161E">
              <w:rPr>
                <w:bCs/>
                <w:sz w:val="18"/>
                <w:szCs w:val="18"/>
                <w:lang w:val="en-US"/>
              </w:rPr>
              <w:t>t CO</w:t>
            </w:r>
            <w:r w:rsidR="00E25679" w:rsidRPr="00AB161E">
              <w:rPr>
                <w:bCs/>
                <w:sz w:val="18"/>
                <w:szCs w:val="18"/>
                <w:vertAlign w:val="subscript"/>
                <w:lang w:val="en-US"/>
              </w:rPr>
              <w:t>2</w:t>
            </w:r>
          </w:p>
          <w:p w14:paraId="7B89D2CD" w14:textId="77777777" w:rsidR="00E25679" w:rsidRDefault="00E25679" w:rsidP="00CF3CD7">
            <w:pPr>
              <w:spacing w:after="0"/>
              <w:jc w:val="left"/>
              <w:rPr>
                <w:bCs/>
                <w:sz w:val="18"/>
                <w:szCs w:val="18"/>
                <w:lang w:val="en-US"/>
              </w:rPr>
            </w:pPr>
          </w:p>
          <w:p w14:paraId="71690BF7" w14:textId="77777777" w:rsidR="00E25679" w:rsidRDefault="00E25679" w:rsidP="00CF3CD7">
            <w:pPr>
              <w:spacing w:after="0"/>
              <w:jc w:val="left"/>
              <w:rPr>
                <w:bCs/>
                <w:sz w:val="18"/>
                <w:szCs w:val="18"/>
                <w:lang w:val="en-US"/>
              </w:rPr>
            </w:pPr>
          </w:p>
          <w:p w14:paraId="65FCE88E" w14:textId="77777777" w:rsidR="00E25679" w:rsidRDefault="00E25679" w:rsidP="00CF3CD7">
            <w:pPr>
              <w:spacing w:after="0"/>
              <w:jc w:val="left"/>
              <w:rPr>
                <w:bCs/>
                <w:sz w:val="18"/>
                <w:szCs w:val="18"/>
                <w:lang w:val="en-US"/>
              </w:rPr>
            </w:pPr>
          </w:p>
          <w:p w14:paraId="32728A18" w14:textId="77777777" w:rsidR="00E25679" w:rsidRDefault="00E25679" w:rsidP="00CF3CD7">
            <w:pPr>
              <w:spacing w:after="0"/>
              <w:jc w:val="left"/>
              <w:rPr>
                <w:bCs/>
                <w:sz w:val="18"/>
                <w:szCs w:val="18"/>
                <w:lang w:val="en-US"/>
              </w:rPr>
            </w:pPr>
          </w:p>
          <w:p w14:paraId="6F2893E2" w14:textId="4EFFE25F" w:rsidR="00E25679" w:rsidRDefault="007638DF" w:rsidP="00CF3CD7">
            <w:pPr>
              <w:spacing w:after="0"/>
              <w:jc w:val="left"/>
              <w:rPr>
                <w:bCs/>
                <w:sz w:val="18"/>
                <w:szCs w:val="18"/>
                <w:lang w:val="en-US"/>
              </w:rPr>
            </w:pPr>
            <w:r>
              <w:rPr>
                <w:bCs/>
                <w:sz w:val="18"/>
                <w:szCs w:val="18"/>
                <w:lang w:val="en-US"/>
              </w:rPr>
              <w:t>19</w:t>
            </w:r>
            <w:r w:rsidR="00E25679">
              <w:rPr>
                <w:bCs/>
                <w:sz w:val="18"/>
                <w:szCs w:val="18"/>
                <w:lang w:val="en-US"/>
              </w:rPr>
              <w:t xml:space="preserve">,000 </w:t>
            </w:r>
            <w:r w:rsidR="00E25679" w:rsidRPr="00AB161E">
              <w:rPr>
                <w:bCs/>
                <w:sz w:val="18"/>
                <w:szCs w:val="18"/>
                <w:lang w:val="en-US"/>
              </w:rPr>
              <w:t>t CO</w:t>
            </w:r>
            <w:r w:rsidR="00E25679" w:rsidRPr="00AB161E">
              <w:rPr>
                <w:bCs/>
                <w:sz w:val="18"/>
                <w:szCs w:val="18"/>
                <w:vertAlign w:val="subscript"/>
                <w:lang w:val="en-US"/>
              </w:rPr>
              <w:t>2</w:t>
            </w:r>
            <w:r w:rsidR="00E25679" w:rsidRPr="00AB161E">
              <w:rPr>
                <w:bCs/>
                <w:sz w:val="18"/>
                <w:szCs w:val="18"/>
                <w:lang w:val="en-US"/>
              </w:rPr>
              <w:t xml:space="preserve">  </w:t>
            </w:r>
          </w:p>
        </w:tc>
        <w:tc>
          <w:tcPr>
            <w:tcW w:w="1417" w:type="dxa"/>
            <w:tcBorders>
              <w:bottom w:val="single" w:sz="4" w:space="0" w:color="auto"/>
            </w:tcBorders>
          </w:tcPr>
          <w:p w14:paraId="02BE24CA" w14:textId="77777777" w:rsidR="00E25679" w:rsidRDefault="00E25679" w:rsidP="003B3B2B">
            <w:pPr>
              <w:spacing w:after="0"/>
              <w:jc w:val="left"/>
              <w:rPr>
                <w:bCs/>
                <w:sz w:val="18"/>
                <w:szCs w:val="18"/>
                <w:lang w:val="en-US"/>
              </w:rPr>
            </w:pPr>
            <w:r>
              <w:rPr>
                <w:bCs/>
                <w:sz w:val="18"/>
                <w:szCs w:val="18"/>
                <w:lang w:val="en-US"/>
              </w:rPr>
              <w:t xml:space="preserve">4,750 </w:t>
            </w:r>
            <w:r w:rsidRPr="00AB161E">
              <w:rPr>
                <w:bCs/>
                <w:sz w:val="18"/>
                <w:szCs w:val="18"/>
                <w:lang w:val="en-US"/>
              </w:rPr>
              <w:t>t CO</w:t>
            </w:r>
            <w:r w:rsidRPr="00AB161E">
              <w:rPr>
                <w:bCs/>
                <w:sz w:val="18"/>
                <w:szCs w:val="18"/>
                <w:vertAlign w:val="subscript"/>
                <w:lang w:val="en-US"/>
              </w:rPr>
              <w:t>2</w:t>
            </w:r>
          </w:p>
          <w:p w14:paraId="53960B36" w14:textId="77777777" w:rsidR="00E25679" w:rsidRDefault="00E25679" w:rsidP="003B3B2B">
            <w:pPr>
              <w:spacing w:after="0"/>
              <w:jc w:val="left"/>
              <w:rPr>
                <w:bCs/>
                <w:sz w:val="18"/>
                <w:szCs w:val="18"/>
                <w:lang w:val="en-US"/>
              </w:rPr>
            </w:pPr>
          </w:p>
          <w:p w14:paraId="3E38E871" w14:textId="77777777" w:rsidR="00E25679" w:rsidRDefault="00E25679" w:rsidP="003B3B2B">
            <w:pPr>
              <w:spacing w:after="0"/>
              <w:jc w:val="left"/>
              <w:rPr>
                <w:bCs/>
                <w:sz w:val="18"/>
                <w:szCs w:val="18"/>
                <w:lang w:val="en-US"/>
              </w:rPr>
            </w:pPr>
          </w:p>
          <w:p w14:paraId="283A0F05" w14:textId="77777777" w:rsidR="00E25679" w:rsidRDefault="00E25679" w:rsidP="003B3B2B">
            <w:pPr>
              <w:spacing w:after="0"/>
              <w:jc w:val="left"/>
              <w:rPr>
                <w:bCs/>
                <w:sz w:val="18"/>
                <w:szCs w:val="18"/>
                <w:lang w:val="en-US"/>
              </w:rPr>
            </w:pPr>
          </w:p>
          <w:p w14:paraId="565EEFBB" w14:textId="77777777" w:rsidR="00E25679" w:rsidRDefault="00E25679" w:rsidP="003B3B2B">
            <w:pPr>
              <w:spacing w:after="0"/>
              <w:jc w:val="left"/>
              <w:rPr>
                <w:bCs/>
                <w:sz w:val="18"/>
                <w:szCs w:val="18"/>
                <w:lang w:val="en-US"/>
              </w:rPr>
            </w:pPr>
          </w:p>
          <w:p w14:paraId="131FCCA0" w14:textId="77777777" w:rsidR="00E25679" w:rsidRDefault="00E25679" w:rsidP="003B3B2B">
            <w:pPr>
              <w:spacing w:after="0"/>
              <w:jc w:val="left"/>
              <w:rPr>
                <w:bCs/>
                <w:sz w:val="18"/>
                <w:szCs w:val="18"/>
                <w:lang w:val="en-US"/>
              </w:rPr>
            </w:pPr>
            <w:r>
              <w:rPr>
                <w:bCs/>
                <w:sz w:val="18"/>
                <w:szCs w:val="18"/>
                <w:lang w:val="en-US"/>
              </w:rPr>
              <w:t xml:space="preserve">95,000 </w:t>
            </w:r>
            <w:r w:rsidRPr="00AB161E">
              <w:rPr>
                <w:bCs/>
                <w:sz w:val="18"/>
                <w:szCs w:val="18"/>
                <w:lang w:val="en-US"/>
              </w:rPr>
              <w:t>t CO</w:t>
            </w:r>
            <w:r w:rsidRPr="00AB161E">
              <w:rPr>
                <w:bCs/>
                <w:sz w:val="18"/>
                <w:szCs w:val="18"/>
                <w:vertAlign w:val="subscript"/>
                <w:lang w:val="en-US"/>
              </w:rPr>
              <w:t>2</w:t>
            </w:r>
            <w:r w:rsidRPr="00AB161E">
              <w:rPr>
                <w:bCs/>
                <w:sz w:val="18"/>
                <w:szCs w:val="18"/>
                <w:lang w:val="en-US"/>
              </w:rPr>
              <w:t xml:space="preserve">  </w:t>
            </w:r>
          </w:p>
        </w:tc>
        <w:tc>
          <w:tcPr>
            <w:tcW w:w="3686" w:type="dxa"/>
            <w:tcBorders>
              <w:bottom w:val="single" w:sz="4" w:space="0" w:color="auto"/>
            </w:tcBorders>
          </w:tcPr>
          <w:p w14:paraId="535B0AA8" w14:textId="77777777" w:rsidR="00E25679" w:rsidRDefault="00E25679" w:rsidP="00AB161E">
            <w:pPr>
              <w:spacing w:after="0"/>
              <w:jc w:val="left"/>
              <w:rPr>
                <w:bCs/>
                <w:sz w:val="18"/>
                <w:szCs w:val="18"/>
                <w:lang w:val="en-US"/>
              </w:rPr>
            </w:pPr>
            <w:r w:rsidRPr="00AB161E">
              <w:rPr>
                <w:bCs/>
                <w:sz w:val="18"/>
                <w:szCs w:val="18"/>
                <w:lang w:val="en-US"/>
              </w:rPr>
              <w:t>Design and commissioning documentation, MRV system</w:t>
            </w:r>
            <w:r>
              <w:rPr>
                <w:bCs/>
                <w:sz w:val="18"/>
                <w:szCs w:val="18"/>
                <w:lang w:val="en-US"/>
              </w:rPr>
              <w:t>, Inception, Mid-term and Final report, APR/PIR</w:t>
            </w:r>
          </w:p>
          <w:p w14:paraId="66B4A8B8" w14:textId="77777777" w:rsidR="007638DF" w:rsidRDefault="007638DF" w:rsidP="00AB161E">
            <w:pPr>
              <w:spacing w:after="0"/>
              <w:jc w:val="left"/>
              <w:rPr>
                <w:bCs/>
                <w:sz w:val="18"/>
                <w:szCs w:val="18"/>
                <w:lang w:val="en-US"/>
              </w:rPr>
            </w:pPr>
          </w:p>
          <w:p w14:paraId="3BB984F1" w14:textId="77777777" w:rsidR="007638DF" w:rsidRDefault="007638DF" w:rsidP="00AB161E">
            <w:pPr>
              <w:spacing w:after="0"/>
              <w:jc w:val="left"/>
              <w:rPr>
                <w:bCs/>
                <w:sz w:val="18"/>
                <w:szCs w:val="18"/>
                <w:lang w:val="en-US"/>
              </w:rPr>
            </w:pPr>
          </w:p>
          <w:p w14:paraId="45F9DAFC" w14:textId="572DF32E" w:rsidR="007638DF" w:rsidRPr="00AB161E" w:rsidRDefault="007638DF" w:rsidP="00AB161E">
            <w:pPr>
              <w:spacing w:after="0"/>
              <w:jc w:val="left"/>
              <w:rPr>
                <w:bCs/>
                <w:sz w:val="18"/>
                <w:szCs w:val="18"/>
                <w:lang w:val="en-US"/>
              </w:rPr>
            </w:pPr>
            <w:r w:rsidRPr="00AB161E">
              <w:rPr>
                <w:bCs/>
                <w:sz w:val="18"/>
                <w:szCs w:val="18"/>
                <w:lang w:val="en-US"/>
              </w:rPr>
              <w:t>Design and commissioning documentation, MRV system</w:t>
            </w:r>
            <w:r>
              <w:rPr>
                <w:bCs/>
                <w:sz w:val="18"/>
                <w:szCs w:val="18"/>
                <w:lang w:val="en-US"/>
              </w:rPr>
              <w:t>, Inception, Mid-term and Final report, APR/PIR</w:t>
            </w:r>
          </w:p>
        </w:tc>
        <w:tc>
          <w:tcPr>
            <w:tcW w:w="2693" w:type="dxa"/>
            <w:tcBorders>
              <w:bottom w:val="single" w:sz="4" w:space="0" w:color="auto"/>
            </w:tcBorders>
          </w:tcPr>
          <w:p w14:paraId="1D52CC9E" w14:textId="77777777" w:rsidR="00E25679" w:rsidRPr="00AB161E" w:rsidRDefault="00E25679" w:rsidP="004F1E6B">
            <w:pPr>
              <w:spacing w:after="0"/>
              <w:jc w:val="left"/>
              <w:rPr>
                <w:bCs/>
                <w:sz w:val="18"/>
                <w:szCs w:val="18"/>
                <w:lang w:val="en-US"/>
              </w:rPr>
            </w:pPr>
          </w:p>
        </w:tc>
      </w:tr>
      <w:tr w:rsidR="004976C2" w:rsidRPr="009B7E75" w14:paraId="7724A8D0" w14:textId="77777777" w:rsidTr="0038689C">
        <w:tc>
          <w:tcPr>
            <w:tcW w:w="2085" w:type="dxa"/>
            <w:tcBorders>
              <w:top w:val="single" w:sz="4" w:space="0" w:color="auto"/>
              <w:left w:val="single" w:sz="4" w:space="0" w:color="auto"/>
              <w:bottom w:val="single" w:sz="4" w:space="0" w:color="auto"/>
              <w:right w:val="single" w:sz="4" w:space="0" w:color="auto"/>
            </w:tcBorders>
            <w:shd w:val="clear" w:color="auto" w:fill="auto"/>
          </w:tcPr>
          <w:p w14:paraId="38A52AA7" w14:textId="77777777" w:rsidR="004976C2" w:rsidRPr="005B5602" w:rsidRDefault="004976C2" w:rsidP="009B7E75">
            <w:pPr>
              <w:spacing w:after="0"/>
              <w:jc w:val="left"/>
              <w:rPr>
                <w:b/>
                <w:bCs/>
                <w:sz w:val="18"/>
                <w:szCs w:val="18"/>
                <w:lang w:val="en-US"/>
              </w:rPr>
            </w:pPr>
            <w:r>
              <w:rPr>
                <w:b/>
                <w:bCs/>
                <w:sz w:val="18"/>
                <w:szCs w:val="18"/>
                <w:lang w:val="en-US"/>
              </w:rPr>
              <w:t>Outcome 5a</w:t>
            </w:r>
          </w:p>
          <w:p w14:paraId="33620908" w14:textId="77777777" w:rsidR="004976C2" w:rsidRPr="005B5602" w:rsidRDefault="004976C2" w:rsidP="009B7E75">
            <w:pPr>
              <w:spacing w:after="0"/>
              <w:jc w:val="left"/>
              <w:rPr>
                <w:b/>
                <w:bCs/>
                <w:sz w:val="18"/>
                <w:szCs w:val="18"/>
                <w:lang w:val="en-US"/>
              </w:rPr>
            </w:pPr>
            <w:r w:rsidRPr="00BC356B">
              <w:rPr>
                <w:b/>
                <w:bCs/>
                <w:sz w:val="18"/>
                <w:szCs w:val="18"/>
                <w:lang w:val="en-US"/>
              </w:rPr>
              <w:t>GHG emission reductions of implemented urban NAMAs are systematically monitored, verified and reported</w:t>
            </w:r>
          </w:p>
        </w:tc>
        <w:tc>
          <w:tcPr>
            <w:tcW w:w="2011" w:type="dxa"/>
            <w:gridSpan w:val="2"/>
            <w:tcBorders>
              <w:top w:val="single" w:sz="4" w:space="0" w:color="auto"/>
              <w:left w:val="single" w:sz="4" w:space="0" w:color="auto"/>
              <w:bottom w:val="single" w:sz="4" w:space="0" w:color="auto"/>
              <w:right w:val="single" w:sz="4" w:space="0" w:color="auto"/>
            </w:tcBorders>
            <w:shd w:val="clear" w:color="auto" w:fill="auto"/>
          </w:tcPr>
          <w:p w14:paraId="5E8D47D9" w14:textId="77777777" w:rsidR="004976C2" w:rsidRDefault="004976C2" w:rsidP="009B7E75">
            <w:pPr>
              <w:spacing w:after="0"/>
              <w:jc w:val="left"/>
              <w:rPr>
                <w:bCs/>
                <w:sz w:val="18"/>
                <w:szCs w:val="18"/>
                <w:lang w:val="en-US"/>
              </w:rPr>
            </w:pPr>
            <w:r w:rsidRPr="00AB161E">
              <w:rPr>
                <w:bCs/>
                <w:sz w:val="18"/>
                <w:szCs w:val="18"/>
                <w:lang w:val="en-US"/>
              </w:rPr>
              <w:t>NAMA MRV process allows certified emission reduction credits to be imported into the domestic Emission Trading Scheme</w:t>
            </w:r>
          </w:p>
          <w:p w14:paraId="6D0A4877" w14:textId="77777777" w:rsidR="00312677" w:rsidRDefault="00312677" w:rsidP="009B7E75">
            <w:pPr>
              <w:spacing w:after="0"/>
              <w:jc w:val="left"/>
              <w:rPr>
                <w:bCs/>
                <w:sz w:val="18"/>
                <w:szCs w:val="18"/>
                <w:lang w:val="en-US"/>
              </w:rPr>
            </w:pPr>
          </w:p>
          <w:p w14:paraId="530152DE" w14:textId="71F3420E" w:rsidR="00312677" w:rsidRPr="00AB161E" w:rsidRDefault="00312677" w:rsidP="009B7E75">
            <w:pPr>
              <w:spacing w:after="0"/>
              <w:jc w:val="left"/>
              <w:rPr>
                <w:bCs/>
                <w:sz w:val="18"/>
                <w:szCs w:val="18"/>
                <w:lang w:val="en-US"/>
              </w:rPr>
            </w:pPr>
            <w:r>
              <w:rPr>
                <w:bCs/>
                <w:sz w:val="18"/>
                <w:szCs w:val="18"/>
                <w:lang w:val="en-US"/>
              </w:rPr>
              <w:t>MRV system for urban emissions set up and operational in cities</w:t>
            </w:r>
          </w:p>
        </w:tc>
        <w:tc>
          <w:tcPr>
            <w:tcW w:w="1399" w:type="dxa"/>
            <w:tcBorders>
              <w:top w:val="single" w:sz="4" w:space="0" w:color="auto"/>
              <w:left w:val="single" w:sz="4" w:space="0" w:color="auto"/>
              <w:bottom w:val="single" w:sz="4" w:space="0" w:color="auto"/>
              <w:right w:val="single" w:sz="4" w:space="0" w:color="auto"/>
            </w:tcBorders>
            <w:shd w:val="clear" w:color="auto" w:fill="auto"/>
          </w:tcPr>
          <w:p w14:paraId="1B328ED2" w14:textId="77777777" w:rsidR="004976C2" w:rsidRDefault="004976C2" w:rsidP="004F1E6B">
            <w:pPr>
              <w:spacing w:after="0"/>
              <w:jc w:val="left"/>
              <w:rPr>
                <w:bCs/>
                <w:sz w:val="18"/>
                <w:szCs w:val="18"/>
                <w:lang w:val="en-US"/>
              </w:rPr>
            </w:pPr>
            <w:r w:rsidRPr="00AB161E">
              <w:rPr>
                <w:bCs/>
                <w:sz w:val="18"/>
                <w:szCs w:val="18"/>
                <w:lang w:val="en-US"/>
              </w:rPr>
              <w:t>None</w:t>
            </w:r>
          </w:p>
          <w:p w14:paraId="7D9DC8A8" w14:textId="77777777" w:rsidR="00312677" w:rsidRDefault="00312677" w:rsidP="004F1E6B">
            <w:pPr>
              <w:spacing w:after="0"/>
              <w:jc w:val="left"/>
              <w:rPr>
                <w:bCs/>
                <w:sz w:val="18"/>
                <w:szCs w:val="18"/>
                <w:lang w:val="en-US"/>
              </w:rPr>
            </w:pPr>
          </w:p>
          <w:p w14:paraId="2927C1FB" w14:textId="77777777" w:rsidR="00312677" w:rsidRDefault="00312677" w:rsidP="004F1E6B">
            <w:pPr>
              <w:spacing w:after="0"/>
              <w:jc w:val="left"/>
              <w:rPr>
                <w:bCs/>
                <w:sz w:val="18"/>
                <w:szCs w:val="18"/>
                <w:lang w:val="en-US"/>
              </w:rPr>
            </w:pPr>
          </w:p>
          <w:p w14:paraId="754971B4" w14:textId="77777777" w:rsidR="00312677" w:rsidRDefault="00312677" w:rsidP="004F1E6B">
            <w:pPr>
              <w:spacing w:after="0"/>
              <w:jc w:val="left"/>
              <w:rPr>
                <w:bCs/>
                <w:sz w:val="18"/>
                <w:szCs w:val="18"/>
                <w:lang w:val="en-US"/>
              </w:rPr>
            </w:pPr>
          </w:p>
          <w:p w14:paraId="1D9BF716" w14:textId="77777777" w:rsidR="00312677" w:rsidRDefault="00312677" w:rsidP="004F1E6B">
            <w:pPr>
              <w:spacing w:after="0"/>
              <w:jc w:val="left"/>
              <w:rPr>
                <w:bCs/>
                <w:sz w:val="18"/>
                <w:szCs w:val="18"/>
                <w:lang w:val="en-US"/>
              </w:rPr>
            </w:pPr>
          </w:p>
          <w:p w14:paraId="0362C1AA" w14:textId="77777777" w:rsidR="00312677" w:rsidRDefault="00312677" w:rsidP="004F1E6B">
            <w:pPr>
              <w:spacing w:after="0"/>
              <w:jc w:val="left"/>
              <w:rPr>
                <w:bCs/>
                <w:sz w:val="18"/>
                <w:szCs w:val="18"/>
                <w:lang w:val="en-US"/>
              </w:rPr>
            </w:pPr>
          </w:p>
          <w:p w14:paraId="7EAC52D9" w14:textId="77777777" w:rsidR="00312677" w:rsidRDefault="00312677" w:rsidP="004F1E6B">
            <w:pPr>
              <w:spacing w:after="0"/>
              <w:jc w:val="left"/>
              <w:rPr>
                <w:bCs/>
                <w:sz w:val="18"/>
                <w:szCs w:val="18"/>
                <w:lang w:val="en-US"/>
              </w:rPr>
            </w:pPr>
          </w:p>
          <w:p w14:paraId="33F34299" w14:textId="77777777" w:rsidR="00312677" w:rsidRDefault="00312677" w:rsidP="004F1E6B">
            <w:pPr>
              <w:spacing w:after="0"/>
              <w:jc w:val="left"/>
              <w:rPr>
                <w:bCs/>
                <w:sz w:val="18"/>
                <w:szCs w:val="18"/>
                <w:lang w:val="en-US"/>
              </w:rPr>
            </w:pPr>
          </w:p>
          <w:p w14:paraId="74D4FC1E" w14:textId="164EB37D" w:rsidR="00312677" w:rsidRPr="00AB161E" w:rsidRDefault="00312677" w:rsidP="004F1E6B">
            <w:pPr>
              <w:spacing w:after="0"/>
              <w:jc w:val="left"/>
              <w:rPr>
                <w:bCs/>
                <w:sz w:val="18"/>
                <w:szCs w:val="18"/>
                <w:lang w:val="en-US"/>
              </w:rPr>
            </w:pPr>
            <w:r>
              <w:rPr>
                <w:bCs/>
                <w:sz w:val="18"/>
                <w:szCs w:val="18"/>
                <w:lang w:val="en-US"/>
              </w:rPr>
              <w:t>0</w:t>
            </w:r>
          </w:p>
        </w:tc>
        <w:tc>
          <w:tcPr>
            <w:tcW w:w="1276" w:type="dxa"/>
            <w:tcBorders>
              <w:top w:val="single" w:sz="4" w:space="0" w:color="auto"/>
              <w:left w:val="single" w:sz="4" w:space="0" w:color="auto"/>
              <w:bottom w:val="single" w:sz="4" w:space="0" w:color="auto"/>
              <w:right w:val="single" w:sz="4" w:space="0" w:color="auto"/>
            </w:tcBorders>
          </w:tcPr>
          <w:p w14:paraId="644875F5" w14:textId="77777777" w:rsidR="004976C2" w:rsidRDefault="00F27069" w:rsidP="009B7E75">
            <w:pPr>
              <w:spacing w:after="0"/>
              <w:jc w:val="left"/>
              <w:rPr>
                <w:bCs/>
                <w:sz w:val="18"/>
                <w:szCs w:val="18"/>
                <w:lang w:val="en-US"/>
              </w:rPr>
            </w:pPr>
            <w:r>
              <w:rPr>
                <w:bCs/>
                <w:sz w:val="18"/>
                <w:szCs w:val="18"/>
                <w:lang w:val="en-US"/>
              </w:rPr>
              <w:t>None</w:t>
            </w:r>
          </w:p>
          <w:p w14:paraId="4AE23702" w14:textId="77777777" w:rsidR="00312677" w:rsidRDefault="00312677" w:rsidP="009B7E75">
            <w:pPr>
              <w:spacing w:after="0"/>
              <w:jc w:val="left"/>
              <w:rPr>
                <w:bCs/>
                <w:sz w:val="18"/>
                <w:szCs w:val="18"/>
                <w:lang w:val="en-US"/>
              </w:rPr>
            </w:pPr>
          </w:p>
          <w:p w14:paraId="63651CFE" w14:textId="77777777" w:rsidR="00312677" w:rsidRDefault="00312677" w:rsidP="009B7E75">
            <w:pPr>
              <w:spacing w:after="0"/>
              <w:jc w:val="left"/>
              <w:rPr>
                <w:bCs/>
                <w:sz w:val="18"/>
                <w:szCs w:val="18"/>
                <w:lang w:val="en-US"/>
              </w:rPr>
            </w:pPr>
          </w:p>
          <w:p w14:paraId="3916313D" w14:textId="77777777" w:rsidR="00312677" w:rsidRDefault="00312677" w:rsidP="009B7E75">
            <w:pPr>
              <w:spacing w:after="0"/>
              <w:jc w:val="left"/>
              <w:rPr>
                <w:bCs/>
                <w:sz w:val="18"/>
                <w:szCs w:val="18"/>
                <w:lang w:val="en-US"/>
              </w:rPr>
            </w:pPr>
          </w:p>
          <w:p w14:paraId="236BB965" w14:textId="77777777" w:rsidR="00312677" w:rsidRDefault="00312677" w:rsidP="009B7E75">
            <w:pPr>
              <w:spacing w:after="0"/>
              <w:jc w:val="left"/>
              <w:rPr>
                <w:bCs/>
                <w:sz w:val="18"/>
                <w:szCs w:val="18"/>
                <w:lang w:val="en-US"/>
              </w:rPr>
            </w:pPr>
          </w:p>
          <w:p w14:paraId="76B40F0F" w14:textId="77777777" w:rsidR="00312677" w:rsidRDefault="00312677" w:rsidP="009B7E75">
            <w:pPr>
              <w:spacing w:after="0"/>
              <w:jc w:val="left"/>
              <w:rPr>
                <w:bCs/>
                <w:sz w:val="18"/>
                <w:szCs w:val="18"/>
                <w:lang w:val="en-US"/>
              </w:rPr>
            </w:pPr>
          </w:p>
          <w:p w14:paraId="74B2BB91" w14:textId="77777777" w:rsidR="00312677" w:rsidRDefault="00312677" w:rsidP="009B7E75">
            <w:pPr>
              <w:spacing w:after="0"/>
              <w:jc w:val="left"/>
              <w:rPr>
                <w:bCs/>
                <w:sz w:val="18"/>
                <w:szCs w:val="18"/>
                <w:lang w:val="en-US"/>
              </w:rPr>
            </w:pPr>
          </w:p>
          <w:p w14:paraId="07D292F4" w14:textId="77777777" w:rsidR="00312677" w:rsidRDefault="00312677" w:rsidP="009B7E75">
            <w:pPr>
              <w:spacing w:after="0"/>
              <w:jc w:val="left"/>
              <w:rPr>
                <w:bCs/>
                <w:sz w:val="18"/>
                <w:szCs w:val="18"/>
                <w:lang w:val="en-US"/>
              </w:rPr>
            </w:pPr>
          </w:p>
          <w:p w14:paraId="29D8F333" w14:textId="345C560F" w:rsidR="00312677" w:rsidRPr="00AB161E" w:rsidRDefault="00312677" w:rsidP="009B7E75">
            <w:pPr>
              <w:spacing w:after="0"/>
              <w:jc w:val="left"/>
              <w:rPr>
                <w:bCs/>
                <w:sz w:val="18"/>
                <w:szCs w:val="18"/>
                <w:lang w:val="en-US"/>
              </w:rPr>
            </w:pPr>
            <w:r>
              <w:rPr>
                <w:bCs/>
                <w:sz w:val="18"/>
                <w:szCs w:val="18"/>
                <w:lang w:val="en-US"/>
              </w:rPr>
              <w:t>1</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55E58DC" w14:textId="77777777" w:rsidR="004976C2" w:rsidRDefault="004976C2" w:rsidP="009B7E75">
            <w:pPr>
              <w:spacing w:after="0"/>
              <w:jc w:val="left"/>
              <w:rPr>
                <w:bCs/>
                <w:sz w:val="18"/>
                <w:szCs w:val="18"/>
                <w:lang w:val="en-US"/>
              </w:rPr>
            </w:pPr>
            <w:r w:rsidRPr="00AB161E">
              <w:rPr>
                <w:bCs/>
                <w:sz w:val="18"/>
                <w:szCs w:val="18"/>
                <w:lang w:val="en-US"/>
              </w:rPr>
              <w:t>1 emission reduction purchase agreement signed</w:t>
            </w:r>
          </w:p>
          <w:p w14:paraId="1F83E0D7" w14:textId="77777777" w:rsidR="00312677" w:rsidRDefault="00312677" w:rsidP="009B7E75">
            <w:pPr>
              <w:spacing w:after="0"/>
              <w:jc w:val="left"/>
              <w:rPr>
                <w:bCs/>
                <w:sz w:val="18"/>
                <w:szCs w:val="18"/>
                <w:lang w:val="en-US"/>
              </w:rPr>
            </w:pPr>
          </w:p>
          <w:p w14:paraId="215567AE" w14:textId="77777777" w:rsidR="00312677" w:rsidRDefault="00312677" w:rsidP="009B7E75">
            <w:pPr>
              <w:spacing w:after="0"/>
              <w:jc w:val="left"/>
              <w:rPr>
                <w:bCs/>
                <w:sz w:val="18"/>
                <w:szCs w:val="18"/>
                <w:lang w:val="en-US"/>
              </w:rPr>
            </w:pPr>
          </w:p>
          <w:p w14:paraId="3C7C998C" w14:textId="77777777" w:rsidR="00312677" w:rsidRDefault="00312677" w:rsidP="009B7E75">
            <w:pPr>
              <w:spacing w:after="0"/>
              <w:jc w:val="left"/>
              <w:rPr>
                <w:bCs/>
                <w:sz w:val="18"/>
                <w:szCs w:val="18"/>
                <w:lang w:val="en-US"/>
              </w:rPr>
            </w:pPr>
          </w:p>
          <w:p w14:paraId="02F6BF60" w14:textId="131B71B8" w:rsidR="00312677" w:rsidRPr="00AB161E" w:rsidRDefault="00312677" w:rsidP="009B7E75">
            <w:pPr>
              <w:spacing w:after="0"/>
              <w:jc w:val="left"/>
              <w:rPr>
                <w:bCs/>
                <w:sz w:val="18"/>
                <w:szCs w:val="18"/>
                <w:lang w:val="en-US"/>
              </w:rPr>
            </w:pPr>
            <w:r>
              <w:rPr>
                <w:bCs/>
                <w:sz w:val="18"/>
                <w:szCs w:val="18"/>
                <w:lang w:val="en-US"/>
              </w:rPr>
              <w:t>4</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1EE65BDD" w14:textId="77777777" w:rsidR="004976C2" w:rsidRDefault="004976C2" w:rsidP="004F1E6B">
            <w:pPr>
              <w:spacing w:after="0"/>
              <w:jc w:val="left"/>
              <w:rPr>
                <w:bCs/>
                <w:sz w:val="18"/>
                <w:szCs w:val="18"/>
                <w:lang w:val="en-US"/>
              </w:rPr>
            </w:pPr>
            <w:r w:rsidRPr="00AB161E">
              <w:rPr>
                <w:bCs/>
                <w:sz w:val="18"/>
                <w:szCs w:val="18"/>
                <w:lang w:val="en-US"/>
              </w:rPr>
              <w:t>Resolutions / agreements</w:t>
            </w:r>
            <w:r w:rsidR="00F27069">
              <w:rPr>
                <w:bCs/>
                <w:sz w:val="18"/>
                <w:szCs w:val="18"/>
                <w:lang w:val="en-US"/>
              </w:rPr>
              <w:t>, Inception, Mid-term and Final report, APR/PIR</w:t>
            </w:r>
          </w:p>
          <w:p w14:paraId="065EF3B9" w14:textId="77777777" w:rsidR="00312677" w:rsidRDefault="00312677" w:rsidP="004F1E6B">
            <w:pPr>
              <w:spacing w:after="0"/>
              <w:jc w:val="left"/>
              <w:rPr>
                <w:bCs/>
                <w:sz w:val="18"/>
                <w:szCs w:val="18"/>
                <w:lang w:val="en-US"/>
              </w:rPr>
            </w:pPr>
          </w:p>
          <w:p w14:paraId="03B8A9CC" w14:textId="77777777" w:rsidR="00312677" w:rsidRDefault="00312677" w:rsidP="004F1E6B">
            <w:pPr>
              <w:spacing w:after="0"/>
              <w:jc w:val="left"/>
              <w:rPr>
                <w:bCs/>
                <w:sz w:val="18"/>
                <w:szCs w:val="18"/>
                <w:lang w:val="en-US"/>
              </w:rPr>
            </w:pPr>
          </w:p>
          <w:p w14:paraId="5E56A351" w14:textId="77777777" w:rsidR="00312677" w:rsidRDefault="00312677" w:rsidP="004F1E6B">
            <w:pPr>
              <w:spacing w:after="0"/>
              <w:jc w:val="left"/>
              <w:rPr>
                <w:bCs/>
                <w:sz w:val="18"/>
                <w:szCs w:val="18"/>
                <w:lang w:val="en-US"/>
              </w:rPr>
            </w:pPr>
          </w:p>
          <w:p w14:paraId="3CC43AB6" w14:textId="77777777" w:rsidR="00312677" w:rsidRDefault="00312677" w:rsidP="004F1E6B">
            <w:pPr>
              <w:spacing w:after="0"/>
              <w:jc w:val="left"/>
              <w:rPr>
                <w:bCs/>
                <w:sz w:val="18"/>
                <w:szCs w:val="18"/>
                <w:lang w:val="en-US"/>
              </w:rPr>
            </w:pPr>
          </w:p>
          <w:p w14:paraId="4F0D1B41" w14:textId="77777777" w:rsidR="00312677" w:rsidRDefault="00312677" w:rsidP="004F1E6B">
            <w:pPr>
              <w:spacing w:after="0"/>
              <w:jc w:val="left"/>
              <w:rPr>
                <w:bCs/>
                <w:sz w:val="18"/>
                <w:szCs w:val="18"/>
                <w:lang w:val="en-US"/>
              </w:rPr>
            </w:pPr>
          </w:p>
          <w:p w14:paraId="44DB5CDD" w14:textId="77777777" w:rsidR="00312677" w:rsidRDefault="00312677" w:rsidP="004F1E6B">
            <w:pPr>
              <w:spacing w:after="0"/>
              <w:jc w:val="left"/>
              <w:rPr>
                <w:bCs/>
                <w:sz w:val="18"/>
                <w:szCs w:val="18"/>
                <w:lang w:val="en-US"/>
              </w:rPr>
            </w:pPr>
          </w:p>
          <w:p w14:paraId="4F18832A" w14:textId="2E86525E" w:rsidR="00312677" w:rsidRPr="00AB161E" w:rsidRDefault="00312677" w:rsidP="004F1E6B">
            <w:pPr>
              <w:spacing w:after="0"/>
              <w:jc w:val="left"/>
              <w:rPr>
                <w:bCs/>
                <w:sz w:val="18"/>
                <w:szCs w:val="18"/>
                <w:lang w:val="en-US"/>
              </w:rPr>
            </w:pPr>
            <w:r>
              <w:rPr>
                <w:bCs/>
                <w:sz w:val="18"/>
                <w:szCs w:val="18"/>
                <w:lang w:val="en-US"/>
              </w:rPr>
              <w:t>MRV reports</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7A6CD26D" w14:textId="77777777" w:rsidR="004976C2" w:rsidRPr="00AB161E" w:rsidRDefault="004976C2" w:rsidP="00590685">
            <w:pPr>
              <w:spacing w:after="0"/>
              <w:jc w:val="left"/>
              <w:rPr>
                <w:bCs/>
                <w:sz w:val="18"/>
                <w:szCs w:val="18"/>
                <w:lang w:val="en-US"/>
              </w:rPr>
            </w:pPr>
            <w:r w:rsidRPr="00AB161E">
              <w:rPr>
                <w:bCs/>
                <w:sz w:val="18"/>
                <w:szCs w:val="18"/>
                <w:lang w:val="en-US"/>
              </w:rPr>
              <w:t>The domestic ETS continues to function</w:t>
            </w:r>
          </w:p>
          <w:p w14:paraId="3BD18D38" w14:textId="77777777" w:rsidR="004976C2" w:rsidRPr="00AB161E" w:rsidRDefault="004976C2" w:rsidP="00590685">
            <w:pPr>
              <w:spacing w:after="0"/>
              <w:jc w:val="left"/>
              <w:rPr>
                <w:bCs/>
                <w:sz w:val="18"/>
                <w:szCs w:val="18"/>
                <w:lang w:val="en-US"/>
              </w:rPr>
            </w:pPr>
          </w:p>
          <w:p w14:paraId="71236D4A" w14:textId="77777777" w:rsidR="004976C2" w:rsidRPr="00AB161E" w:rsidRDefault="004976C2" w:rsidP="00590685">
            <w:pPr>
              <w:spacing w:after="0"/>
              <w:jc w:val="left"/>
              <w:rPr>
                <w:bCs/>
                <w:sz w:val="18"/>
                <w:szCs w:val="18"/>
                <w:lang w:val="en-US"/>
              </w:rPr>
            </w:pPr>
            <w:r w:rsidRPr="00AB161E">
              <w:rPr>
                <w:bCs/>
                <w:sz w:val="18"/>
                <w:szCs w:val="18"/>
                <w:lang w:val="en-US"/>
              </w:rPr>
              <w:t>Political will exists to establish mechanisms to import credits into domestic ETS</w:t>
            </w:r>
          </w:p>
        </w:tc>
      </w:tr>
      <w:tr w:rsidR="004976C2" w:rsidRPr="009B7E75" w14:paraId="24CA3BCE" w14:textId="77777777" w:rsidTr="0038689C">
        <w:tc>
          <w:tcPr>
            <w:tcW w:w="2085" w:type="dxa"/>
            <w:tcBorders>
              <w:top w:val="single" w:sz="4" w:space="0" w:color="auto"/>
              <w:left w:val="single" w:sz="4" w:space="0" w:color="auto"/>
              <w:bottom w:val="single" w:sz="4" w:space="0" w:color="auto"/>
              <w:right w:val="single" w:sz="4" w:space="0" w:color="auto"/>
            </w:tcBorders>
            <w:shd w:val="clear" w:color="auto" w:fill="auto"/>
          </w:tcPr>
          <w:p w14:paraId="546D3A5C" w14:textId="77777777" w:rsidR="004976C2" w:rsidRPr="005B5602" w:rsidRDefault="004976C2" w:rsidP="009B7E75">
            <w:pPr>
              <w:spacing w:after="0"/>
              <w:jc w:val="left"/>
              <w:rPr>
                <w:b/>
                <w:bCs/>
                <w:sz w:val="18"/>
                <w:szCs w:val="18"/>
                <w:lang w:val="en-US"/>
              </w:rPr>
            </w:pPr>
            <w:r>
              <w:rPr>
                <w:b/>
                <w:bCs/>
                <w:sz w:val="18"/>
                <w:szCs w:val="18"/>
                <w:lang w:val="en-US"/>
              </w:rPr>
              <w:t>Outcome 5b</w:t>
            </w:r>
          </w:p>
          <w:p w14:paraId="7D64AC91" w14:textId="77777777" w:rsidR="004976C2" w:rsidRPr="005B5602" w:rsidRDefault="004976C2" w:rsidP="009B7E75">
            <w:pPr>
              <w:spacing w:after="0"/>
              <w:jc w:val="left"/>
              <w:rPr>
                <w:b/>
                <w:bCs/>
                <w:sz w:val="18"/>
                <w:szCs w:val="18"/>
                <w:lang w:val="en-US"/>
              </w:rPr>
            </w:pPr>
            <w:r w:rsidRPr="00BC356B">
              <w:rPr>
                <w:b/>
                <w:bCs/>
                <w:sz w:val="18"/>
                <w:szCs w:val="18"/>
                <w:lang w:val="en-US"/>
              </w:rPr>
              <w:t>Kazakh cities and towns are aware of, and have access to, information and guidance on urban NAMAs</w:t>
            </w:r>
          </w:p>
        </w:tc>
        <w:tc>
          <w:tcPr>
            <w:tcW w:w="2011" w:type="dxa"/>
            <w:gridSpan w:val="2"/>
            <w:tcBorders>
              <w:top w:val="single" w:sz="4" w:space="0" w:color="auto"/>
              <w:left w:val="single" w:sz="4" w:space="0" w:color="auto"/>
              <w:bottom w:val="single" w:sz="4" w:space="0" w:color="auto"/>
              <w:right w:val="single" w:sz="4" w:space="0" w:color="auto"/>
            </w:tcBorders>
            <w:shd w:val="clear" w:color="auto" w:fill="auto"/>
          </w:tcPr>
          <w:p w14:paraId="1A3D2C04" w14:textId="77777777" w:rsidR="004976C2" w:rsidRPr="00AB161E" w:rsidRDefault="004976C2" w:rsidP="00590685">
            <w:pPr>
              <w:spacing w:after="0"/>
              <w:jc w:val="left"/>
              <w:rPr>
                <w:bCs/>
                <w:sz w:val="18"/>
                <w:szCs w:val="18"/>
                <w:lang w:val="en-US"/>
              </w:rPr>
            </w:pPr>
            <w:r w:rsidRPr="00AB161E">
              <w:rPr>
                <w:bCs/>
                <w:sz w:val="18"/>
                <w:szCs w:val="18"/>
                <w:lang w:val="en-US"/>
              </w:rPr>
              <w:t xml:space="preserve">Awareness index to be defined in inception workshop incorporating </w:t>
            </w:r>
            <w:r w:rsidR="00E25679">
              <w:rPr>
                <w:bCs/>
                <w:sz w:val="18"/>
                <w:szCs w:val="18"/>
                <w:lang w:val="en-US"/>
              </w:rPr>
              <w:t>knowledge and ‘use of knowledge’ factors at city/town level</w:t>
            </w:r>
          </w:p>
        </w:tc>
        <w:tc>
          <w:tcPr>
            <w:tcW w:w="1399" w:type="dxa"/>
            <w:tcBorders>
              <w:top w:val="single" w:sz="4" w:space="0" w:color="auto"/>
              <w:left w:val="single" w:sz="4" w:space="0" w:color="auto"/>
              <w:bottom w:val="single" w:sz="4" w:space="0" w:color="auto"/>
              <w:right w:val="single" w:sz="4" w:space="0" w:color="auto"/>
            </w:tcBorders>
            <w:shd w:val="clear" w:color="auto" w:fill="auto"/>
          </w:tcPr>
          <w:p w14:paraId="37CE5A50" w14:textId="14002604" w:rsidR="004976C2" w:rsidRPr="00AB161E" w:rsidRDefault="004976C2" w:rsidP="0038689C">
            <w:pPr>
              <w:spacing w:after="0"/>
              <w:jc w:val="left"/>
              <w:rPr>
                <w:bCs/>
                <w:sz w:val="18"/>
                <w:szCs w:val="18"/>
                <w:lang w:val="en-US"/>
              </w:rPr>
            </w:pPr>
            <w:r w:rsidRPr="00AB161E">
              <w:rPr>
                <w:bCs/>
                <w:sz w:val="18"/>
                <w:szCs w:val="18"/>
                <w:lang w:val="en-US"/>
              </w:rPr>
              <w:t xml:space="preserve">Awareness index, </w:t>
            </w:r>
            <w:r w:rsidR="0038689C">
              <w:rPr>
                <w:bCs/>
                <w:sz w:val="18"/>
                <w:szCs w:val="18"/>
                <w:lang w:val="en-US"/>
              </w:rPr>
              <w:t>&amp;</w:t>
            </w:r>
            <w:r w:rsidRPr="00AB161E">
              <w:rPr>
                <w:bCs/>
                <w:sz w:val="18"/>
                <w:szCs w:val="18"/>
                <w:lang w:val="en-US"/>
              </w:rPr>
              <w:t xml:space="preserve"> baseline established through survey of cities </w:t>
            </w:r>
            <w:r w:rsidR="0038689C">
              <w:rPr>
                <w:bCs/>
                <w:sz w:val="18"/>
                <w:szCs w:val="18"/>
                <w:lang w:val="en-US"/>
              </w:rPr>
              <w:t>&amp;</w:t>
            </w:r>
            <w:r w:rsidRPr="00AB161E">
              <w:rPr>
                <w:bCs/>
                <w:sz w:val="18"/>
                <w:szCs w:val="18"/>
                <w:lang w:val="en-US"/>
              </w:rPr>
              <w:t xml:space="preserve"> towns</w:t>
            </w:r>
          </w:p>
        </w:tc>
        <w:tc>
          <w:tcPr>
            <w:tcW w:w="1276" w:type="dxa"/>
            <w:tcBorders>
              <w:top w:val="single" w:sz="4" w:space="0" w:color="auto"/>
              <w:left w:val="single" w:sz="4" w:space="0" w:color="auto"/>
              <w:bottom w:val="single" w:sz="4" w:space="0" w:color="auto"/>
              <w:right w:val="single" w:sz="4" w:space="0" w:color="auto"/>
            </w:tcBorders>
          </w:tcPr>
          <w:p w14:paraId="026B8622" w14:textId="77777777" w:rsidR="004976C2" w:rsidRPr="00AB161E" w:rsidRDefault="00F27069" w:rsidP="009B7E75">
            <w:pPr>
              <w:spacing w:after="0"/>
              <w:jc w:val="left"/>
              <w:rPr>
                <w:bCs/>
                <w:sz w:val="18"/>
                <w:szCs w:val="18"/>
                <w:lang w:val="en-US"/>
              </w:rPr>
            </w:pPr>
            <w:r>
              <w:rPr>
                <w:bCs/>
                <w:sz w:val="18"/>
                <w:szCs w:val="18"/>
                <w:lang w:val="en-US"/>
              </w:rPr>
              <w:t>Awareness index increased by 50%</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2057C5F" w14:textId="77777777" w:rsidR="004976C2" w:rsidRPr="00AB161E" w:rsidRDefault="004976C2" w:rsidP="009B7E75">
            <w:pPr>
              <w:spacing w:after="0"/>
              <w:jc w:val="left"/>
              <w:rPr>
                <w:bCs/>
                <w:sz w:val="18"/>
                <w:szCs w:val="18"/>
                <w:lang w:val="en-US"/>
              </w:rPr>
            </w:pPr>
            <w:r w:rsidRPr="00AB161E">
              <w:rPr>
                <w:bCs/>
                <w:sz w:val="18"/>
                <w:szCs w:val="18"/>
                <w:lang w:val="en-US"/>
              </w:rPr>
              <w:t>Awareness index doubled</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5781474B" w14:textId="77777777" w:rsidR="004976C2" w:rsidRPr="00AB161E" w:rsidRDefault="004976C2" w:rsidP="009B7E75">
            <w:pPr>
              <w:spacing w:after="0"/>
              <w:jc w:val="left"/>
              <w:rPr>
                <w:bCs/>
                <w:sz w:val="18"/>
                <w:szCs w:val="18"/>
                <w:lang w:val="en-US"/>
              </w:rPr>
            </w:pPr>
            <w:r w:rsidRPr="00AB161E">
              <w:rPr>
                <w:bCs/>
                <w:sz w:val="18"/>
                <w:szCs w:val="18"/>
                <w:lang w:val="en-US"/>
              </w:rPr>
              <w:t>Survey results</w:t>
            </w:r>
            <w:r w:rsidR="00F27069">
              <w:rPr>
                <w:bCs/>
                <w:sz w:val="18"/>
                <w:szCs w:val="18"/>
                <w:lang w:val="en-US"/>
              </w:rPr>
              <w:t>, Inception, Mid-term and Final report, APR/PIR</w:t>
            </w:r>
          </w:p>
        </w:tc>
        <w:tc>
          <w:tcPr>
            <w:tcW w:w="2693" w:type="dxa"/>
            <w:tcBorders>
              <w:top w:val="single" w:sz="4" w:space="0" w:color="auto"/>
              <w:left w:val="single" w:sz="4" w:space="0" w:color="auto"/>
              <w:bottom w:val="single" w:sz="4" w:space="0" w:color="auto"/>
              <w:right w:val="single" w:sz="4" w:space="0" w:color="auto"/>
            </w:tcBorders>
            <w:shd w:val="clear" w:color="auto" w:fill="auto"/>
          </w:tcPr>
          <w:p w14:paraId="1598DFB1" w14:textId="77777777" w:rsidR="004976C2" w:rsidRPr="00AB161E" w:rsidRDefault="004976C2" w:rsidP="009B7E75">
            <w:pPr>
              <w:spacing w:after="0"/>
              <w:jc w:val="left"/>
              <w:rPr>
                <w:bCs/>
                <w:sz w:val="18"/>
                <w:szCs w:val="18"/>
                <w:lang w:val="en-US"/>
              </w:rPr>
            </w:pPr>
          </w:p>
        </w:tc>
      </w:tr>
    </w:tbl>
    <w:p w14:paraId="2962CF8B" w14:textId="64BF262B" w:rsidR="00E1433A" w:rsidRPr="001317A1" w:rsidRDefault="00E1433A" w:rsidP="001317A1">
      <w:pPr>
        <w:pStyle w:val="Heading1"/>
        <w:rPr>
          <w:lang w:val="en-US"/>
        </w:rPr>
      </w:pPr>
      <w:bookmarkStart w:id="66" w:name="_Toc393449002"/>
      <w:r w:rsidRPr="001317A1">
        <w:rPr>
          <w:lang w:val="en-US"/>
        </w:rPr>
        <w:t>Total budget and workplan</w:t>
      </w:r>
      <w:bookmarkEnd w:id="66"/>
    </w:p>
    <w:p w14:paraId="4EC0D0DA" w14:textId="77777777" w:rsidR="00E1433A" w:rsidRPr="005B5602" w:rsidRDefault="00E1433A" w:rsidP="00E1433A">
      <w:pPr>
        <w:jc w:val="center"/>
        <w:rPr>
          <w:b/>
          <w:sz w:val="18"/>
          <w:szCs w:val="18"/>
          <w:lang w:val="en-US"/>
        </w:rPr>
      </w:pPr>
    </w:p>
    <w:tbl>
      <w:tblPr>
        <w:tblW w:w="144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170"/>
        <w:gridCol w:w="7110"/>
      </w:tblGrid>
      <w:tr w:rsidR="00E1433A" w:rsidRPr="005B5602" w14:paraId="31FA3A48" w14:textId="77777777">
        <w:trPr>
          <w:cantSplit/>
        </w:trPr>
        <w:tc>
          <w:tcPr>
            <w:tcW w:w="2520" w:type="dxa"/>
            <w:shd w:val="clear" w:color="auto" w:fill="auto"/>
            <w:noWrap/>
            <w:vAlign w:val="bottom"/>
          </w:tcPr>
          <w:p w14:paraId="56190E5D" w14:textId="77777777" w:rsidR="00E1433A" w:rsidRPr="005B5602" w:rsidRDefault="00E1433A" w:rsidP="005751FA">
            <w:pPr>
              <w:rPr>
                <w:rFonts w:eastAsia="SimSun"/>
                <w:sz w:val="18"/>
                <w:szCs w:val="18"/>
                <w:lang w:val="en-US"/>
              </w:rPr>
            </w:pPr>
            <w:r w:rsidRPr="005B5602">
              <w:rPr>
                <w:rFonts w:eastAsia="SimSun"/>
                <w:b/>
                <w:bCs/>
                <w:sz w:val="18"/>
                <w:szCs w:val="18"/>
                <w:lang w:val="en-US"/>
              </w:rPr>
              <w:t xml:space="preserve">Award ID:  </w:t>
            </w:r>
          </w:p>
        </w:tc>
        <w:tc>
          <w:tcPr>
            <w:tcW w:w="3600" w:type="dxa"/>
            <w:shd w:val="clear" w:color="auto" w:fill="auto"/>
            <w:vAlign w:val="bottom"/>
          </w:tcPr>
          <w:p w14:paraId="1A48F774" w14:textId="5EBA03F4" w:rsidR="00E1433A" w:rsidRPr="005B5602" w:rsidRDefault="00DA7596" w:rsidP="005751FA">
            <w:pPr>
              <w:rPr>
                <w:rFonts w:eastAsia="SimSun"/>
                <w:bCs/>
                <w:i/>
                <w:sz w:val="18"/>
                <w:szCs w:val="18"/>
                <w:lang w:val="en-US"/>
              </w:rPr>
            </w:pPr>
            <w:r w:rsidRPr="00DA7596">
              <w:rPr>
                <w:rFonts w:eastAsia="SimSun"/>
                <w:bCs/>
                <w:i/>
                <w:sz w:val="18"/>
                <w:szCs w:val="18"/>
                <w:lang w:val="en-US"/>
              </w:rPr>
              <w:t>00082364</w:t>
            </w:r>
          </w:p>
        </w:tc>
        <w:tc>
          <w:tcPr>
            <w:tcW w:w="1170" w:type="dxa"/>
            <w:shd w:val="clear" w:color="auto" w:fill="auto"/>
            <w:vAlign w:val="bottom"/>
          </w:tcPr>
          <w:p w14:paraId="7C49E5AB" w14:textId="3910B8F2" w:rsidR="00E1433A" w:rsidRPr="005B5602" w:rsidRDefault="00226791" w:rsidP="005751FA">
            <w:pPr>
              <w:rPr>
                <w:rFonts w:eastAsia="SimSun"/>
                <w:bCs/>
                <w:sz w:val="18"/>
                <w:szCs w:val="18"/>
                <w:lang w:val="en-US"/>
              </w:rPr>
            </w:pPr>
            <w:r>
              <w:rPr>
                <w:rFonts w:eastAsia="SimSun"/>
                <w:bCs/>
                <w:sz w:val="18"/>
                <w:szCs w:val="18"/>
                <w:lang w:val="en-US"/>
              </w:rPr>
              <w:t>Project ID</w:t>
            </w:r>
            <w:r w:rsidR="00E1433A" w:rsidRPr="005B5602">
              <w:rPr>
                <w:rFonts w:eastAsia="SimSun"/>
                <w:bCs/>
                <w:sz w:val="18"/>
                <w:szCs w:val="18"/>
                <w:lang w:val="en-US"/>
              </w:rPr>
              <w:t>:</w:t>
            </w:r>
          </w:p>
        </w:tc>
        <w:tc>
          <w:tcPr>
            <w:tcW w:w="7110" w:type="dxa"/>
            <w:shd w:val="clear" w:color="auto" w:fill="auto"/>
            <w:vAlign w:val="bottom"/>
          </w:tcPr>
          <w:p w14:paraId="39FCCABB" w14:textId="67934998" w:rsidR="00E1433A" w:rsidRPr="005B5602" w:rsidRDefault="00DA7596" w:rsidP="005751FA">
            <w:pPr>
              <w:rPr>
                <w:rFonts w:eastAsia="SimSun"/>
                <w:bCs/>
                <w:i/>
                <w:sz w:val="18"/>
                <w:szCs w:val="18"/>
                <w:lang w:val="en-US"/>
              </w:rPr>
            </w:pPr>
            <w:r w:rsidRPr="00DA7596">
              <w:rPr>
                <w:rFonts w:eastAsia="SimSun"/>
                <w:bCs/>
                <w:i/>
                <w:sz w:val="18"/>
                <w:szCs w:val="18"/>
                <w:lang w:val="en-US"/>
              </w:rPr>
              <w:t>00091328</w:t>
            </w:r>
          </w:p>
        </w:tc>
      </w:tr>
      <w:tr w:rsidR="00E1433A" w:rsidRPr="005B5602" w14:paraId="07D5E032" w14:textId="77777777">
        <w:trPr>
          <w:cantSplit/>
        </w:trPr>
        <w:tc>
          <w:tcPr>
            <w:tcW w:w="2520" w:type="dxa"/>
            <w:shd w:val="clear" w:color="auto" w:fill="auto"/>
            <w:noWrap/>
            <w:vAlign w:val="bottom"/>
          </w:tcPr>
          <w:p w14:paraId="679AA788" w14:textId="77777777" w:rsidR="00E1433A" w:rsidRPr="005B5602" w:rsidRDefault="00E1433A" w:rsidP="005751FA">
            <w:pPr>
              <w:rPr>
                <w:rFonts w:eastAsia="SimSun"/>
                <w:sz w:val="18"/>
                <w:szCs w:val="18"/>
                <w:lang w:val="en-US"/>
              </w:rPr>
            </w:pPr>
            <w:r w:rsidRPr="005B5602">
              <w:rPr>
                <w:rFonts w:eastAsia="SimSun"/>
                <w:b/>
                <w:sz w:val="18"/>
                <w:szCs w:val="18"/>
                <w:lang w:val="en-US"/>
              </w:rPr>
              <w:t>Award Title:</w:t>
            </w:r>
          </w:p>
        </w:tc>
        <w:tc>
          <w:tcPr>
            <w:tcW w:w="11880" w:type="dxa"/>
            <w:gridSpan w:val="3"/>
            <w:shd w:val="clear" w:color="auto" w:fill="auto"/>
            <w:noWrap/>
            <w:vAlign w:val="bottom"/>
          </w:tcPr>
          <w:p w14:paraId="331A0245" w14:textId="77777777" w:rsidR="00E1433A" w:rsidRPr="005B5602" w:rsidRDefault="00BB3E79" w:rsidP="005751FA">
            <w:pPr>
              <w:rPr>
                <w:rFonts w:eastAsia="SimSun"/>
                <w:bCs/>
                <w:sz w:val="18"/>
                <w:szCs w:val="18"/>
                <w:lang w:val="en-US"/>
              </w:rPr>
            </w:pPr>
            <w:r w:rsidRPr="00BB3E79">
              <w:rPr>
                <w:rFonts w:eastAsia="SimSun"/>
                <w:sz w:val="18"/>
                <w:szCs w:val="18"/>
                <w:lang w:val="en-US"/>
              </w:rPr>
              <w:t>PIMS 4670 CC FSP: Kazakhstan Sustainable Cities</w:t>
            </w:r>
          </w:p>
        </w:tc>
      </w:tr>
      <w:tr w:rsidR="00E1433A" w:rsidRPr="005B5602" w14:paraId="42774523" w14:textId="77777777">
        <w:trPr>
          <w:cantSplit/>
        </w:trPr>
        <w:tc>
          <w:tcPr>
            <w:tcW w:w="2520" w:type="dxa"/>
            <w:shd w:val="clear" w:color="auto" w:fill="auto"/>
            <w:noWrap/>
            <w:vAlign w:val="bottom"/>
          </w:tcPr>
          <w:p w14:paraId="33068A73" w14:textId="77777777" w:rsidR="00E1433A" w:rsidRPr="005B5602" w:rsidRDefault="00E1433A" w:rsidP="005751FA">
            <w:pPr>
              <w:rPr>
                <w:rFonts w:eastAsia="SimSun"/>
                <w:b/>
                <w:bCs/>
                <w:sz w:val="18"/>
                <w:szCs w:val="18"/>
                <w:lang w:val="en-US"/>
              </w:rPr>
            </w:pPr>
            <w:r w:rsidRPr="005B5602">
              <w:rPr>
                <w:rFonts w:eastAsia="SimSun"/>
                <w:b/>
                <w:bCs/>
                <w:sz w:val="18"/>
                <w:szCs w:val="18"/>
                <w:lang w:val="en-US"/>
              </w:rPr>
              <w:t>Business Unit:</w:t>
            </w:r>
          </w:p>
        </w:tc>
        <w:tc>
          <w:tcPr>
            <w:tcW w:w="11880" w:type="dxa"/>
            <w:gridSpan w:val="3"/>
            <w:shd w:val="clear" w:color="auto" w:fill="auto"/>
            <w:noWrap/>
            <w:vAlign w:val="bottom"/>
          </w:tcPr>
          <w:p w14:paraId="1CFA1EAB" w14:textId="77777777" w:rsidR="00E1433A" w:rsidRPr="005B5602" w:rsidRDefault="00BB3E79" w:rsidP="005751FA">
            <w:pPr>
              <w:rPr>
                <w:rFonts w:eastAsia="SimSun"/>
                <w:bCs/>
                <w:i/>
                <w:sz w:val="18"/>
                <w:szCs w:val="18"/>
                <w:lang w:val="en-US"/>
              </w:rPr>
            </w:pPr>
            <w:r w:rsidRPr="00BB3E79">
              <w:rPr>
                <w:rFonts w:eastAsia="SimSun"/>
                <w:bCs/>
                <w:i/>
                <w:sz w:val="18"/>
                <w:szCs w:val="18"/>
                <w:lang w:val="en-US"/>
              </w:rPr>
              <w:t>KAZ10</w:t>
            </w:r>
          </w:p>
        </w:tc>
      </w:tr>
      <w:tr w:rsidR="00E1433A" w:rsidRPr="005B5602" w14:paraId="688422E3" w14:textId="77777777">
        <w:trPr>
          <w:cantSplit/>
        </w:trPr>
        <w:tc>
          <w:tcPr>
            <w:tcW w:w="2520" w:type="dxa"/>
            <w:tcBorders>
              <w:bottom w:val="single" w:sz="4" w:space="0" w:color="auto"/>
            </w:tcBorders>
            <w:shd w:val="clear" w:color="auto" w:fill="auto"/>
            <w:noWrap/>
            <w:vAlign w:val="bottom"/>
          </w:tcPr>
          <w:p w14:paraId="74A42056" w14:textId="77777777" w:rsidR="00E1433A" w:rsidRPr="005B5602" w:rsidRDefault="00E1433A" w:rsidP="005751FA">
            <w:pPr>
              <w:rPr>
                <w:rFonts w:eastAsia="SimSun"/>
                <w:b/>
                <w:bCs/>
                <w:sz w:val="18"/>
                <w:szCs w:val="18"/>
                <w:lang w:val="en-US"/>
              </w:rPr>
            </w:pPr>
            <w:r w:rsidRPr="005B5602">
              <w:rPr>
                <w:rFonts w:eastAsia="SimSun"/>
                <w:b/>
                <w:sz w:val="18"/>
                <w:szCs w:val="18"/>
                <w:lang w:val="en-US"/>
              </w:rPr>
              <w:t>Project Title:</w:t>
            </w:r>
          </w:p>
        </w:tc>
        <w:tc>
          <w:tcPr>
            <w:tcW w:w="11880" w:type="dxa"/>
            <w:gridSpan w:val="3"/>
            <w:shd w:val="clear" w:color="auto" w:fill="auto"/>
            <w:noWrap/>
            <w:vAlign w:val="bottom"/>
          </w:tcPr>
          <w:p w14:paraId="57796E2A" w14:textId="77777777" w:rsidR="00E1433A" w:rsidRPr="005B5602" w:rsidRDefault="00BB3E79" w:rsidP="005751FA">
            <w:pPr>
              <w:rPr>
                <w:rFonts w:eastAsia="SimSun"/>
                <w:bCs/>
                <w:sz w:val="18"/>
                <w:szCs w:val="18"/>
                <w:lang w:val="en-US"/>
              </w:rPr>
            </w:pPr>
            <w:r w:rsidRPr="00BB3E79">
              <w:rPr>
                <w:rFonts w:eastAsia="SimSun"/>
                <w:sz w:val="18"/>
                <w:szCs w:val="18"/>
                <w:lang w:val="en-US"/>
              </w:rPr>
              <w:t>Nationally Appropriate Mitigation Actions for Low-carbon Urban Development</w:t>
            </w:r>
          </w:p>
        </w:tc>
      </w:tr>
      <w:tr w:rsidR="00E1433A" w:rsidRPr="005B5602" w14:paraId="6E88E02C" w14:textId="77777777">
        <w:trPr>
          <w:cantSplit/>
        </w:trPr>
        <w:tc>
          <w:tcPr>
            <w:tcW w:w="2520" w:type="dxa"/>
            <w:shd w:val="clear" w:color="auto" w:fill="auto"/>
            <w:noWrap/>
            <w:vAlign w:val="bottom"/>
          </w:tcPr>
          <w:p w14:paraId="303B524E" w14:textId="77777777" w:rsidR="00E1433A" w:rsidRPr="005B5602" w:rsidRDefault="00E1433A" w:rsidP="00BB3E79">
            <w:pPr>
              <w:rPr>
                <w:rFonts w:eastAsia="SimSun"/>
                <w:b/>
                <w:sz w:val="18"/>
                <w:szCs w:val="18"/>
                <w:lang w:val="en-US"/>
              </w:rPr>
            </w:pPr>
            <w:r w:rsidRPr="005B5602">
              <w:rPr>
                <w:rFonts w:eastAsia="SimSun"/>
                <w:b/>
                <w:sz w:val="18"/>
                <w:szCs w:val="18"/>
                <w:lang w:val="en-US"/>
              </w:rPr>
              <w:t>PIMS no.</w:t>
            </w:r>
            <w:r w:rsidR="00BB3E79">
              <w:rPr>
                <w:rFonts w:eastAsia="SimSun"/>
                <w:b/>
                <w:sz w:val="18"/>
                <w:szCs w:val="18"/>
                <w:lang w:val="en-US"/>
              </w:rPr>
              <w:t xml:space="preserve"> </w:t>
            </w:r>
            <w:r w:rsidR="00BB3E79" w:rsidRPr="00BB3E79">
              <w:rPr>
                <w:rFonts w:ascii="Times New Roman" w:hAnsi="Times New Roman"/>
                <w:b/>
                <w:bCs/>
                <w:color w:val="000000"/>
                <w:sz w:val="18"/>
                <w:szCs w:val="18"/>
                <w:lang w:eastAsia="en-GB"/>
              </w:rPr>
              <w:t>4670</w:t>
            </w:r>
          </w:p>
        </w:tc>
        <w:tc>
          <w:tcPr>
            <w:tcW w:w="11880" w:type="dxa"/>
            <w:gridSpan w:val="3"/>
            <w:shd w:val="clear" w:color="auto" w:fill="auto"/>
            <w:noWrap/>
            <w:vAlign w:val="bottom"/>
          </w:tcPr>
          <w:p w14:paraId="6ED14D21" w14:textId="77777777" w:rsidR="00E1433A" w:rsidRPr="005B5602" w:rsidRDefault="00BB3E79" w:rsidP="005751FA">
            <w:pPr>
              <w:rPr>
                <w:rFonts w:eastAsia="SimSun"/>
                <w:i/>
                <w:sz w:val="18"/>
                <w:szCs w:val="18"/>
                <w:lang w:val="en-US"/>
              </w:rPr>
            </w:pPr>
            <w:r w:rsidRPr="00BB3E79">
              <w:rPr>
                <w:rFonts w:eastAsia="SimSun"/>
                <w:i/>
                <w:sz w:val="18"/>
                <w:szCs w:val="18"/>
                <w:lang w:val="en-US"/>
              </w:rPr>
              <w:t>4670</w:t>
            </w:r>
          </w:p>
        </w:tc>
      </w:tr>
      <w:tr w:rsidR="00E1433A" w:rsidRPr="005B5602" w14:paraId="372BED9F" w14:textId="77777777">
        <w:trPr>
          <w:cantSplit/>
        </w:trPr>
        <w:tc>
          <w:tcPr>
            <w:tcW w:w="2520" w:type="dxa"/>
            <w:shd w:val="clear" w:color="auto" w:fill="auto"/>
            <w:noWrap/>
            <w:vAlign w:val="bottom"/>
          </w:tcPr>
          <w:p w14:paraId="140CFB7D" w14:textId="77777777" w:rsidR="00E1433A" w:rsidRPr="005B5602" w:rsidRDefault="00E1433A" w:rsidP="005751FA">
            <w:pPr>
              <w:jc w:val="left"/>
              <w:rPr>
                <w:rFonts w:eastAsia="SimSun"/>
                <w:sz w:val="18"/>
                <w:szCs w:val="18"/>
                <w:lang w:val="en-US"/>
              </w:rPr>
            </w:pPr>
            <w:r w:rsidRPr="005B5602">
              <w:rPr>
                <w:rFonts w:eastAsia="SimSun"/>
                <w:b/>
                <w:sz w:val="18"/>
                <w:szCs w:val="18"/>
                <w:lang w:val="en-US"/>
              </w:rPr>
              <w:t xml:space="preserve">Implementing Partner  (Executing Agency) </w:t>
            </w:r>
          </w:p>
        </w:tc>
        <w:tc>
          <w:tcPr>
            <w:tcW w:w="11880" w:type="dxa"/>
            <w:gridSpan w:val="3"/>
            <w:shd w:val="clear" w:color="auto" w:fill="auto"/>
            <w:vAlign w:val="bottom"/>
          </w:tcPr>
          <w:p w14:paraId="5118957E" w14:textId="77777777" w:rsidR="00E1433A" w:rsidRPr="005B5602" w:rsidRDefault="00BB3E79" w:rsidP="005751FA">
            <w:pPr>
              <w:rPr>
                <w:rFonts w:eastAsia="SimSun"/>
                <w:bCs/>
                <w:sz w:val="18"/>
                <w:szCs w:val="18"/>
                <w:lang w:val="en-US"/>
              </w:rPr>
            </w:pPr>
            <w:r w:rsidRPr="00BB3E79">
              <w:rPr>
                <w:rFonts w:eastAsia="SimSun"/>
                <w:sz w:val="18"/>
                <w:szCs w:val="18"/>
                <w:lang w:val="en-US"/>
              </w:rPr>
              <w:t>Government of Kazakhstan: Ministry of Regional Development</w:t>
            </w:r>
          </w:p>
        </w:tc>
      </w:tr>
    </w:tbl>
    <w:p w14:paraId="2B47C75A" w14:textId="77777777" w:rsidR="00E1433A" w:rsidRDefault="00E1433A" w:rsidP="00E1433A">
      <w:pPr>
        <w:rPr>
          <w:sz w:val="18"/>
          <w:szCs w:val="18"/>
          <w:lang w:val="en-US"/>
        </w:rPr>
      </w:pPr>
    </w:p>
    <w:tbl>
      <w:tblPr>
        <w:tblW w:w="14474" w:type="dxa"/>
        <w:tblInd w:w="93" w:type="dxa"/>
        <w:tblLayout w:type="fixed"/>
        <w:tblLook w:val="04A0" w:firstRow="1" w:lastRow="0" w:firstColumn="1" w:lastColumn="0" w:noHBand="0" w:noVBand="1"/>
      </w:tblPr>
      <w:tblGrid>
        <w:gridCol w:w="1716"/>
        <w:gridCol w:w="709"/>
        <w:gridCol w:w="851"/>
        <w:gridCol w:w="708"/>
        <w:gridCol w:w="993"/>
        <w:gridCol w:w="2126"/>
        <w:gridCol w:w="1134"/>
        <w:gridCol w:w="1134"/>
        <w:gridCol w:w="1134"/>
        <w:gridCol w:w="992"/>
        <w:gridCol w:w="992"/>
        <w:gridCol w:w="1134"/>
        <w:gridCol w:w="851"/>
      </w:tblGrid>
      <w:tr w:rsidR="000C4743" w:rsidRPr="000C4743" w14:paraId="760EDD45" w14:textId="77777777" w:rsidTr="006F7397">
        <w:trPr>
          <w:trHeight w:val="960"/>
        </w:trPr>
        <w:tc>
          <w:tcPr>
            <w:tcW w:w="17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79252" w14:textId="77777777" w:rsidR="000C4743" w:rsidRPr="000C4743" w:rsidRDefault="000C4743" w:rsidP="000C4743">
            <w:pPr>
              <w:spacing w:after="0"/>
              <w:jc w:val="center"/>
              <w:rPr>
                <w:rFonts w:ascii="Times New Roman" w:hAnsi="Times New Roman"/>
                <w:b/>
                <w:bCs/>
                <w:color w:val="000000"/>
                <w:sz w:val="18"/>
                <w:szCs w:val="18"/>
                <w:lang w:eastAsia="en-GB"/>
              </w:rPr>
            </w:pPr>
            <w:r w:rsidRPr="000C4743">
              <w:rPr>
                <w:rFonts w:ascii="Times New Roman" w:hAnsi="Times New Roman"/>
                <w:b/>
                <w:bCs/>
                <w:color w:val="000000"/>
                <w:sz w:val="18"/>
                <w:szCs w:val="18"/>
                <w:lang w:eastAsia="en-GB"/>
              </w:rPr>
              <w:t>GEF Outcome/Atlas Activity</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4C7550B2" w14:textId="77777777" w:rsidR="000C4743" w:rsidRPr="000C4743" w:rsidRDefault="000C4743" w:rsidP="000C4743">
            <w:pPr>
              <w:spacing w:after="0"/>
              <w:jc w:val="center"/>
              <w:rPr>
                <w:rFonts w:ascii="Times New Roman" w:hAnsi="Times New Roman"/>
                <w:b/>
                <w:bCs/>
                <w:color w:val="000000"/>
                <w:sz w:val="18"/>
                <w:szCs w:val="18"/>
                <w:lang w:eastAsia="en-GB"/>
              </w:rPr>
            </w:pPr>
            <w:r w:rsidRPr="000C4743">
              <w:rPr>
                <w:rFonts w:ascii="Times New Roman" w:hAnsi="Times New Roman"/>
                <w:b/>
                <w:bCs/>
                <w:color w:val="000000"/>
                <w:sz w:val="18"/>
                <w:szCs w:val="18"/>
                <w:lang w:eastAsia="en-GB"/>
              </w:rPr>
              <w:t>Responsible Party/ Implementing Agent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4BA58EB6" w14:textId="77777777" w:rsidR="000C4743" w:rsidRPr="000C4743" w:rsidRDefault="000C4743" w:rsidP="000C4743">
            <w:pPr>
              <w:spacing w:after="0"/>
              <w:jc w:val="center"/>
              <w:rPr>
                <w:rFonts w:ascii="Times New Roman" w:hAnsi="Times New Roman"/>
                <w:b/>
                <w:bCs/>
                <w:color w:val="000000"/>
                <w:sz w:val="18"/>
                <w:szCs w:val="18"/>
                <w:lang w:eastAsia="en-GB"/>
              </w:rPr>
            </w:pPr>
            <w:r w:rsidRPr="000C4743">
              <w:rPr>
                <w:rFonts w:ascii="Times New Roman" w:hAnsi="Times New Roman"/>
                <w:b/>
                <w:bCs/>
                <w:color w:val="000000"/>
                <w:sz w:val="18"/>
                <w:szCs w:val="18"/>
                <w:lang w:eastAsia="en-GB"/>
              </w:rPr>
              <w:t>Fund ID</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2960B1FD" w14:textId="77777777" w:rsidR="000C4743" w:rsidRPr="000C4743" w:rsidRDefault="000C4743" w:rsidP="000C4743">
            <w:pPr>
              <w:spacing w:after="0"/>
              <w:jc w:val="center"/>
              <w:rPr>
                <w:rFonts w:ascii="Times New Roman" w:hAnsi="Times New Roman"/>
                <w:b/>
                <w:bCs/>
                <w:color w:val="000000"/>
                <w:sz w:val="18"/>
                <w:szCs w:val="18"/>
                <w:lang w:eastAsia="en-GB"/>
              </w:rPr>
            </w:pPr>
            <w:r w:rsidRPr="000C4743">
              <w:rPr>
                <w:rFonts w:ascii="Times New Roman" w:hAnsi="Times New Roman"/>
                <w:b/>
                <w:bCs/>
                <w:color w:val="000000"/>
                <w:sz w:val="18"/>
                <w:szCs w:val="18"/>
                <w:lang w:eastAsia="en-GB"/>
              </w:rPr>
              <w:t>Donor Name</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7D98F087" w14:textId="77777777" w:rsidR="000C4743" w:rsidRPr="000C4743" w:rsidRDefault="000C4743" w:rsidP="000C4743">
            <w:pPr>
              <w:spacing w:after="0"/>
              <w:jc w:val="center"/>
              <w:rPr>
                <w:rFonts w:ascii="Times New Roman" w:hAnsi="Times New Roman"/>
                <w:b/>
                <w:bCs/>
                <w:color w:val="000000"/>
                <w:sz w:val="18"/>
                <w:szCs w:val="18"/>
                <w:lang w:eastAsia="en-GB"/>
              </w:rPr>
            </w:pPr>
            <w:r w:rsidRPr="000C4743">
              <w:rPr>
                <w:rFonts w:ascii="Times New Roman" w:hAnsi="Times New Roman"/>
                <w:b/>
                <w:bCs/>
                <w:color w:val="000000"/>
                <w:sz w:val="18"/>
                <w:szCs w:val="18"/>
                <w:lang w:eastAsia="en-GB"/>
              </w:rPr>
              <w:t>Atlas Budgetary Account Code</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6F505F08" w14:textId="77777777" w:rsidR="000C4743" w:rsidRPr="000C4743" w:rsidRDefault="000C4743" w:rsidP="000C4743">
            <w:pPr>
              <w:spacing w:after="0"/>
              <w:jc w:val="center"/>
              <w:rPr>
                <w:rFonts w:ascii="Times New Roman" w:hAnsi="Times New Roman"/>
                <w:b/>
                <w:bCs/>
                <w:color w:val="000000"/>
                <w:sz w:val="18"/>
                <w:szCs w:val="18"/>
                <w:lang w:eastAsia="en-GB"/>
              </w:rPr>
            </w:pPr>
            <w:r w:rsidRPr="000C4743">
              <w:rPr>
                <w:rFonts w:ascii="Times New Roman" w:hAnsi="Times New Roman"/>
                <w:b/>
                <w:bCs/>
                <w:color w:val="000000"/>
                <w:sz w:val="18"/>
                <w:szCs w:val="18"/>
                <w:lang w:eastAsia="en-GB"/>
              </w:rPr>
              <w:t>Atlas Budget Description/ Input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95A96A3" w14:textId="77777777" w:rsidR="000C4743" w:rsidRPr="000C4743" w:rsidRDefault="000C4743" w:rsidP="008653D7">
            <w:pPr>
              <w:spacing w:after="0"/>
              <w:jc w:val="center"/>
              <w:rPr>
                <w:rFonts w:ascii="Times New Roman" w:hAnsi="Times New Roman"/>
                <w:b/>
                <w:bCs/>
                <w:sz w:val="18"/>
                <w:szCs w:val="18"/>
                <w:lang w:eastAsia="en-GB"/>
              </w:rPr>
            </w:pPr>
            <w:r w:rsidRPr="000C4743">
              <w:rPr>
                <w:rFonts w:ascii="Times New Roman" w:hAnsi="Times New Roman"/>
                <w:b/>
                <w:bCs/>
                <w:sz w:val="18"/>
                <w:szCs w:val="18"/>
                <w:lang w:eastAsia="en-GB"/>
              </w:rPr>
              <w:t xml:space="preserve">Amount (USD)       Year 1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2351D83D" w14:textId="77777777" w:rsidR="000C4743" w:rsidRPr="000C4743" w:rsidRDefault="000C4743" w:rsidP="008653D7">
            <w:pPr>
              <w:spacing w:after="0"/>
              <w:jc w:val="center"/>
              <w:rPr>
                <w:rFonts w:ascii="Times New Roman" w:hAnsi="Times New Roman"/>
                <w:b/>
                <w:bCs/>
                <w:sz w:val="18"/>
                <w:szCs w:val="18"/>
                <w:lang w:eastAsia="en-GB"/>
              </w:rPr>
            </w:pPr>
            <w:r w:rsidRPr="000C4743">
              <w:rPr>
                <w:rFonts w:ascii="Times New Roman" w:hAnsi="Times New Roman"/>
                <w:b/>
                <w:bCs/>
                <w:sz w:val="18"/>
                <w:szCs w:val="18"/>
                <w:lang w:eastAsia="en-GB"/>
              </w:rPr>
              <w:t xml:space="preserve">Amount (USD)       Year 2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5E15ABA" w14:textId="77777777" w:rsidR="000C4743" w:rsidRPr="000C4743" w:rsidRDefault="000C4743" w:rsidP="008653D7">
            <w:pPr>
              <w:spacing w:after="0"/>
              <w:jc w:val="center"/>
              <w:rPr>
                <w:rFonts w:ascii="Times New Roman" w:hAnsi="Times New Roman"/>
                <w:b/>
                <w:bCs/>
                <w:sz w:val="18"/>
                <w:szCs w:val="18"/>
                <w:lang w:eastAsia="en-GB"/>
              </w:rPr>
            </w:pPr>
            <w:r w:rsidRPr="000C4743">
              <w:rPr>
                <w:rFonts w:ascii="Times New Roman" w:hAnsi="Times New Roman"/>
                <w:b/>
                <w:bCs/>
                <w:sz w:val="18"/>
                <w:szCs w:val="18"/>
                <w:lang w:eastAsia="en-GB"/>
              </w:rPr>
              <w:t xml:space="preserve">Amount (USD)       Year 3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01625EC0" w14:textId="77777777" w:rsidR="000C4743" w:rsidRPr="000C4743" w:rsidRDefault="000C4743" w:rsidP="008653D7">
            <w:pPr>
              <w:spacing w:after="0"/>
              <w:jc w:val="center"/>
              <w:rPr>
                <w:rFonts w:ascii="Times New Roman" w:hAnsi="Times New Roman"/>
                <w:b/>
                <w:bCs/>
                <w:sz w:val="18"/>
                <w:szCs w:val="18"/>
                <w:lang w:eastAsia="en-GB"/>
              </w:rPr>
            </w:pPr>
            <w:r w:rsidRPr="000C4743">
              <w:rPr>
                <w:rFonts w:ascii="Times New Roman" w:hAnsi="Times New Roman"/>
                <w:b/>
                <w:bCs/>
                <w:sz w:val="18"/>
                <w:szCs w:val="18"/>
                <w:lang w:eastAsia="en-GB"/>
              </w:rPr>
              <w:t xml:space="preserve">Amount (USD)       Year 4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5D9A2AC" w14:textId="77777777" w:rsidR="000C4743" w:rsidRPr="000C4743" w:rsidRDefault="000C4743" w:rsidP="008653D7">
            <w:pPr>
              <w:spacing w:after="0"/>
              <w:jc w:val="center"/>
              <w:rPr>
                <w:rFonts w:ascii="Times New Roman" w:hAnsi="Times New Roman"/>
                <w:b/>
                <w:bCs/>
                <w:sz w:val="18"/>
                <w:szCs w:val="18"/>
                <w:lang w:eastAsia="en-GB"/>
              </w:rPr>
            </w:pPr>
            <w:r w:rsidRPr="000C4743">
              <w:rPr>
                <w:rFonts w:ascii="Times New Roman" w:hAnsi="Times New Roman"/>
                <w:b/>
                <w:bCs/>
                <w:sz w:val="18"/>
                <w:szCs w:val="18"/>
                <w:lang w:eastAsia="en-GB"/>
              </w:rPr>
              <w:t xml:space="preserve">Amount (USD)       Year 5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9427FCB" w14:textId="77777777" w:rsidR="000C4743" w:rsidRPr="000C4743" w:rsidRDefault="000C4743" w:rsidP="000C4743">
            <w:pPr>
              <w:spacing w:after="0"/>
              <w:jc w:val="center"/>
              <w:rPr>
                <w:rFonts w:ascii="Times New Roman" w:hAnsi="Times New Roman"/>
                <w:b/>
                <w:bCs/>
                <w:sz w:val="18"/>
                <w:szCs w:val="18"/>
                <w:lang w:eastAsia="en-GB"/>
              </w:rPr>
            </w:pPr>
            <w:r w:rsidRPr="000C4743">
              <w:rPr>
                <w:rFonts w:ascii="Times New Roman" w:hAnsi="Times New Roman"/>
                <w:b/>
                <w:bCs/>
                <w:sz w:val="18"/>
                <w:szCs w:val="18"/>
                <w:lang w:eastAsia="en-GB"/>
              </w:rPr>
              <w:t>Total (USD)</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072D75DA" w14:textId="77777777" w:rsidR="000C4743" w:rsidRPr="000C4743" w:rsidRDefault="000C4743" w:rsidP="000C4743">
            <w:pPr>
              <w:spacing w:after="0"/>
              <w:jc w:val="center"/>
              <w:rPr>
                <w:rFonts w:ascii="Times New Roman" w:hAnsi="Times New Roman"/>
                <w:b/>
                <w:bCs/>
                <w:sz w:val="18"/>
                <w:szCs w:val="18"/>
                <w:lang w:eastAsia="en-GB"/>
              </w:rPr>
            </w:pPr>
            <w:r w:rsidRPr="000C4743">
              <w:rPr>
                <w:rFonts w:ascii="Times New Roman" w:hAnsi="Times New Roman"/>
                <w:b/>
                <w:bCs/>
                <w:sz w:val="18"/>
                <w:szCs w:val="18"/>
                <w:lang w:eastAsia="en-GB"/>
              </w:rPr>
              <w:t>Budget notes</w:t>
            </w:r>
          </w:p>
        </w:tc>
      </w:tr>
      <w:tr w:rsidR="00C06B91" w:rsidRPr="000C4743" w14:paraId="502EDA7B" w14:textId="77777777" w:rsidTr="006F7397">
        <w:trPr>
          <w:trHeight w:val="255"/>
        </w:trPr>
        <w:tc>
          <w:tcPr>
            <w:tcW w:w="1716" w:type="dxa"/>
            <w:vMerge w:val="restart"/>
            <w:tcBorders>
              <w:top w:val="nil"/>
              <w:left w:val="single" w:sz="4" w:space="0" w:color="auto"/>
              <w:bottom w:val="single" w:sz="4" w:space="0" w:color="000000"/>
              <w:right w:val="single" w:sz="4" w:space="0" w:color="auto"/>
            </w:tcBorders>
            <w:shd w:val="clear" w:color="auto" w:fill="auto"/>
            <w:vAlign w:val="center"/>
            <w:hideMark/>
          </w:tcPr>
          <w:p w14:paraId="334B9F4C" w14:textId="77777777" w:rsidR="00C06B91" w:rsidRPr="000C4743" w:rsidRDefault="00C06B91" w:rsidP="000C4743">
            <w:pPr>
              <w:spacing w:after="0"/>
              <w:jc w:val="left"/>
              <w:rPr>
                <w:rFonts w:ascii="Times New Roman" w:hAnsi="Times New Roman"/>
                <w:b/>
                <w:bCs/>
                <w:sz w:val="18"/>
                <w:szCs w:val="18"/>
                <w:lang w:eastAsia="en-GB"/>
              </w:rPr>
            </w:pPr>
            <w:r w:rsidRPr="000C4743">
              <w:rPr>
                <w:rFonts w:ascii="Times New Roman" w:hAnsi="Times New Roman"/>
                <w:b/>
                <w:bCs/>
                <w:sz w:val="18"/>
                <w:szCs w:val="18"/>
                <w:lang w:eastAsia="en-GB"/>
              </w:rPr>
              <w:t xml:space="preserve">OUTCOME 1: </w:t>
            </w:r>
            <w:r w:rsidRPr="000C4743">
              <w:rPr>
                <w:rFonts w:ascii="Times New Roman" w:hAnsi="Times New Roman"/>
                <w:sz w:val="18"/>
                <w:szCs w:val="18"/>
                <w:lang w:eastAsia="en-GB"/>
              </w:rPr>
              <w:t xml:space="preserve"> </w:t>
            </w:r>
            <w:r w:rsidRPr="000C4743">
              <w:rPr>
                <w:rFonts w:ascii="Times New Roman" w:hAnsi="Times New Roman"/>
                <w:sz w:val="18"/>
                <w:szCs w:val="18"/>
                <w:lang w:eastAsia="en-GB"/>
              </w:rPr>
              <w:br/>
              <w:t>Integrated municipal planning, targets and prioritization for urban mitigation actions</w:t>
            </w:r>
          </w:p>
        </w:tc>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14:paraId="772AEA91"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MRD</w:t>
            </w:r>
          </w:p>
        </w:tc>
        <w:tc>
          <w:tcPr>
            <w:tcW w:w="851" w:type="dxa"/>
            <w:vMerge w:val="restart"/>
            <w:tcBorders>
              <w:top w:val="nil"/>
              <w:left w:val="single" w:sz="4" w:space="0" w:color="auto"/>
              <w:bottom w:val="single" w:sz="4" w:space="0" w:color="000000"/>
              <w:right w:val="single" w:sz="4" w:space="0" w:color="auto"/>
            </w:tcBorders>
            <w:shd w:val="clear" w:color="auto" w:fill="auto"/>
            <w:vAlign w:val="center"/>
            <w:hideMark/>
          </w:tcPr>
          <w:p w14:paraId="4475B336"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62000</w:t>
            </w:r>
          </w:p>
        </w:tc>
        <w:tc>
          <w:tcPr>
            <w:tcW w:w="708" w:type="dxa"/>
            <w:vMerge w:val="restart"/>
            <w:tcBorders>
              <w:top w:val="nil"/>
              <w:left w:val="single" w:sz="4" w:space="0" w:color="auto"/>
              <w:bottom w:val="single" w:sz="4" w:space="0" w:color="000000"/>
              <w:right w:val="single" w:sz="4" w:space="0" w:color="auto"/>
            </w:tcBorders>
            <w:shd w:val="clear" w:color="auto" w:fill="auto"/>
            <w:vAlign w:val="center"/>
            <w:hideMark/>
          </w:tcPr>
          <w:p w14:paraId="7269063E"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GEF</w:t>
            </w:r>
          </w:p>
        </w:tc>
        <w:tc>
          <w:tcPr>
            <w:tcW w:w="993" w:type="dxa"/>
            <w:tcBorders>
              <w:top w:val="nil"/>
              <w:left w:val="nil"/>
              <w:bottom w:val="single" w:sz="4" w:space="0" w:color="auto"/>
              <w:right w:val="single" w:sz="4" w:space="0" w:color="auto"/>
            </w:tcBorders>
            <w:shd w:val="clear" w:color="auto" w:fill="auto"/>
            <w:vAlign w:val="center"/>
            <w:hideMark/>
          </w:tcPr>
          <w:p w14:paraId="42215A61"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71400</w:t>
            </w:r>
          </w:p>
        </w:tc>
        <w:tc>
          <w:tcPr>
            <w:tcW w:w="2126" w:type="dxa"/>
            <w:tcBorders>
              <w:top w:val="nil"/>
              <w:left w:val="nil"/>
              <w:bottom w:val="single" w:sz="4" w:space="0" w:color="auto"/>
              <w:right w:val="single" w:sz="4" w:space="0" w:color="auto"/>
            </w:tcBorders>
            <w:shd w:val="clear" w:color="auto" w:fill="auto"/>
            <w:noWrap/>
            <w:vAlign w:val="center"/>
            <w:hideMark/>
          </w:tcPr>
          <w:p w14:paraId="14951DC6"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Project manager</w:t>
            </w:r>
          </w:p>
        </w:tc>
        <w:tc>
          <w:tcPr>
            <w:tcW w:w="1134" w:type="dxa"/>
            <w:tcBorders>
              <w:top w:val="nil"/>
              <w:left w:val="nil"/>
              <w:bottom w:val="single" w:sz="4" w:space="0" w:color="auto"/>
              <w:right w:val="single" w:sz="4" w:space="0" w:color="auto"/>
            </w:tcBorders>
            <w:shd w:val="clear" w:color="auto" w:fill="auto"/>
            <w:noWrap/>
            <w:vAlign w:val="bottom"/>
            <w:hideMark/>
          </w:tcPr>
          <w:p w14:paraId="37A3E2F0" w14:textId="6BE0C096" w:rsidR="00C06B91" w:rsidRPr="000C4743" w:rsidRDefault="00C06B91" w:rsidP="007A2E9D">
            <w:pPr>
              <w:spacing w:after="0"/>
              <w:jc w:val="right"/>
              <w:rPr>
                <w:rFonts w:ascii="Times New Roman" w:hAnsi="Times New Roman"/>
                <w:sz w:val="18"/>
                <w:szCs w:val="18"/>
                <w:lang w:eastAsia="en-GB"/>
              </w:rPr>
            </w:pPr>
            <w:r>
              <w:rPr>
                <w:sz w:val="18"/>
                <w:szCs w:val="18"/>
              </w:rPr>
              <w:t>18,090</w:t>
            </w:r>
          </w:p>
        </w:tc>
        <w:tc>
          <w:tcPr>
            <w:tcW w:w="1134" w:type="dxa"/>
            <w:tcBorders>
              <w:top w:val="nil"/>
              <w:left w:val="nil"/>
              <w:bottom w:val="single" w:sz="4" w:space="0" w:color="auto"/>
              <w:right w:val="single" w:sz="4" w:space="0" w:color="auto"/>
            </w:tcBorders>
            <w:shd w:val="clear" w:color="auto" w:fill="auto"/>
            <w:noWrap/>
            <w:vAlign w:val="bottom"/>
            <w:hideMark/>
          </w:tcPr>
          <w:p w14:paraId="2545D8E5" w14:textId="1AD981CC" w:rsidR="00C06B91" w:rsidRPr="000C4743" w:rsidRDefault="00C06B91" w:rsidP="007A2E9D">
            <w:pPr>
              <w:spacing w:after="0"/>
              <w:jc w:val="right"/>
              <w:rPr>
                <w:rFonts w:ascii="Times New Roman" w:hAnsi="Times New Roman"/>
                <w:sz w:val="18"/>
                <w:szCs w:val="18"/>
                <w:lang w:eastAsia="en-GB"/>
              </w:rPr>
            </w:pPr>
            <w:r>
              <w:rPr>
                <w:sz w:val="18"/>
                <w:szCs w:val="18"/>
              </w:rPr>
              <w:t>12,060</w:t>
            </w:r>
          </w:p>
        </w:tc>
        <w:tc>
          <w:tcPr>
            <w:tcW w:w="1134" w:type="dxa"/>
            <w:tcBorders>
              <w:top w:val="nil"/>
              <w:left w:val="nil"/>
              <w:bottom w:val="single" w:sz="4" w:space="0" w:color="auto"/>
              <w:right w:val="single" w:sz="4" w:space="0" w:color="auto"/>
            </w:tcBorders>
            <w:shd w:val="clear" w:color="auto" w:fill="auto"/>
            <w:noWrap/>
            <w:vAlign w:val="bottom"/>
            <w:hideMark/>
          </w:tcPr>
          <w:p w14:paraId="039E9C84" w14:textId="50EE25B4" w:rsidR="00C06B91" w:rsidRPr="000C4743" w:rsidRDefault="00C06B91" w:rsidP="007A2E9D">
            <w:pPr>
              <w:spacing w:after="0"/>
              <w:jc w:val="right"/>
              <w:rPr>
                <w:rFonts w:ascii="Times New Roman" w:hAnsi="Times New Roman"/>
                <w:sz w:val="18"/>
                <w:szCs w:val="18"/>
                <w:lang w:eastAsia="en-GB"/>
              </w:rPr>
            </w:pPr>
            <w:r>
              <w:rPr>
                <w:sz w:val="18"/>
                <w:szCs w:val="18"/>
              </w:rPr>
              <w:t>18,090</w:t>
            </w:r>
          </w:p>
        </w:tc>
        <w:tc>
          <w:tcPr>
            <w:tcW w:w="992" w:type="dxa"/>
            <w:tcBorders>
              <w:top w:val="nil"/>
              <w:left w:val="nil"/>
              <w:bottom w:val="single" w:sz="4" w:space="0" w:color="auto"/>
              <w:right w:val="single" w:sz="4" w:space="0" w:color="auto"/>
            </w:tcBorders>
            <w:shd w:val="clear" w:color="auto" w:fill="auto"/>
            <w:noWrap/>
            <w:vAlign w:val="bottom"/>
            <w:hideMark/>
          </w:tcPr>
          <w:p w14:paraId="76E726D4" w14:textId="5950BB6C" w:rsidR="00C06B91" w:rsidRPr="000C4743" w:rsidRDefault="00C06B91" w:rsidP="007A2E9D">
            <w:pPr>
              <w:spacing w:after="0"/>
              <w:jc w:val="right"/>
              <w:rPr>
                <w:rFonts w:ascii="Times New Roman" w:hAnsi="Times New Roman"/>
                <w:sz w:val="18"/>
                <w:szCs w:val="18"/>
                <w:lang w:eastAsia="en-GB"/>
              </w:rPr>
            </w:pPr>
            <w:r>
              <w:rPr>
                <w:sz w:val="18"/>
                <w:szCs w:val="18"/>
              </w:rPr>
              <w:t>6,030</w:t>
            </w:r>
          </w:p>
        </w:tc>
        <w:tc>
          <w:tcPr>
            <w:tcW w:w="992" w:type="dxa"/>
            <w:tcBorders>
              <w:top w:val="nil"/>
              <w:left w:val="nil"/>
              <w:bottom w:val="single" w:sz="4" w:space="0" w:color="auto"/>
              <w:right w:val="single" w:sz="4" w:space="0" w:color="auto"/>
            </w:tcBorders>
            <w:shd w:val="clear" w:color="auto" w:fill="auto"/>
            <w:noWrap/>
            <w:vAlign w:val="bottom"/>
            <w:hideMark/>
          </w:tcPr>
          <w:p w14:paraId="1CC979AB" w14:textId="06CABB64" w:rsidR="00C06B91" w:rsidRPr="000C4743" w:rsidRDefault="00C06B91" w:rsidP="007A2E9D">
            <w:pPr>
              <w:spacing w:after="0"/>
              <w:jc w:val="right"/>
              <w:rPr>
                <w:rFonts w:ascii="Times New Roman" w:hAnsi="Times New Roman"/>
                <w:sz w:val="18"/>
                <w:szCs w:val="18"/>
                <w:lang w:eastAsia="en-GB"/>
              </w:rPr>
            </w:pPr>
            <w:r>
              <w:rPr>
                <w:sz w:val="18"/>
                <w:szCs w:val="18"/>
              </w:rPr>
              <w:t>6,030</w:t>
            </w:r>
          </w:p>
        </w:tc>
        <w:tc>
          <w:tcPr>
            <w:tcW w:w="1134" w:type="dxa"/>
            <w:tcBorders>
              <w:top w:val="nil"/>
              <w:left w:val="nil"/>
              <w:bottom w:val="single" w:sz="4" w:space="0" w:color="auto"/>
              <w:right w:val="single" w:sz="4" w:space="0" w:color="auto"/>
            </w:tcBorders>
            <w:shd w:val="clear" w:color="auto" w:fill="auto"/>
            <w:noWrap/>
            <w:vAlign w:val="bottom"/>
            <w:hideMark/>
          </w:tcPr>
          <w:p w14:paraId="784D6943" w14:textId="18F6D96A" w:rsidR="00C06B91" w:rsidRPr="000C4743" w:rsidRDefault="00C06B91" w:rsidP="007A2E9D">
            <w:pPr>
              <w:spacing w:after="0"/>
              <w:jc w:val="right"/>
              <w:rPr>
                <w:rFonts w:ascii="Times New Roman" w:hAnsi="Times New Roman"/>
                <w:sz w:val="18"/>
                <w:szCs w:val="18"/>
                <w:lang w:eastAsia="en-GB"/>
              </w:rPr>
            </w:pPr>
            <w:r>
              <w:rPr>
                <w:sz w:val="18"/>
                <w:szCs w:val="18"/>
              </w:rPr>
              <w:t>60,300</w:t>
            </w:r>
          </w:p>
        </w:tc>
        <w:tc>
          <w:tcPr>
            <w:tcW w:w="851" w:type="dxa"/>
            <w:tcBorders>
              <w:top w:val="nil"/>
              <w:left w:val="nil"/>
              <w:bottom w:val="single" w:sz="4" w:space="0" w:color="auto"/>
              <w:right w:val="single" w:sz="4" w:space="0" w:color="auto"/>
            </w:tcBorders>
            <w:shd w:val="clear" w:color="auto" w:fill="auto"/>
            <w:vAlign w:val="center"/>
            <w:hideMark/>
          </w:tcPr>
          <w:p w14:paraId="4CCC2EDE" w14:textId="77777777" w:rsidR="00C06B91" w:rsidRPr="000C4743" w:rsidRDefault="00C06B91" w:rsidP="000C4743">
            <w:pPr>
              <w:spacing w:after="0"/>
              <w:jc w:val="center"/>
              <w:rPr>
                <w:rFonts w:ascii="Times New Roman" w:hAnsi="Times New Roman"/>
                <w:sz w:val="18"/>
                <w:szCs w:val="18"/>
                <w:lang w:eastAsia="en-GB"/>
              </w:rPr>
            </w:pPr>
            <w:r>
              <w:rPr>
                <w:rFonts w:ascii="Times New Roman" w:hAnsi="Times New Roman"/>
                <w:sz w:val="18"/>
                <w:szCs w:val="18"/>
                <w:lang w:eastAsia="en-GB"/>
              </w:rPr>
              <w:t>1</w:t>
            </w:r>
            <w:r w:rsidRPr="000C4743">
              <w:rPr>
                <w:rFonts w:ascii="Times New Roman" w:hAnsi="Times New Roman"/>
                <w:sz w:val="18"/>
                <w:szCs w:val="18"/>
                <w:lang w:eastAsia="en-GB"/>
              </w:rPr>
              <w:t> </w:t>
            </w:r>
          </w:p>
        </w:tc>
      </w:tr>
      <w:tr w:rsidR="00C06B91" w:rsidRPr="000C4743" w14:paraId="36BB4522" w14:textId="77777777" w:rsidTr="006F7397">
        <w:trPr>
          <w:trHeight w:val="278"/>
        </w:trPr>
        <w:tc>
          <w:tcPr>
            <w:tcW w:w="1716" w:type="dxa"/>
            <w:vMerge/>
            <w:tcBorders>
              <w:top w:val="nil"/>
              <w:left w:val="single" w:sz="4" w:space="0" w:color="auto"/>
              <w:bottom w:val="single" w:sz="4" w:space="0" w:color="000000"/>
              <w:right w:val="single" w:sz="4" w:space="0" w:color="auto"/>
            </w:tcBorders>
            <w:vAlign w:val="center"/>
            <w:hideMark/>
          </w:tcPr>
          <w:p w14:paraId="308086BD"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4DBDC345"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03F91A44"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06716146"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vAlign w:val="center"/>
            <w:hideMark/>
          </w:tcPr>
          <w:p w14:paraId="46AD613E"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71200</w:t>
            </w:r>
          </w:p>
        </w:tc>
        <w:tc>
          <w:tcPr>
            <w:tcW w:w="2126" w:type="dxa"/>
            <w:tcBorders>
              <w:top w:val="nil"/>
              <w:left w:val="nil"/>
              <w:bottom w:val="single" w:sz="4" w:space="0" w:color="auto"/>
              <w:right w:val="single" w:sz="4" w:space="0" w:color="auto"/>
            </w:tcBorders>
            <w:shd w:val="clear" w:color="auto" w:fill="auto"/>
            <w:noWrap/>
            <w:vAlign w:val="center"/>
            <w:hideMark/>
          </w:tcPr>
          <w:p w14:paraId="047864D0"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International Consultants</w:t>
            </w:r>
          </w:p>
        </w:tc>
        <w:tc>
          <w:tcPr>
            <w:tcW w:w="1134" w:type="dxa"/>
            <w:tcBorders>
              <w:top w:val="nil"/>
              <w:left w:val="nil"/>
              <w:bottom w:val="single" w:sz="4" w:space="0" w:color="auto"/>
              <w:right w:val="single" w:sz="4" w:space="0" w:color="auto"/>
            </w:tcBorders>
            <w:shd w:val="clear" w:color="auto" w:fill="auto"/>
            <w:noWrap/>
            <w:vAlign w:val="bottom"/>
            <w:hideMark/>
          </w:tcPr>
          <w:p w14:paraId="19C03883" w14:textId="70ACC33E" w:rsidR="00C06B91" w:rsidRPr="000C4743" w:rsidRDefault="00C06B91" w:rsidP="007A2E9D">
            <w:pPr>
              <w:spacing w:after="0"/>
              <w:jc w:val="right"/>
              <w:rPr>
                <w:rFonts w:ascii="Times New Roman" w:hAnsi="Times New Roman"/>
                <w:sz w:val="18"/>
                <w:szCs w:val="18"/>
                <w:lang w:eastAsia="en-GB"/>
              </w:rPr>
            </w:pPr>
            <w:r>
              <w:rPr>
                <w:sz w:val="18"/>
                <w:szCs w:val="18"/>
              </w:rPr>
              <w:t>26,250</w:t>
            </w:r>
          </w:p>
        </w:tc>
        <w:tc>
          <w:tcPr>
            <w:tcW w:w="1134" w:type="dxa"/>
            <w:tcBorders>
              <w:top w:val="nil"/>
              <w:left w:val="nil"/>
              <w:bottom w:val="single" w:sz="4" w:space="0" w:color="auto"/>
              <w:right w:val="single" w:sz="4" w:space="0" w:color="auto"/>
            </w:tcBorders>
            <w:shd w:val="clear" w:color="auto" w:fill="auto"/>
            <w:noWrap/>
            <w:vAlign w:val="bottom"/>
            <w:hideMark/>
          </w:tcPr>
          <w:p w14:paraId="7E44AEDC" w14:textId="41BA0FAA" w:rsidR="00C06B91" w:rsidRPr="000C4743" w:rsidRDefault="00C06B91" w:rsidP="007A2E9D">
            <w:pPr>
              <w:spacing w:after="0"/>
              <w:jc w:val="right"/>
              <w:rPr>
                <w:rFonts w:ascii="Times New Roman" w:hAnsi="Times New Roman"/>
                <w:sz w:val="18"/>
                <w:szCs w:val="18"/>
                <w:lang w:eastAsia="en-GB"/>
              </w:rPr>
            </w:pPr>
            <w:r>
              <w:rPr>
                <w:sz w:val="18"/>
                <w:szCs w:val="18"/>
              </w:rPr>
              <w:t>17,500</w:t>
            </w:r>
          </w:p>
        </w:tc>
        <w:tc>
          <w:tcPr>
            <w:tcW w:w="1134" w:type="dxa"/>
            <w:tcBorders>
              <w:top w:val="nil"/>
              <w:left w:val="nil"/>
              <w:bottom w:val="single" w:sz="4" w:space="0" w:color="auto"/>
              <w:right w:val="single" w:sz="4" w:space="0" w:color="auto"/>
            </w:tcBorders>
            <w:shd w:val="clear" w:color="auto" w:fill="auto"/>
            <w:noWrap/>
            <w:vAlign w:val="bottom"/>
            <w:hideMark/>
          </w:tcPr>
          <w:p w14:paraId="2BF533BF" w14:textId="5284C200" w:rsidR="00C06B91" w:rsidRPr="000C4743" w:rsidRDefault="00C06B91" w:rsidP="007A2E9D">
            <w:pPr>
              <w:spacing w:after="0"/>
              <w:jc w:val="right"/>
              <w:rPr>
                <w:rFonts w:ascii="Times New Roman" w:hAnsi="Times New Roman"/>
                <w:sz w:val="18"/>
                <w:szCs w:val="18"/>
                <w:lang w:eastAsia="en-GB"/>
              </w:rPr>
            </w:pPr>
            <w:r>
              <w:rPr>
                <w:sz w:val="18"/>
                <w:szCs w:val="18"/>
              </w:rPr>
              <w:t>26,250</w:t>
            </w:r>
          </w:p>
        </w:tc>
        <w:tc>
          <w:tcPr>
            <w:tcW w:w="992" w:type="dxa"/>
            <w:tcBorders>
              <w:top w:val="nil"/>
              <w:left w:val="nil"/>
              <w:bottom w:val="single" w:sz="4" w:space="0" w:color="auto"/>
              <w:right w:val="single" w:sz="4" w:space="0" w:color="auto"/>
            </w:tcBorders>
            <w:shd w:val="clear" w:color="auto" w:fill="auto"/>
            <w:noWrap/>
            <w:vAlign w:val="bottom"/>
            <w:hideMark/>
          </w:tcPr>
          <w:p w14:paraId="78CEE9BE" w14:textId="6635E63A" w:rsidR="00C06B91" w:rsidRPr="000C4743" w:rsidRDefault="00C06B91" w:rsidP="007A2E9D">
            <w:pPr>
              <w:spacing w:after="0"/>
              <w:jc w:val="right"/>
              <w:rPr>
                <w:rFonts w:ascii="Times New Roman" w:hAnsi="Times New Roman"/>
                <w:sz w:val="18"/>
                <w:szCs w:val="18"/>
                <w:lang w:eastAsia="en-GB"/>
              </w:rPr>
            </w:pPr>
            <w:r>
              <w:rPr>
                <w:sz w:val="18"/>
                <w:szCs w:val="18"/>
              </w:rPr>
              <w:t>8,750</w:t>
            </w:r>
          </w:p>
        </w:tc>
        <w:tc>
          <w:tcPr>
            <w:tcW w:w="992" w:type="dxa"/>
            <w:tcBorders>
              <w:top w:val="nil"/>
              <w:left w:val="nil"/>
              <w:bottom w:val="single" w:sz="4" w:space="0" w:color="auto"/>
              <w:right w:val="single" w:sz="4" w:space="0" w:color="auto"/>
            </w:tcBorders>
            <w:shd w:val="clear" w:color="auto" w:fill="auto"/>
            <w:noWrap/>
            <w:vAlign w:val="bottom"/>
            <w:hideMark/>
          </w:tcPr>
          <w:p w14:paraId="34EA298A" w14:textId="4D55E982" w:rsidR="00C06B91" w:rsidRPr="000C4743" w:rsidRDefault="00C06B91" w:rsidP="007A2E9D">
            <w:pPr>
              <w:spacing w:after="0"/>
              <w:jc w:val="right"/>
              <w:rPr>
                <w:rFonts w:ascii="Times New Roman" w:hAnsi="Times New Roman"/>
                <w:sz w:val="18"/>
                <w:szCs w:val="18"/>
                <w:lang w:eastAsia="en-GB"/>
              </w:rPr>
            </w:pPr>
            <w:r>
              <w:rPr>
                <w:sz w:val="18"/>
                <w:szCs w:val="18"/>
              </w:rPr>
              <w:t>8,750</w:t>
            </w:r>
          </w:p>
        </w:tc>
        <w:tc>
          <w:tcPr>
            <w:tcW w:w="1134" w:type="dxa"/>
            <w:tcBorders>
              <w:top w:val="nil"/>
              <w:left w:val="nil"/>
              <w:bottom w:val="single" w:sz="4" w:space="0" w:color="auto"/>
              <w:right w:val="single" w:sz="4" w:space="0" w:color="auto"/>
            </w:tcBorders>
            <w:shd w:val="clear" w:color="auto" w:fill="auto"/>
            <w:noWrap/>
            <w:vAlign w:val="bottom"/>
            <w:hideMark/>
          </w:tcPr>
          <w:p w14:paraId="1648755E" w14:textId="41607344" w:rsidR="00C06B91" w:rsidRPr="000C4743" w:rsidRDefault="00C06B91" w:rsidP="007A2E9D">
            <w:pPr>
              <w:spacing w:after="0"/>
              <w:jc w:val="right"/>
              <w:rPr>
                <w:rFonts w:ascii="Times New Roman" w:hAnsi="Times New Roman"/>
                <w:sz w:val="18"/>
                <w:szCs w:val="18"/>
                <w:lang w:eastAsia="en-GB"/>
              </w:rPr>
            </w:pPr>
            <w:r>
              <w:rPr>
                <w:sz w:val="18"/>
                <w:szCs w:val="18"/>
              </w:rPr>
              <w:t>87,500</w:t>
            </w:r>
          </w:p>
        </w:tc>
        <w:tc>
          <w:tcPr>
            <w:tcW w:w="851" w:type="dxa"/>
            <w:tcBorders>
              <w:top w:val="nil"/>
              <w:left w:val="nil"/>
              <w:bottom w:val="single" w:sz="4" w:space="0" w:color="auto"/>
              <w:right w:val="single" w:sz="4" w:space="0" w:color="auto"/>
            </w:tcBorders>
            <w:shd w:val="clear" w:color="auto" w:fill="auto"/>
            <w:noWrap/>
            <w:vAlign w:val="center"/>
            <w:hideMark/>
          </w:tcPr>
          <w:p w14:paraId="74CB4FA4"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2</w:t>
            </w:r>
          </w:p>
        </w:tc>
      </w:tr>
      <w:tr w:rsidR="00C06B91" w:rsidRPr="000C4743" w14:paraId="0A50AFB9"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4957FB3F"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4F4E8E2E"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13B162F0"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172D5E11"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vAlign w:val="center"/>
            <w:hideMark/>
          </w:tcPr>
          <w:p w14:paraId="427E7397"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71300</w:t>
            </w:r>
          </w:p>
        </w:tc>
        <w:tc>
          <w:tcPr>
            <w:tcW w:w="2126" w:type="dxa"/>
            <w:tcBorders>
              <w:top w:val="nil"/>
              <w:left w:val="nil"/>
              <w:bottom w:val="single" w:sz="4" w:space="0" w:color="auto"/>
              <w:right w:val="single" w:sz="4" w:space="0" w:color="auto"/>
            </w:tcBorders>
            <w:shd w:val="clear" w:color="auto" w:fill="auto"/>
            <w:noWrap/>
            <w:vAlign w:val="center"/>
            <w:hideMark/>
          </w:tcPr>
          <w:p w14:paraId="0825314A"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Local Consultants</w:t>
            </w:r>
          </w:p>
        </w:tc>
        <w:tc>
          <w:tcPr>
            <w:tcW w:w="1134" w:type="dxa"/>
            <w:tcBorders>
              <w:top w:val="nil"/>
              <w:left w:val="nil"/>
              <w:bottom w:val="single" w:sz="4" w:space="0" w:color="auto"/>
              <w:right w:val="single" w:sz="4" w:space="0" w:color="auto"/>
            </w:tcBorders>
            <w:shd w:val="clear" w:color="auto" w:fill="auto"/>
            <w:noWrap/>
            <w:vAlign w:val="bottom"/>
            <w:hideMark/>
          </w:tcPr>
          <w:p w14:paraId="15E097A9" w14:textId="360D829D" w:rsidR="00C06B91" w:rsidRPr="000C4743" w:rsidRDefault="00C06B91" w:rsidP="007A2E9D">
            <w:pPr>
              <w:spacing w:after="0"/>
              <w:jc w:val="right"/>
              <w:rPr>
                <w:rFonts w:ascii="Times New Roman" w:hAnsi="Times New Roman"/>
                <w:sz w:val="18"/>
                <w:szCs w:val="18"/>
                <w:lang w:eastAsia="en-GB"/>
              </w:rPr>
            </w:pPr>
            <w:r>
              <w:rPr>
                <w:sz w:val="18"/>
                <w:szCs w:val="18"/>
              </w:rPr>
              <w:t>41,760</w:t>
            </w:r>
          </w:p>
        </w:tc>
        <w:tc>
          <w:tcPr>
            <w:tcW w:w="1134" w:type="dxa"/>
            <w:tcBorders>
              <w:top w:val="nil"/>
              <w:left w:val="nil"/>
              <w:bottom w:val="single" w:sz="4" w:space="0" w:color="auto"/>
              <w:right w:val="single" w:sz="4" w:space="0" w:color="auto"/>
            </w:tcBorders>
            <w:shd w:val="clear" w:color="auto" w:fill="auto"/>
            <w:noWrap/>
            <w:vAlign w:val="bottom"/>
            <w:hideMark/>
          </w:tcPr>
          <w:p w14:paraId="6426F593" w14:textId="46990545" w:rsidR="00C06B91" w:rsidRPr="000C4743" w:rsidRDefault="00C06B91" w:rsidP="007A2E9D">
            <w:pPr>
              <w:spacing w:after="0"/>
              <w:jc w:val="right"/>
              <w:rPr>
                <w:rFonts w:ascii="Times New Roman" w:hAnsi="Times New Roman"/>
                <w:sz w:val="18"/>
                <w:szCs w:val="18"/>
                <w:lang w:eastAsia="en-GB"/>
              </w:rPr>
            </w:pPr>
            <w:r>
              <w:rPr>
                <w:sz w:val="18"/>
                <w:szCs w:val="18"/>
              </w:rPr>
              <w:t>27,840</w:t>
            </w:r>
          </w:p>
        </w:tc>
        <w:tc>
          <w:tcPr>
            <w:tcW w:w="1134" w:type="dxa"/>
            <w:tcBorders>
              <w:top w:val="nil"/>
              <w:left w:val="nil"/>
              <w:bottom w:val="single" w:sz="4" w:space="0" w:color="auto"/>
              <w:right w:val="single" w:sz="4" w:space="0" w:color="auto"/>
            </w:tcBorders>
            <w:shd w:val="clear" w:color="auto" w:fill="auto"/>
            <w:noWrap/>
            <w:vAlign w:val="bottom"/>
            <w:hideMark/>
          </w:tcPr>
          <w:p w14:paraId="45A7F7AC" w14:textId="04E57AB7" w:rsidR="00C06B91" w:rsidRPr="000C4743" w:rsidRDefault="00C06B91" w:rsidP="007A2E9D">
            <w:pPr>
              <w:spacing w:after="0"/>
              <w:jc w:val="right"/>
              <w:rPr>
                <w:rFonts w:ascii="Times New Roman" w:hAnsi="Times New Roman"/>
                <w:sz w:val="18"/>
                <w:szCs w:val="18"/>
                <w:lang w:eastAsia="en-GB"/>
              </w:rPr>
            </w:pPr>
            <w:r>
              <w:rPr>
                <w:sz w:val="18"/>
                <w:szCs w:val="18"/>
              </w:rPr>
              <w:t>41,760</w:t>
            </w:r>
          </w:p>
        </w:tc>
        <w:tc>
          <w:tcPr>
            <w:tcW w:w="992" w:type="dxa"/>
            <w:tcBorders>
              <w:top w:val="nil"/>
              <w:left w:val="nil"/>
              <w:bottom w:val="single" w:sz="4" w:space="0" w:color="auto"/>
              <w:right w:val="single" w:sz="4" w:space="0" w:color="auto"/>
            </w:tcBorders>
            <w:shd w:val="clear" w:color="auto" w:fill="auto"/>
            <w:noWrap/>
            <w:vAlign w:val="bottom"/>
            <w:hideMark/>
          </w:tcPr>
          <w:p w14:paraId="57D55135" w14:textId="391BB8F7" w:rsidR="00C06B91" w:rsidRPr="000C4743" w:rsidRDefault="00C06B91" w:rsidP="007A2E9D">
            <w:pPr>
              <w:spacing w:after="0"/>
              <w:jc w:val="right"/>
              <w:rPr>
                <w:rFonts w:ascii="Times New Roman" w:hAnsi="Times New Roman"/>
                <w:sz w:val="18"/>
                <w:szCs w:val="18"/>
                <w:lang w:eastAsia="en-GB"/>
              </w:rPr>
            </w:pPr>
            <w:r>
              <w:rPr>
                <w:sz w:val="18"/>
                <w:szCs w:val="18"/>
              </w:rPr>
              <w:t>13,920</w:t>
            </w:r>
          </w:p>
        </w:tc>
        <w:tc>
          <w:tcPr>
            <w:tcW w:w="992" w:type="dxa"/>
            <w:tcBorders>
              <w:top w:val="nil"/>
              <w:left w:val="nil"/>
              <w:bottom w:val="single" w:sz="4" w:space="0" w:color="auto"/>
              <w:right w:val="single" w:sz="4" w:space="0" w:color="auto"/>
            </w:tcBorders>
            <w:shd w:val="clear" w:color="auto" w:fill="auto"/>
            <w:noWrap/>
            <w:vAlign w:val="bottom"/>
            <w:hideMark/>
          </w:tcPr>
          <w:p w14:paraId="2D994249" w14:textId="79786A65" w:rsidR="00C06B91" w:rsidRPr="000C4743" w:rsidRDefault="00C06B91" w:rsidP="007A2E9D">
            <w:pPr>
              <w:spacing w:after="0"/>
              <w:jc w:val="right"/>
              <w:rPr>
                <w:rFonts w:ascii="Times New Roman" w:hAnsi="Times New Roman"/>
                <w:sz w:val="18"/>
                <w:szCs w:val="18"/>
                <w:lang w:eastAsia="en-GB"/>
              </w:rPr>
            </w:pPr>
            <w:r>
              <w:rPr>
                <w:sz w:val="18"/>
                <w:szCs w:val="18"/>
              </w:rPr>
              <w:t>13,920</w:t>
            </w:r>
          </w:p>
        </w:tc>
        <w:tc>
          <w:tcPr>
            <w:tcW w:w="1134" w:type="dxa"/>
            <w:tcBorders>
              <w:top w:val="nil"/>
              <w:left w:val="nil"/>
              <w:bottom w:val="single" w:sz="4" w:space="0" w:color="auto"/>
              <w:right w:val="single" w:sz="4" w:space="0" w:color="auto"/>
            </w:tcBorders>
            <w:shd w:val="clear" w:color="auto" w:fill="auto"/>
            <w:noWrap/>
            <w:vAlign w:val="bottom"/>
            <w:hideMark/>
          </w:tcPr>
          <w:p w14:paraId="6B90B0CD" w14:textId="7EB6661F" w:rsidR="00C06B91" w:rsidRPr="000C4743" w:rsidRDefault="00C06B91" w:rsidP="007A2E9D">
            <w:pPr>
              <w:spacing w:after="0"/>
              <w:jc w:val="right"/>
              <w:rPr>
                <w:rFonts w:ascii="Times New Roman" w:hAnsi="Times New Roman"/>
                <w:sz w:val="18"/>
                <w:szCs w:val="18"/>
                <w:lang w:eastAsia="en-GB"/>
              </w:rPr>
            </w:pPr>
            <w:r>
              <w:rPr>
                <w:sz w:val="18"/>
                <w:szCs w:val="18"/>
              </w:rPr>
              <w:t>139,200</w:t>
            </w:r>
          </w:p>
        </w:tc>
        <w:tc>
          <w:tcPr>
            <w:tcW w:w="851" w:type="dxa"/>
            <w:tcBorders>
              <w:top w:val="nil"/>
              <w:left w:val="nil"/>
              <w:bottom w:val="single" w:sz="4" w:space="0" w:color="auto"/>
              <w:right w:val="single" w:sz="4" w:space="0" w:color="auto"/>
            </w:tcBorders>
            <w:shd w:val="clear" w:color="auto" w:fill="auto"/>
            <w:noWrap/>
            <w:vAlign w:val="center"/>
            <w:hideMark/>
          </w:tcPr>
          <w:p w14:paraId="28DB90D9"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3</w:t>
            </w:r>
            <w:r w:rsidRPr="000C4743">
              <w:rPr>
                <w:rFonts w:ascii="Times New Roman" w:hAnsi="Times New Roman"/>
                <w:color w:val="000000"/>
                <w:sz w:val="18"/>
                <w:szCs w:val="18"/>
                <w:lang w:eastAsia="en-GB"/>
              </w:rPr>
              <w:t> </w:t>
            </w:r>
          </w:p>
        </w:tc>
      </w:tr>
      <w:tr w:rsidR="00C06B91" w:rsidRPr="000C4743" w14:paraId="265CB440"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54720C58"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36507864"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482767CC"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2AC5E44A"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vAlign w:val="center"/>
            <w:hideMark/>
          </w:tcPr>
          <w:p w14:paraId="04D3A2EF"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72100</w:t>
            </w:r>
          </w:p>
        </w:tc>
        <w:tc>
          <w:tcPr>
            <w:tcW w:w="2126" w:type="dxa"/>
            <w:tcBorders>
              <w:top w:val="nil"/>
              <w:left w:val="nil"/>
              <w:bottom w:val="single" w:sz="4" w:space="0" w:color="auto"/>
              <w:right w:val="single" w:sz="4" w:space="0" w:color="auto"/>
            </w:tcBorders>
            <w:shd w:val="clear" w:color="auto" w:fill="auto"/>
            <w:noWrap/>
            <w:vAlign w:val="center"/>
            <w:hideMark/>
          </w:tcPr>
          <w:p w14:paraId="461E5934" w14:textId="6FC18DF8"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 xml:space="preserve">Contractual Services </w:t>
            </w:r>
            <w:r w:rsidR="00D32F33">
              <w:rPr>
                <w:rFonts w:ascii="Times New Roman" w:hAnsi="Times New Roman"/>
                <w:sz w:val="18"/>
                <w:szCs w:val="18"/>
                <w:lang w:eastAsia="en-GB"/>
              </w:rPr>
              <w:t>–</w:t>
            </w:r>
            <w:r w:rsidRPr="000C4743">
              <w:rPr>
                <w:rFonts w:ascii="Times New Roman" w:hAnsi="Times New Roman"/>
                <w:sz w:val="18"/>
                <w:szCs w:val="18"/>
                <w:lang w:eastAsia="en-GB"/>
              </w:rPr>
              <w:t xml:space="preserve"> Companies</w:t>
            </w:r>
          </w:p>
        </w:tc>
        <w:tc>
          <w:tcPr>
            <w:tcW w:w="1134" w:type="dxa"/>
            <w:tcBorders>
              <w:top w:val="nil"/>
              <w:left w:val="nil"/>
              <w:bottom w:val="single" w:sz="4" w:space="0" w:color="auto"/>
              <w:right w:val="single" w:sz="4" w:space="0" w:color="auto"/>
            </w:tcBorders>
            <w:shd w:val="clear" w:color="auto" w:fill="auto"/>
            <w:noWrap/>
            <w:vAlign w:val="bottom"/>
            <w:hideMark/>
          </w:tcPr>
          <w:p w14:paraId="15510A71" w14:textId="50B78053" w:rsidR="00C06B91" w:rsidRPr="000C4743" w:rsidRDefault="00C06B91" w:rsidP="007A2E9D">
            <w:pPr>
              <w:spacing w:after="0"/>
              <w:jc w:val="right"/>
              <w:rPr>
                <w:rFonts w:ascii="Times New Roman" w:hAnsi="Times New Roman"/>
                <w:sz w:val="18"/>
                <w:szCs w:val="18"/>
                <w:lang w:eastAsia="en-GB"/>
              </w:rPr>
            </w:pPr>
            <w:r>
              <w:rPr>
                <w:sz w:val="18"/>
                <w:szCs w:val="18"/>
              </w:rPr>
              <w:t>3,600</w:t>
            </w:r>
          </w:p>
        </w:tc>
        <w:tc>
          <w:tcPr>
            <w:tcW w:w="1134" w:type="dxa"/>
            <w:tcBorders>
              <w:top w:val="nil"/>
              <w:left w:val="nil"/>
              <w:bottom w:val="single" w:sz="4" w:space="0" w:color="auto"/>
              <w:right w:val="single" w:sz="4" w:space="0" w:color="auto"/>
            </w:tcBorders>
            <w:shd w:val="clear" w:color="auto" w:fill="auto"/>
            <w:noWrap/>
            <w:vAlign w:val="bottom"/>
            <w:hideMark/>
          </w:tcPr>
          <w:p w14:paraId="610A4FC4" w14:textId="0C1F9A38" w:rsidR="00C06B91" w:rsidRPr="000C4743" w:rsidRDefault="00C06B91" w:rsidP="007A2E9D">
            <w:pPr>
              <w:spacing w:after="0"/>
              <w:jc w:val="right"/>
              <w:rPr>
                <w:rFonts w:ascii="Times New Roman" w:hAnsi="Times New Roman"/>
                <w:sz w:val="18"/>
                <w:szCs w:val="18"/>
                <w:lang w:eastAsia="en-GB"/>
              </w:rPr>
            </w:pPr>
            <w:r>
              <w:rPr>
                <w:sz w:val="18"/>
                <w:szCs w:val="18"/>
              </w:rPr>
              <w:t>2,400</w:t>
            </w:r>
          </w:p>
        </w:tc>
        <w:tc>
          <w:tcPr>
            <w:tcW w:w="1134" w:type="dxa"/>
            <w:tcBorders>
              <w:top w:val="nil"/>
              <w:left w:val="nil"/>
              <w:bottom w:val="single" w:sz="4" w:space="0" w:color="auto"/>
              <w:right w:val="single" w:sz="4" w:space="0" w:color="auto"/>
            </w:tcBorders>
            <w:shd w:val="clear" w:color="auto" w:fill="auto"/>
            <w:noWrap/>
            <w:vAlign w:val="bottom"/>
            <w:hideMark/>
          </w:tcPr>
          <w:p w14:paraId="63A2ED50" w14:textId="52B8EF59" w:rsidR="00C06B91" w:rsidRPr="000C4743" w:rsidRDefault="00C06B91" w:rsidP="007A2E9D">
            <w:pPr>
              <w:spacing w:after="0"/>
              <w:jc w:val="right"/>
              <w:rPr>
                <w:rFonts w:ascii="Times New Roman" w:hAnsi="Times New Roman"/>
                <w:sz w:val="18"/>
                <w:szCs w:val="18"/>
                <w:lang w:eastAsia="en-GB"/>
              </w:rPr>
            </w:pPr>
            <w:r>
              <w:rPr>
                <w:sz w:val="18"/>
                <w:szCs w:val="18"/>
              </w:rPr>
              <w:t>3,600</w:t>
            </w:r>
          </w:p>
        </w:tc>
        <w:tc>
          <w:tcPr>
            <w:tcW w:w="992" w:type="dxa"/>
            <w:tcBorders>
              <w:top w:val="nil"/>
              <w:left w:val="nil"/>
              <w:bottom w:val="single" w:sz="4" w:space="0" w:color="auto"/>
              <w:right w:val="single" w:sz="4" w:space="0" w:color="auto"/>
            </w:tcBorders>
            <w:shd w:val="clear" w:color="auto" w:fill="auto"/>
            <w:noWrap/>
            <w:vAlign w:val="bottom"/>
            <w:hideMark/>
          </w:tcPr>
          <w:p w14:paraId="7C771177" w14:textId="25268C18" w:rsidR="00C06B91" w:rsidRPr="000C4743" w:rsidRDefault="00C06B91" w:rsidP="007A2E9D">
            <w:pPr>
              <w:spacing w:after="0"/>
              <w:jc w:val="right"/>
              <w:rPr>
                <w:rFonts w:ascii="Times New Roman" w:hAnsi="Times New Roman"/>
                <w:sz w:val="18"/>
                <w:szCs w:val="18"/>
                <w:lang w:eastAsia="en-GB"/>
              </w:rPr>
            </w:pPr>
            <w:r>
              <w:rPr>
                <w:sz w:val="18"/>
                <w:szCs w:val="18"/>
              </w:rPr>
              <w:t>1,200</w:t>
            </w:r>
          </w:p>
        </w:tc>
        <w:tc>
          <w:tcPr>
            <w:tcW w:w="992" w:type="dxa"/>
            <w:tcBorders>
              <w:top w:val="nil"/>
              <w:left w:val="nil"/>
              <w:bottom w:val="single" w:sz="4" w:space="0" w:color="auto"/>
              <w:right w:val="single" w:sz="4" w:space="0" w:color="auto"/>
            </w:tcBorders>
            <w:shd w:val="clear" w:color="auto" w:fill="auto"/>
            <w:noWrap/>
            <w:vAlign w:val="bottom"/>
            <w:hideMark/>
          </w:tcPr>
          <w:p w14:paraId="7EE608A6" w14:textId="75207BB2" w:rsidR="00C06B91" w:rsidRPr="000C4743" w:rsidRDefault="00C06B91" w:rsidP="007A2E9D">
            <w:pPr>
              <w:spacing w:after="0"/>
              <w:jc w:val="right"/>
              <w:rPr>
                <w:rFonts w:ascii="Times New Roman" w:hAnsi="Times New Roman"/>
                <w:sz w:val="18"/>
                <w:szCs w:val="18"/>
                <w:lang w:eastAsia="en-GB"/>
              </w:rPr>
            </w:pPr>
            <w:r>
              <w:rPr>
                <w:sz w:val="18"/>
                <w:szCs w:val="18"/>
              </w:rPr>
              <w:t>1,200</w:t>
            </w:r>
          </w:p>
        </w:tc>
        <w:tc>
          <w:tcPr>
            <w:tcW w:w="1134" w:type="dxa"/>
            <w:tcBorders>
              <w:top w:val="nil"/>
              <w:left w:val="nil"/>
              <w:bottom w:val="single" w:sz="4" w:space="0" w:color="auto"/>
              <w:right w:val="single" w:sz="4" w:space="0" w:color="auto"/>
            </w:tcBorders>
            <w:shd w:val="clear" w:color="auto" w:fill="auto"/>
            <w:noWrap/>
            <w:vAlign w:val="bottom"/>
            <w:hideMark/>
          </w:tcPr>
          <w:p w14:paraId="59E6C369" w14:textId="12A5C2DE" w:rsidR="00C06B91" w:rsidRPr="000C4743" w:rsidRDefault="00C06B91" w:rsidP="007A2E9D">
            <w:pPr>
              <w:spacing w:after="0"/>
              <w:jc w:val="right"/>
              <w:rPr>
                <w:rFonts w:ascii="Times New Roman" w:hAnsi="Times New Roman"/>
                <w:sz w:val="18"/>
                <w:szCs w:val="18"/>
                <w:lang w:eastAsia="en-GB"/>
              </w:rPr>
            </w:pPr>
            <w:r>
              <w:rPr>
                <w:sz w:val="18"/>
                <w:szCs w:val="18"/>
              </w:rPr>
              <w:t>12,000</w:t>
            </w:r>
          </w:p>
        </w:tc>
        <w:tc>
          <w:tcPr>
            <w:tcW w:w="851" w:type="dxa"/>
            <w:tcBorders>
              <w:top w:val="nil"/>
              <w:left w:val="nil"/>
              <w:bottom w:val="single" w:sz="4" w:space="0" w:color="auto"/>
              <w:right w:val="single" w:sz="4" w:space="0" w:color="auto"/>
            </w:tcBorders>
            <w:shd w:val="clear" w:color="auto" w:fill="auto"/>
            <w:noWrap/>
            <w:vAlign w:val="center"/>
            <w:hideMark/>
          </w:tcPr>
          <w:p w14:paraId="04E37DC5"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4</w:t>
            </w:r>
            <w:r w:rsidRPr="000C4743">
              <w:rPr>
                <w:rFonts w:ascii="Times New Roman" w:hAnsi="Times New Roman"/>
                <w:color w:val="000000"/>
                <w:sz w:val="18"/>
                <w:szCs w:val="18"/>
                <w:lang w:eastAsia="en-GB"/>
              </w:rPr>
              <w:t> </w:t>
            </w:r>
          </w:p>
        </w:tc>
      </w:tr>
      <w:tr w:rsidR="00C06B91" w:rsidRPr="000C4743" w14:paraId="464B77A1"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4D7BD23E"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223D69F2"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29161F17"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50B37558"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vAlign w:val="center"/>
            <w:hideMark/>
          </w:tcPr>
          <w:p w14:paraId="0FA98F75"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71600</w:t>
            </w:r>
          </w:p>
        </w:tc>
        <w:tc>
          <w:tcPr>
            <w:tcW w:w="2126" w:type="dxa"/>
            <w:tcBorders>
              <w:top w:val="nil"/>
              <w:left w:val="nil"/>
              <w:bottom w:val="single" w:sz="4" w:space="0" w:color="auto"/>
              <w:right w:val="single" w:sz="4" w:space="0" w:color="auto"/>
            </w:tcBorders>
            <w:shd w:val="clear" w:color="auto" w:fill="auto"/>
            <w:noWrap/>
            <w:vAlign w:val="center"/>
            <w:hideMark/>
          </w:tcPr>
          <w:p w14:paraId="76F130DA"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Travel</w:t>
            </w:r>
          </w:p>
        </w:tc>
        <w:tc>
          <w:tcPr>
            <w:tcW w:w="1134" w:type="dxa"/>
            <w:tcBorders>
              <w:top w:val="nil"/>
              <w:left w:val="nil"/>
              <w:bottom w:val="single" w:sz="4" w:space="0" w:color="auto"/>
              <w:right w:val="single" w:sz="4" w:space="0" w:color="auto"/>
            </w:tcBorders>
            <w:shd w:val="clear" w:color="auto" w:fill="auto"/>
            <w:noWrap/>
            <w:vAlign w:val="bottom"/>
            <w:hideMark/>
          </w:tcPr>
          <w:p w14:paraId="1DEC01A0" w14:textId="0FA94AAA" w:rsidR="00C06B91" w:rsidRPr="000C4743" w:rsidRDefault="00C06B91" w:rsidP="007A2E9D">
            <w:pPr>
              <w:spacing w:after="0"/>
              <w:jc w:val="right"/>
              <w:rPr>
                <w:rFonts w:ascii="Times New Roman" w:hAnsi="Times New Roman"/>
                <w:sz w:val="18"/>
                <w:szCs w:val="18"/>
                <w:lang w:eastAsia="en-GB"/>
              </w:rPr>
            </w:pPr>
            <w:r>
              <w:rPr>
                <w:sz w:val="18"/>
                <w:szCs w:val="18"/>
              </w:rPr>
              <w:t>26,844</w:t>
            </w:r>
          </w:p>
        </w:tc>
        <w:tc>
          <w:tcPr>
            <w:tcW w:w="1134" w:type="dxa"/>
            <w:tcBorders>
              <w:top w:val="nil"/>
              <w:left w:val="nil"/>
              <w:bottom w:val="single" w:sz="4" w:space="0" w:color="auto"/>
              <w:right w:val="single" w:sz="4" w:space="0" w:color="auto"/>
            </w:tcBorders>
            <w:shd w:val="clear" w:color="auto" w:fill="auto"/>
            <w:noWrap/>
            <w:vAlign w:val="bottom"/>
            <w:hideMark/>
          </w:tcPr>
          <w:p w14:paraId="0207164B" w14:textId="1EED50F5" w:rsidR="00C06B91" w:rsidRPr="000C4743" w:rsidRDefault="00C06B91" w:rsidP="007A2E9D">
            <w:pPr>
              <w:spacing w:after="0"/>
              <w:jc w:val="right"/>
              <w:rPr>
                <w:rFonts w:ascii="Times New Roman" w:hAnsi="Times New Roman"/>
                <w:sz w:val="18"/>
                <w:szCs w:val="18"/>
                <w:lang w:eastAsia="en-GB"/>
              </w:rPr>
            </w:pPr>
            <w:r>
              <w:rPr>
                <w:sz w:val="18"/>
                <w:szCs w:val="18"/>
              </w:rPr>
              <w:t>17,896</w:t>
            </w:r>
          </w:p>
        </w:tc>
        <w:tc>
          <w:tcPr>
            <w:tcW w:w="1134" w:type="dxa"/>
            <w:tcBorders>
              <w:top w:val="nil"/>
              <w:left w:val="nil"/>
              <w:bottom w:val="single" w:sz="4" w:space="0" w:color="auto"/>
              <w:right w:val="single" w:sz="4" w:space="0" w:color="auto"/>
            </w:tcBorders>
            <w:shd w:val="clear" w:color="auto" w:fill="auto"/>
            <w:noWrap/>
            <w:vAlign w:val="bottom"/>
            <w:hideMark/>
          </w:tcPr>
          <w:p w14:paraId="64EEF371" w14:textId="7E4F510F" w:rsidR="00C06B91" w:rsidRPr="000C4743" w:rsidRDefault="00C06B91" w:rsidP="007A2E9D">
            <w:pPr>
              <w:spacing w:after="0"/>
              <w:jc w:val="right"/>
              <w:rPr>
                <w:rFonts w:ascii="Times New Roman" w:hAnsi="Times New Roman"/>
                <w:sz w:val="18"/>
                <w:szCs w:val="18"/>
                <w:lang w:eastAsia="en-GB"/>
              </w:rPr>
            </w:pPr>
            <w:r>
              <w:rPr>
                <w:sz w:val="18"/>
                <w:szCs w:val="18"/>
              </w:rPr>
              <w:t>26,844</w:t>
            </w:r>
          </w:p>
        </w:tc>
        <w:tc>
          <w:tcPr>
            <w:tcW w:w="992" w:type="dxa"/>
            <w:tcBorders>
              <w:top w:val="nil"/>
              <w:left w:val="nil"/>
              <w:bottom w:val="single" w:sz="4" w:space="0" w:color="auto"/>
              <w:right w:val="single" w:sz="4" w:space="0" w:color="auto"/>
            </w:tcBorders>
            <w:shd w:val="clear" w:color="auto" w:fill="auto"/>
            <w:noWrap/>
            <w:vAlign w:val="bottom"/>
            <w:hideMark/>
          </w:tcPr>
          <w:p w14:paraId="3DFE18BC" w14:textId="5C9EDA1B" w:rsidR="00C06B91" w:rsidRPr="000C4743" w:rsidRDefault="00C06B91" w:rsidP="007A2E9D">
            <w:pPr>
              <w:spacing w:after="0"/>
              <w:jc w:val="right"/>
              <w:rPr>
                <w:rFonts w:ascii="Times New Roman" w:hAnsi="Times New Roman"/>
                <w:sz w:val="18"/>
                <w:szCs w:val="18"/>
                <w:lang w:eastAsia="en-GB"/>
              </w:rPr>
            </w:pPr>
            <w:r>
              <w:rPr>
                <w:sz w:val="18"/>
                <w:szCs w:val="18"/>
              </w:rPr>
              <w:t>8,948</w:t>
            </w:r>
          </w:p>
        </w:tc>
        <w:tc>
          <w:tcPr>
            <w:tcW w:w="992" w:type="dxa"/>
            <w:tcBorders>
              <w:top w:val="nil"/>
              <w:left w:val="nil"/>
              <w:bottom w:val="single" w:sz="4" w:space="0" w:color="auto"/>
              <w:right w:val="single" w:sz="4" w:space="0" w:color="auto"/>
            </w:tcBorders>
            <w:shd w:val="clear" w:color="auto" w:fill="auto"/>
            <w:noWrap/>
            <w:vAlign w:val="bottom"/>
            <w:hideMark/>
          </w:tcPr>
          <w:p w14:paraId="5807B73E" w14:textId="1759B3D5" w:rsidR="00C06B91" w:rsidRPr="000C4743" w:rsidRDefault="00C06B91" w:rsidP="007A2E9D">
            <w:pPr>
              <w:spacing w:after="0"/>
              <w:jc w:val="right"/>
              <w:rPr>
                <w:rFonts w:ascii="Times New Roman" w:hAnsi="Times New Roman"/>
                <w:sz w:val="18"/>
                <w:szCs w:val="18"/>
                <w:lang w:eastAsia="en-GB"/>
              </w:rPr>
            </w:pPr>
            <w:r>
              <w:rPr>
                <w:sz w:val="18"/>
                <w:szCs w:val="18"/>
              </w:rPr>
              <w:t>8,948</w:t>
            </w:r>
          </w:p>
        </w:tc>
        <w:tc>
          <w:tcPr>
            <w:tcW w:w="1134" w:type="dxa"/>
            <w:tcBorders>
              <w:top w:val="nil"/>
              <w:left w:val="nil"/>
              <w:bottom w:val="single" w:sz="4" w:space="0" w:color="auto"/>
              <w:right w:val="single" w:sz="4" w:space="0" w:color="auto"/>
            </w:tcBorders>
            <w:shd w:val="clear" w:color="auto" w:fill="auto"/>
            <w:noWrap/>
            <w:vAlign w:val="bottom"/>
            <w:hideMark/>
          </w:tcPr>
          <w:p w14:paraId="3B0DA249" w14:textId="3956C719" w:rsidR="00C06B91" w:rsidRPr="000C4743" w:rsidRDefault="00C06B91" w:rsidP="007A2E9D">
            <w:pPr>
              <w:spacing w:after="0"/>
              <w:jc w:val="right"/>
              <w:rPr>
                <w:rFonts w:ascii="Times New Roman" w:hAnsi="Times New Roman"/>
                <w:sz w:val="18"/>
                <w:szCs w:val="18"/>
                <w:lang w:eastAsia="en-GB"/>
              </w:rPr>
            </w:pPr>
            <w:r>
              <w:rPr>
                <w:sz w:val="18"/>
                <w:szCs w:val="18"/>
              </w:rPr>
              <w:t>89,480</w:t>
            </w:r>
          </w:p>
        </w:tc>
        <w:tc>
          <w:tcPr>
            <w:tcW w:w="851" w:type="dxa"/>
            <w:tcBorders>
              <w:top w:val="nil"/>
              <w:left w:val="nil"/>
              <w:bottom w:val="single" w:sz="4" w:space="0" w:color="auto"/>
              <w:right w:val="single" w:sz="4" w:space="0" w:color="auto"/>
            </w:tcBorders>
            <w:shd w:val="clear" w:color="auto" w:fill="auto"/>
            <w:noWrap/>
            <w:vAlign w:val="center"/>
            <w:hideMark/>
          </w:tcPr>
          <w:p w14:paraId="15179F6B"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5</w:t>
            </w:r>
            <w:r w:rsidRPr="000C4743">
              <w:rPr>
                <w:rFonts w:ascii="Times New Roman" w:hAnsi="Times New Roman"/>
                <w:color w:val="000000"/>
                <w:sz w:val="18"/>
                <w:szCs w:val="18"/>
                <w:lang w:eastAsia="en-GB"/>
              </w:rPr>
              <w:t> </w:t>
            </w:r>
          </w:p>
        </w:tc>
      </w:tr>
      <w:tr w:rsidR="00C06B91" w:rsidRPr="000C4743" w14:paraId="7763D237"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58393853"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2632A404"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7FCAFB73"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291D6E5A"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vAlign w:val="center"/>
            <w:hideMark/>
          </w:tcPr>
          <w:p w14:paraId="691F4B09"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72400</w:t>
            </w:r>
          </w:p>
        </w:tc>
        <w:tc>
          <w:tcPr>
            <w:tcW w:w="2126" w:type="dxa"/>
            <w:tcBorders>
              <w:top w:val="nil"/>
              <w:left w:val="nil"/>
              <w:bottom w:val="single" w:sz="4" w:space="0" w:color="auto"/>
              <w:right w:val="single" w:sz="4" w:space="0" w:color="auto"/>
            </w:tcBorders>
            <w:shd w:val="clear" w:color="auto" w:fill="auto"/>
            <w:noWrap/>
            <w:vAlign w:val="center"/>
            <w:hideMark/>
          </w:tcPr>
          <w:p w14:paraId="708E7806" w14:textId="77777777" w:rsidR="00C06B91" w:rsidRPr="000C4743" w:rsidRDefault="00C06B91" w:rsidP="000C4743">
            <w:pPr>
              <w:spacing w:after="0"/>
              <w:jc w:val="left"/>
              <w:rPr>
                <w:rFonts w:ascii="Times New Roman" w:hAnsi="Times New Roman"/>
                <w:sz w:val="18"/>
                <w:szCs w:val="18"/>
                <w:lang w:eastAsia="en-GB"/>
              </w:rPr>
            </w:pPr>
            <w:r>
              <w:rPr>
                <w:rFonts w:ascii="Times New Roman" w:hAnsi="Times New Roman"/>
                <w:sz w:val="18"/>
                <w:szCs w:val="18"/>
                <w:lang w:eastAsia="en-GB"/>
              </w:rPr>
              <w:t>Communications &amp; Publications</w:t>
            </w:r>
          </w:p>
        </w:tc>
        <w:tc>
          <w:tcPr>
            <w:tcW w:w="1134" w:type="dxa"/>
            <w:tcBorders>
              <w:top w:val="nil"/>
              <w:left w:val="nil"/>
              <w:bottom w:val="single" w:sz="4" w:space="0" w:color="auto"/>
              <w:right w:val="single" w:sz="4" w:space="0" w:color="auto"/>
            </w:tcBorders>
            <w:shd w:val="clear" w:color="auto" w:fill="auto"/>
            <w:noWrap/>
            <w:vAlign w:val="bottom"/>
            <w:hideMark/>
          </w:tcPr>
          <w:p w14:paraId="249F83A1" w14:textId="72F1E7A4" w:rsidR="00C06B91" w:rsidRPr="000C4743" w:rsidRDefault="00C06B91" w:rsidP="007A2E9D">
            <w:pPr>
              <w:spacing w:after="0"/>
              <w:jc w:val="right"/>
              <w:rPr>
                <w:rFonts w:ascii="Times New Roman" w:hAnsi="Times New Roman"/>
                <w:sz w:val="18"/>
                <w:szCs w:val="18"/>
                <w:lang w:eastAsia="en-GB"/>
              </w:rPr>
            </w:pPr>
            <w:r>
              <w:rPr>
                <w:sz w:val="18"/>
                <w:szCs w:val="18"/>
              </w:rPr>
              <w:t>600</w:t>
            </w:r>
          </w:p>
        </w:tc>
        <w:tc>
          <w:tcPr>
            <w:tcW w:w="1134" w:type="dxa"/>
            <w:tcBorders>
              <w:top w:val="nil"/>
              <w:left w:val="nil"/>
              <w:bottom w:val="single" w:sz="4" w:space="0" w:color="auto"/>
              <w:right w:val="single" w:sz="4" w:space="0" w:color="auto"/>
            </w:tcBorders>
            <w:shd w:val="clear" w:color="auto" w:fill="auto"/>
            <w:noWrap/>
            <w:vAlign w:val="bottom"/>
            <w:hideMark/>
          </w:tcPr>
          <w:p w14:paraId="16897E4C" w14:textId="39C98B19" w:rsidR="00C06B91" w:rsidRPr="000C4743" w:rsidRDefault="00C06B91" w:rsidP="007A2E9D">
            <w:pPr>
              <w:spacing w:after="0"/>
              <w:jc w:val="right"/>
              <w:rPr>
                <w:rFonts w:ascii="Times New Roman" w:hAnsi="Times New Roman"/>
                <w:sz w:val="18"/>
                <w:szCs w:val="18"/>
                <w:lang w:eastAsia="en-GB"/>
              </w:rPr>
            </w:pPr>
            <w:r>
              <w:rPr>
                <w:sz w:val="18"/>
                <w:szCs w:val="18"/>
              </w:rPr>
              <w:t>400</w:t>
            </w:r>
          </w:p>
        </w:tc>
        <w:tc>
          <w:tcPr>
            <w:tcW w:w="1134" w:type="dxa"/>
            <w:tcBorders>
              <w:top w:val="nil"/>
              <w:left w:val="nil"/>
              <w:bottom w:val="single" w:sz="4" w:space="0" w:color="auto"/>
              <w:right w:val="single" w:sz="4" w:space="0" w:color="auto"/>
            </w:tcBorders>
            <w:shd w:val="clear" w:color="auto" w:fill="auto"/>
            <w:noWrap/>
            <w:vAlign w:val="bottom"/>
            <w:hideMark/>
          </w:tcPr>
          <w:p w14:paraId="33BEF60A" w14:textId="47EF1B89" w:rsidR="00C06B91" w:rsidRPr="000C4743" w:rsidRDefault="00C06B91" w:rsidP="007A2E9D">
            <w:pPr>
              <w:spacing w:after="0"/>
              <w:jc w:val="right"/>
              <w:rPr>
                <w:rFonts w:ascii="Times New Roman" w:hAnsi="Times New Roman"/>
                <w:sz w:val="18"/>
                <w:szCs w:val="18"/>
                <w:lang w:eastAsia="en-GB"/>
              </w:rPr>
            </w:pPr>
            <w:r>
              <w:rPr>
                <w:sz w:val="18"/>
                <w:szCs w:val="18"/>
              </w:rPr>
              <w:t>600</w:t>
            </w:r>
          </w:p>
        </w:tc>
        <w:tc>
          <w:tcPr>
            <w:tcW w:w="992" w:type="dxa"/>
            <w:tcBorders>
              <w:top w:val="nil"/>
              <w:left w:val="nil"/>
              <w:bottom w:val="single" w:sz="4" w:space="0" w:color="auto"/>
              <w:right w:val="single" w:sz="4" w:space="0" w:color="auto"/>
            </w:tcBorders>
            <w:shd w:val="clear" w:color="auto" w:fill="auto"/>
            <w:noWrap/>
            <w:vAlign w:val="bottom"/>
            <w:hideMark/>
          </w:tcPr>
          <w:p w14:paraId="3FF19B99" w14:textId="0F3C1A88" w:rsidR="00C06B91" w:rsidRPr="000C4743" w:rsidRDefault="00C06B91" w:rsidP="007A2E9D">
            <w:pPr>
              <w:spacing w:after="0"/>
              <w:jc w:val="right"/>
              <w:rPr>
                <w:rFonts w:ascii="Times New Roman" w:hAnsi="Times New Roman"/>
                <w:sz w:val="18"/>
                <w:szCs w:val="18"/>
                <w:lang w:eastAsia="en-GB"/>
              </w:rPr>
            </w:pPr>
            <w:r>
              <w:rPr>
                <w:sz w:val="18"/>
                <w:szCs w:val="18"/>
              </w:rPr>
              <w:t>200</w:t>
            </w:r>
          </w:p>
        </w:tc>
        <w:tc>
          <w:tcPr>
            <w:tcW w:w="992" w:type="dxa"/>
            <w:tcBorders>
              <w:top w:val="nil"/>
              <w:left w:val="nil"/>
              <w:bottom w:val="single" w:sz="4" w:space="0" w:color="auto"/>
              <w:right w:val="single" w:sz="4" w:space="0" w:color="auto"/>
            </w:tcBorders>
            <w:shd w:val="clear" w:color="auto" w:fill="auto"/>
            <w:noWrap/>
            <w:vAlign w:val="bottom"/>
            <w:hideMark/>
          </w:tcPr>
          <w:p w14:paraId="32EB1EBD" w14:textId="1AFD78BB" w:rsidR="00C06B91" w:rsidRPr="000C4743" w:rsidRDefault="00C06B91" w:rsidP="007A2E9D">
            <w:pPr>
              <w:spacing w:after="0"/>
              <w:jc w:val="right"/>
              <w:rPr>
                <w:rFonts w:ascii="Times New Roman" w:hAnsi="Times New Roman"/>
                <w:sz w:val="18"/>
                <w:szCs w:val="18"/>
                <w:lang w:eastAsia="en-GB"/>
              </w:rPr>
            </w:pPr>
            <w:r>
              <w:rPr>
                <w:sz w:val="18"/>
                <w:szCs w:val="18"/>
              </w:rPr>
              <w:t>200</w:t>
            </w:r>
          </w:p>
        </w:tc>
        <w:tc>
          <w:tcPr>
            <w:tcW w:w="1134" w:type="dxa"/>
            <w:tcBorders>
              <w:top w:val="nil"/>
              <w:left w:val="nil"/>
              <w:bottom w:val="single" w:sz="4" w:space="0" w:color="auto"/>
              <w:right w:val="single" w:sz="4" w:space="0" w:color="auto"/>
            </w:tcBorders>
            <w:shd w:val="clear" w:color="auto" w:fill="auto"/>
            <w:noWrap/>
            <w:vAlign w:val="bottom"/>
            <w:hideMark/>
          </w:tcPr>
          <w:p w14:paraId="0107108E" w14:textId="6390A5EC" w:rsidR="00C06B91" w:rsidRPr="000C4743" w:rsidRDefault="00C06B91" w:rsidP="007A2E9D">
            <w:pPr>
              <w:spacing w:after="0"/>
              <w:jc w:val="right"/>
              <w:rPr>
                <w:rFonts w:ascii="Times New Roman" w:hAnsi="Times New Roman"/>
                <w:sz w:val="18"/>
                <w:szCs w:val="18"/>
                <w:lang w:eastAsia="en-GB"/>
              </w:rPr>
            </w:pPr>
            <w:r>
              <w:rPr>
                <w:sz w:val="18"/>
                <w:szCs w:val="18"/>
              </w:rPr>
              <w:t>2,000</w:t>
            </w:r>
          </w:p>
        </w:tc>
        <w:tc>
          <w:tcPr>
            <w:tcW w:w="851" w:type="dxa"/>
            <w:tcBorders>
              <w:top w:val="nil"/>
              <w:left w:val="nil"/>
              <w:bottom w:val="single" w:sz="4" w:space="0" w:color="auto"/>
              <w:right w:val="single" w:sz="4" w:space="0" w:color="auto"/>
            </w:tcBorders>
            <w:shd w:val="clear" w:color="auto" w:fill="auto"/>
            <w:noWrap/>
            <w:vAlign w:val="center"/>
            <w:hideMark/>
          </w:tcPr>
          <w:p w14:paraId="0712CD8A"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p>
        </w:tc>
      </w:tr>
      <w:tr w:rsidR="00C06B91" w:rsidRPr="000C4743" w14:paraId="28027DFB"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4B847E54"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34EF45CA"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5A553817"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12559ECE"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vAlign w:val="center"/>
            <w:hideMark/>
          </w:tcPr>
          <w:p w14:paraId="79B9ED25"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75700</w:t>
            </w:r>
          </w:p>
        </w:tc>
        <w:tc>
          <w:tcPr>
            <w:tcW w:w="2126" w:type="dxa"/>
            <w:tcBorders>
              <w:top w:val="nil"/>
              <w:left w:val="nil"/>
              <w:bottom w:val="single" w:sz="4" w:space="0" w:color="auto"/>
              <w:right w:val="single" w:sz="4" w:space="0" w:color="auto"/>
            </w:tcBorders>
            <w:shd w:val="clear" w:color="auto" w:fill="auto"/>
            <w:noWrap/>
            <w:vAlign w:val="center"/>
            <w:hideMark/>
          </w:tcPr>
          <w:p w14:paraId="6CCB9A00" w14:textId="77777777" w:rsidR="00C06B91" w:rsidRPr="000C4743" w:rsidRDefault="00C06B91" w:rsidP="000C4743">
            <w:pPr>
              <w:spacing w:after="0"/>
              <w:jc w:val="left"/>
              <w:rPr>
                <w:rFonts w:ascii="Times New Roman" w:hAnsi="Times New Roman"/>
                <w:sz w:val="18"/>
                <w:szCs w:val="18"/>
                <w:lang w:eastAsia="en-GB"/>
              </w:rPr>
            </w:pPr>
            <w:r>
              <w:rPr>
                <w:rFonts w:ascii="Times New Roman" w:hAnsi="Times New Roman"/>
                <w:sz w:val="18"/>
                <w:szCs w:val="18"/>
                <w:lang w:eastAsia="en-GB"/>
              </w:rPr>
              <w:t>Training, Workshops and Conferences</w:t>
            </w:r>
          </w:p>
        </w:tc>
        <w:tc>
          <w:tcPr>
            <w:tcW w:w="1134" w:type="dxa"/>
            <w:tcBorders>
              <w:top w:val="nil"/>
              <w:left w:val="nil"/>
              <w:bottom w:val="single" w:sz="4" w:space="0" w:color="auto"/>
              <w:right w:val="single" w:sz="4" w:space="0" w:color="auto"/>
            </w:tcBorders>
            <w:shd w:val="clear" w:color="auto" w:fill="auto"/>
            <w:noWrap/>
            <w:vAlign w:val="bottom"/>
            <w:hideMark/>
          </w:tcPr>
          <w:p w14:paraId="59DFF20D" w14:textId="3580FD95" w:rsidR="00C06B91" w:rsidRPr="000C4743" w:rsidRDefault="00C06B91" w:rsidP="007A2E9D">
            <w:pPr>
              <w:spacing w:after="0"/>
              <w:jc w:val="right"/>
              <w:rPr>
                <w:rFonts w:ascii="Times New Roman" w:hAnsi="Times New Roman"/>
                <w:sz w:val="18"/>
                <w:szCs w:val="18"/>
                <w:lang w:eastAsia="en-GB"/>
              </w:rPr>
            </w:pPr>
            <w:r>
              <w:rPr>
                <w:sz w:val="18"/>
                <w:szCs w:val="18"/>
              </w:rPr>
              <w:t>2,856</w:t>
            </w:r>
          </w:p>
        </w:tc>
        <w:tc>
          <w:tcPr>
            <w:tcW w:w="1134" w:type="dxa"/>
            <w:tcBorders>
              <w:top w:val="nil"/>
              <w:left w:val="nil"/>
              <w:bottom w:val="single" w:sz="4" w:space="0" w:color="auto"/>
              <w:right w:val="single" w:sz="4" w:space="0" w:color="auto"/>
            </w:tcBorders>
            <w:shd w:val="clear" w:color="auto" w:fill="auto"/>
            <w:noWrap/>
            <w:vAlign w:val="bottom"/>
            <w:hideMark/>
          </w:tcPr>
          <w:p w14:paraId="7F55C6E4" w14:textId="303853F2" w:rsidR="00C06B91" w:rsidRPr="000C4743" w:rsidRDefault="00C06B91" w:rsidP="007A2E9D">
            <w:pPr>
              <w:spacing w:after="0"/>
              <w:jc w:val="right"/>
              <w:rPr>
                <w:rFonts w:ascii="Times New Roman" w:hAnsi="Times New Roman"/>
                <w:sz w:val="18"/>
                <w:szCs w:val="18"/>
                <w:lang w:eastAsia="en-GB"/>
              </w:rPr>
            </w:pPr>
            <w:r>
              <w:rPr>
                <w:sz w:val="18"/>
                <w:szCs w:val="18"/>
              </w:rPr>
              <w:t>1,904</w:t>
            </w:r>
          </w:p>
        </w:tc>
        <w:tc>
          <w:tcPr>
            <w:tcW w:w="1134" w:type="dxa"/>
            <w:tcBorders>
              <w:top w:val="nil"/>
              <w:left w:val="nil"/>
              <w:bottom w:val="single" w:sz="4" w:space="0" w:color="auto"/>
              <w:right w:val="single" w:sz="4" w:space="0" w:color="auto"/>
            </w:tcBorders>
            <w:shd w:val="clear" w:color="auto" w:fill="auto"/>
            <w:noWrap/>
            <w:vAlign w:val="bottom"/>
            <w:hideMark/>
          </w:tcPr>
          <w:p w14:paraId="18BC27CB" w14:textId="25B28792" w:rsidR="00C06B91" w:rsidRPr="000C4743" w:rsidRDefault="00C06B91" w:rsidP="007A2E9D">
            <w:pPr>
              <w:spacing w:after="0"/>
              <w:jc w:val="right"/>
              <w:rPr>
                <w:rFonts w:ascii="Times New Roman" w:hAnsi="Times New Roman"/>
                <w:sz w:val="18"/>
                <w:szCs w:val="18"/>
                <w:lang w:eastAsia="en-GB"/>
              </w:rPr>
            </w:pPr>
            <w:r>
              <w:rPr>
                <w:sz w:val="18"/>
                <w:szCs w:val="18"/>
              </w:rPr>
              <w:t>2,856</w:t>
            </w:r>
          </w:p>
        </w:tc>
        <w:tc>
          <w:tcPr>
            <w:tcW w:w="992" w:type="dxa"/>
            <w:tcBorders>
              <w:top w:val="nil"/>
              <w:left w:val="nil"/>
              <w:bottom w:val="single" w:sz="4" w:space="0" w:color="auto"/>
              <w:right w:val="single" w:sz="4" w:space="0" w:color="auto"/>
            </w:tcBorders>
            <w:shd w:val="clear" w:color="auto" w:fill="auto"/>
            <w:noWrap/>
            <w:vAlign w:val="bottom"/>
            <w:hideMark/>
          </w:tcPr>
          <w:p w14:paraId="054F601B" w14:textId="3B64FB42" w:rsidR="00C06B91" w:rsidRPr="000C4743" w:rsidRDefault="00C06B91" w:rsidP="007A2E9D">
            <w:pPr>
              <w:spacing w:after="0"/>
              <w:jc w:val="right"/>
              <w:rPr>
                <w:rFonts w:ascii="Times New Roman" w:hAnsi="Times New Roman"/>
                <w:sz w:val="18"/>
                <w:szCs w:val="18"/>
                <w:lang w:eastAsia="en-GB"/>
              </w:rPr>
            </w:pPr>
            <w:r>
              <w:rPr>
                <w:sz w:val="18"/>
                <w:szCs w:val="18"/>
              </w:rPr>
              <w:t>952</w:t>
            </w:r>
          </w:p>
        </w:tc>
        <w:tc>
          <w:tcPr>
            <w:tcW w:w="992" w:type="dxa"/>
            <w:tcBorders>
              <w:top w:val="nil"/>
              <w:left w:val="nil"/>
              <w:bottom w:val="single" w:sz="4" w:space="0" w:color="auto"/>
              <w:right w:val="single" w:sz="4" w:space="0" w:color="auto"/>
            </w:tcBorders>
            <w:shd w:val="clear" w:color="auto" w:fill="auto"/>
            <w:noWrap/>
            <w:vAlign w:val="bottom"/>
            <w:hideMark/>
          </w:tcPr>
          <w:p w14:paraId="5126989D" w14:textId="48A74D7E" w:rsidR="00C06B91" w:rsidRPr="000C4743" w:rsidRDefault="00C06B91" w:rsidP="007A2E9D">
            <w:pPr>
              <w:spacing w:after="0"/>
              <w:jc w:val="right"/>
              <w:rPr>
                <w:rFonts w:ascii="Times New Roman" w:hAnsi="Times New Roman"/>
                <w:sz w:val="18"/>
                <w:szCs w:val="18"/>
                <w:lang w:eastAsia="en-GB"/>
              </w:rPr>
            </w:pPr>
            <w:r>
              <w:rPr>
                <w:sz w:val="18"/>
                <w:szCs w:val="18"/>
              </w:rPr>
              <w:t>952</w:t>
            </w:r>
          </w:p>
        </w:tc>
        <w:tc>
          <w:tcPr>
            <w:tcW w:w="1134" w:type="dxa"/>
            <w:tcBorders>
              <w:top w:val="nil"/>
              <w:left w:val="nil"/>
              <w:bottom w:val="single" w:sz="4" w:space="0" w:color="auto"/>
              <w:right w:val="single" w:sz="4" w:space="0" w:color="auto"/>
            </w:tcBorders>
            <w:shd w:val="clear" w:color="auto" w:fill="auto"/>
            <w:noWrap/>
            <w:vAlign w:val="bottom"/>
            <w:hideMark/>
          </w:tcPr>
          <w:p w14:paraId="50B9B0B3" w14:textId="2D570012" w:rsidR="00C06B91" w:rsidRPr="000C4743" w:rsidRDefault="00C06B91" w:rsidP="007A2E9D">
            <w:pPr>
              <w:spacing w:after="0"/>
              <w:jc w:val="right"/>
              <w:rPr>
                <w:rFonts w:ascii="Times New Roman" w:hAnsi="Times New Roman"/>
                <w:sz w:val="18"/>
                <w:szCs w:val="18"/>
                <w:lang w:eastAsia="en-GB"/>
              </w:rPr>
            </w:pPr>
            <w:r>
              <w:rPr>
                <w:sz w:val="18"/>
                <w:szCs w:val="18"/>
              </w:rPr>
              <w:t>9,520</w:t>
            </w:r>
          </w:p>
        </w:tc>
        <w:tc>
          <w:tcPr>
            <w:tcW w:w="851" w:type="dxa"/>
            <w:tcBorders>
              <w:top w:val="nil"/>
              <w:left w:val="nil"/>
              <w:bottom w:val="single" w:sz="4" w:space="0" w:color="auto"/>
              <w:right w:val="single" w:sz="4" w:space="0" w:color="auto"/>
            </w:tcBorders>
            <w:shd w:val="clear" w:color="auto" w:fill="auto"/>
            <w:noWrap/>
            <w:vAlign w:val="center"/>
            <w:hideMark/>
          </w:tcPr>
          <w:p w14:paraId="7EBCB1EB"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p>
        </w:tc>
      </w:tr>
      <w:tr w:rsidR="00C06B91" w:rsidRPr="000C4743" w14:paraId="3192D8FD" w14:textId="77777777" w:rsidTr="006F7397">
        <w:trPr>
          <w:trHeight w:val="300"/>
        </w:trPr>
        <w:tc>
          <w:tcPr>
            <w:tcW w:w="1716" w:type="dxa"/>
            <w:vMerge/>
            <w:tcBorders>
              <w:top w:val="nil"/>
              <w:left w:val="single" w:sz="4" w:space="0" w:color="auto"/>
              <w:bottom w:val="single" w:sz="4" w:space="0" w:color="000000"/>
              <w:right w:val="single" w:sz="4" w:space="0" w:color="auto"/>
            </w:tcBorders>
            <w:vAlign w:val="center"/>
            <w:hideMark/>
          </w:tcPr>
          <w:p w14:paraId="02A7D889"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7C2AA4C8"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0B008286"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2D9C0E72"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56E2F4FE"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 </w:t>
            </w:r>
          </w:p>
        </w:tc>
        <w:tc>
          <w:tcPr>
            <w:tcW w:w="2126" w:type="dxa"/>
            <w:tcBorders>
              <w:top w:val="nil"/>
              <w:left w:val="nil"/>
              <w:bottom w:val="single" w:sz="4" w:space="0" w:color="auto"/>
              <w:right w:val="single" w:sz="4" w:space="0" w:color="auto"/>
            </w:tcBorders>
            <w:shd w:val="clear" w:color="auto" w:fill="auto"/>
            <w:vAlign w:val="center"/>
            <w:hideMark/>
          </w:tcPr>
          <w:p w14:paraId="5BDD9C59" w14:textId="77777777" w:rsidR="00C06B91" w:rsidRPr="000C4743" w:rsidRDefault="00C06B91" w:rsidP="000C4743">
            <w:pPr>
              <w:spacing w:after="0"/>
              <w:jc w:val="left"/>
              <w:rPr>
                <w:rFonts w:ascii="Times New Roman" w:hAnsi="Times New Roman"/>
                <w:b/>
                <w:bCs/>
                <w:color w:val="000000"/>
                <w:sz w:val="18"/>
                <w:szCs w:val="18"/>
                <w:lang w:eastAsia="en-GB"/>
              </w:rPr>
            </w:pPr>
            <w:r w:rsidRPr="000C4743">
              <w:rPr>
                <w:rFonts w:ascii="Times New Roman" w:hAnsi="Times New Roman"/>
                <w:b/>
                <w:bCs/>
                <w:color w:val="000000"/>
                <w:sz w:val="18"/>
                <w:szCs w:val="18"/>
                <w:lang w:eastAsia="en-GB"/>
              </w:rPr>
              <w:t xml:space="preserve">TOTAL Outcome 1 </w:t>
            </w:r>
          </w:p>
        </w:tc>
        <w:tc>
          <w:tcPr>
            <w:tcW w:w="1134" w:type="dxa"/>
            <w:tcBorders>
              <w:top w:val="nil"/>
              <w:left w:val="nil"/>
              <w:bottom w:val="single" w:sz="4" w:space="0" w:color="auto"/>
              <w:right w:val="single" w:sz="4" w:space="0" w:color="auto"/>
            </w:tcBorders>
            <w:shd w:val="clear" w:color="auto" w:fill="auto"/>
            <w:noWrap/>
            <w:vAlign w:val="bottom"/>
            <w:hideMark/>
          </w:tcPr>
          <w:p w14:paraId="5FC3E7A2" w14:textId="11964566" w:rsidR="00C06B91" w:rsidRPr="000C4743" w:rsidRDefault="00C06B91" w:rsidP="007A2E9D">
            <w:pPr>
              <w:spacing w:after="0"/>
              <w:jc w:val="right"/>
              <w:rPr>
                <w:rFonts w:ascii="Times New Roman" w:hAnsi="Times New Roman"/>
                <w:b/>
                <w:bCs/>
                <w:sz w:val="18"/>
                <w:szCs w:val="18"/>
                <w:lang w:eastAsia="en-GB"/>
              </w:rPr>
            </w:pPr>
            <w:r>
              <w:rPr>
                <w:b/>
                <w:bCs/>
                <w:sz w:val="18"/>
                <w:szCs w:val="18"/>
              </w:rPr>
              <w:t>120,000</w:t>
            </w:r>
          </w:p>
        </w:tc>
        <w:tc>
          <w:tcPr>
            <w:tcW w:w="1134" w:type="dxa"/>
            <w:tcBorders>
              <w:top w:val="nil"/>
              <w:left w:val="nil"/>
              <w:bottom w:val="single" w:sz="4" w:space="0" w:color="auto"/>
              <w:right w:val="single" w:sz="4" w:space="0" w:color="auto"/>
            </w:tcBorders>
            <w:shd w:val="clear" w:color="auto" w:fill="auto"/>
            <w:noWrap/>
            <w:vAlign w:val="bottom"/>
            <w:hideMark/>
          </w:tcPr>
          <w:p w14:paraId="799A21DE" w14:textId="56BDAAC9" w:rsidR="00C06B91" w:rsidRPr="000C4743" w:rsidRDefault="00C06B91" w:rsidP="007A2E9D">
            <w:pPr>
              <w:spacing w:after="0"/>
              <w:jc w:val="right"/>
              <w:rPr>
                <w:rFonts w:ascii="Times New Roman" w:hAnsi="Times New Roman"/>
                <w:b/>
                <w:bCs/>
                <w:sz w:val="18"/>
                <w:szCs w:val="18"/>
                <w:lang w:eastAsia="en-GB"/>
              </w:rPr>
            </w:pPr>
            <w:r>
              <w:rPr>
                <w:b/>
                <w:bCs/>
                <w:sz w:val="18"/>
                <w:szCs w:val="18"/>
              </w:rPr>
              <w:t>80,000</w:t>
            </w:r>
          </w:p>
        </w:tc>
        <w:tc>
          <w:tcPr>
            <w:tcW w:w="1134" w:type="dxa"/>
            <w:tcBorders>
              <w:top w:val="nil"/>
              <w:left w:val="nil"/>
              <w:bottom w:val="single" w:sz="4" w:space="0" w:color="auto"/>
              <w:right w:val="single" w:sz="4" w:space="0" w:color="auto"/>
            </w:tcBorders>
            <w:shd w:val="clear" w:color="auto" w:fill="auto"/>
            <w:noWrap/>
            <w:vAlign w:val="bottom"/>
            <w:hideMark/>
          </w:tcPr>
          <w:p w14:paraId="291230B2" w14:textId="5187E149" w:rsidR="00C06B91" w:rsidRPr="000C4743" w:rsidRDefault="00C06B91" w:rsidP="007A2E9D">
            <w:pPr>
              <w:spacing w:after="0"/>
              <w:jc w:val="right"/>
              <w:rPr>
                <w:rFonts w:ascii="Times New Roman" w:hAnsi="Times New Roman"/>
                <w:b/>
                <w:bCs/>
                <w:sz w:val="18"/>
                <w:szCs w:val="18"/>
                <w:lang w:eastAsia="en-GB"/>
              </w:rPr>
            </w:pPr>
            <w:r>
              <w:rPr>
                <w:b/>
                <w:bCs/>
                <w:sz w:val="18"/>
                <w:szCs w:val="18"/>
              </w:rPr>
              <w:t>120,000</w:t>
            </w:r>
          </w:p>
        </w:tc>
        <w:tc>
          <w:tcPr>
            <w:tcW w:w="992" w:type="dxa"/>
            <w:tcBorders>
              <w:top w:val="nil"/>
              <w:left w:val="nil"/>
              <w:bottom w:val="single" w:sz="4" w:space="0" w:color="auto"/>
              <w:right w:val="single" w:sz="4" w:space="0" w:color="auto"/>
            </w:tcBorders>
            <w:shd w:val="clear" w:color="auto" w:fill="auto"/>
            <w:noWrap/>
            <w:vAlign w:val="bottom"/>
            <w:hideMark/>
          </w:tcPr>
          <w:p w14:paraId="39E2D7A2" w14:textId="2CE3F8FA" w:rsidR="00C06B91" w:rsidRPr="000C4743" w:rsidRDefault="00C06B91" w:rsidP="007A2E9D">
            <w:pPr>
              <w:spacing w:after="0"/>
              <w:jc w:val="right"/>
              <w:rPr>
                <w:rFonts w:ascii="Times New Roman" w:hAnsi="Times New Roman"/>
                <w:b/>
                <w:bCs/>
                <w:sz w:val="18"/>
                <w:szCs w:val="18"/>
                <w:lang w:eastAsia="en-GB"/>
              </w:rPr>
            </w:pPr>
            <w:r>
              <w:rPr>
                <w:b/>
                <w:bCs/>
                <w:sz w:val="18"/>
                <w:szCs w:val="18"/>
              </w:rPr>
              <w:t>40,000</w:t>
            </w:r>
          </w:p>
        </w:tc>
        <w:tc>
          <w:tcPr>
            <w:tcW w:w="992" w:type="dxa"/>
            <w:tcBorders>
              <w:top w:val="nil"/>
              <w:left w:val="nil"/>
              <w:bottom w:val="single" w:sz="4" w:space="0" w:color="auto"/>
              <w:right w:val="single" w:sz="4" w:space="0" w:color="auto"/>
            </w:tcBorders>
            <w:shd w:val="clear" w:color="auto" w:fill="auto"/>
            <w:noWrap/>
            <w:vAlign w:val="bottom"/>
            <w:hideMark/>
          </w:tcPr>
          <w:p w14:paraId="4E7739D1" w14:textId="078002CC" w:rsidR="00C06B91" w:rsidRPr="000C4743" w:rsidRDefault="00C06B91" w:rsidP="007A2E9D">
            <w:pPr>
              <w:spacing w:after="0"/>
              <w:jc w:val="right"/>
              <w:rPr>
                <w:rFonts w:ascii="Times New Roman" w:hAnsi="Times New Roman"/>
                <w:b/>
                <w:bCs/>
                <w:sz w:val="18"/>
                <w:szCs w:val="18"/>
                <w:lang w:eastAsia="en-GB"/>
              </w:rPr>
            </w:pPr>
            <w:r>
              <w:rPr>
                <w:b/>
                <w:bCs/>
                <w:sz w:val="18"/>
                <w:szCs w:val="18"/>
              </w:rPr>
              <w:t>40,000</w:t>
            </w:r>
          </w:p>
        </w:tc>
        <w:tc>
          <w:tcPr>
            <w:tcW w:w="1134" w:type="dxa"/>
            <w:tcBorders>
              <w:top w:val="nil"/>
              <w:left w:val="nil"/>
              <w:bottom w:val="single" w:sz="4" w:space="0" w:color="auto"/>
              <w:right w:val="single" w:sz="4" w:space="0" w:color="auto"/>
            </w:tcBorders>
            <w:shd w:val="clear" w:color="auto" w:fill="auto"/>
            <w:noWrap/>
            <w:vAlign w:val="bottom"/>
            <w:hideMark/>
          </w:tcPr>
          <w:p w14:paraId="4EF1EA35" w14:textId="4948ACD6" w:rsidR="00C06B91" w:rsidRPr="000C4743" w:rsidRDefault="00C06B91" w:rsidP="007A2E9D">
            <w:pPr>
              <w:spacing w:after="0"/>
              <w:jc w:val="right"/>
              <w:rPr>
                <w:rFonts w:ascii="Times New Roman" w:hAnsi="Times New Roman"/>
                <w:b/>
                <w:bCs/>
                <w:sz w:val="18"/>
                <w:szCs w:val="18"/>
                <w:lang w:eastAsia="en-GB"/>
              </w:rPr>
            </w:pPr>
            <w:r>
              <w:rPr>
                <w:b/>
                <w:bCs/>
                <w:sz w:val="18"/>
                <w:szCs w:val="18"/>
              </w:rPr>
              <w:t>400,000</w:t>
            </w:r>
          </w:p>
        </w:tc>
        <w:tc>
          <w:tcPr>
            <w:tcW w:w="851" w:type="dxa"/>
            <w:tcBorders>
              <w:top w:val="nil"/>
              <w:left w:val="nil"/>
              <w:bottom w:val="single" w:sz="4" w:space="0" w:color="auto"/>
              <w:right w:val="single" w:sz="4" w:space="0" w:color="auto"/>
            </w:tcBorders>
            <w:shd w:val="clear" w:color="auto" w:fill="auto"/>
            <w:noWrap/>
            <w:vAlign w:val="center"/>
            <w:hideMark/>
          </w:tcPr>
          <w:p w14:paraId="31B2C095"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p>
        </w:tc>
      </w:tr>
      <w:tr w:rsidR="00C06B91" w:rsidRPr="000C4743" w14:paraId="76A82368" w14:textId="77777777" w:rsidTr="006F7397">
        <w:trPr>
          <w:trHeight w:val="300"/>
        </w:trPr>
        <w:tc>
          <w:tcPr>
            <w:tcW w:w="1716" w:type="dxa"/>
            <w:vMerge w:val="restart"/>
            <w:tcBorders>
              <w:top w:val="nil"/>
              <w:left w:val="single" w:sz="4" w:space="0" w:color="auto"/>
              <w:bottom w:val="single" w:sz="4" w:space="0" w:color="000000"/>
              <w:right w:val="single" w:sz="4" w:space="0" w:color="auto"/>
            </w:tcBorders>
            <w:shd w:val="clear" w:color="auto" w:fill="auto"/>
            <w:vAlign w:val="center"/>
            <w:hideMark/>
          </w:tcPr>
          <w:p w14:paraId="699B38FA" w14:textId="77777777" w:rsidR="00C06B91" w:rsidRPr="000C4743" w:rsidRDefault="00C06B91" w:rsidP="000C4743">
            <w:pPr>
              <w:spacing w:after="0"/>
              <w:jc w:val="left"/>
              <w:rPr>
                <w:rFonts w:ascii="Times New Roman" w:hAnsi="Times New Roman"/>
                <w:b/>
                <w:bCs/>
                <w:sz w:val="18"/>
                <w:szCs w:val="18"/>
                <w:lang w:eastAsia="en-GB"/>
              </w:rPr>
            </w:pPr>
            <w:r w:rsidRPr="000C4743">
              <w:rPr>
                <w:rFonts w:ascii="Times New Roman" w:hAnsi="Times New Roman"/>
                <w:b/>
                <w:bCs/>
                <w:sz w:val="18"/>
                <w:szCs w:val="18"/>
                <w:lang w:eastAsia="en-GB"/>
              </w:rPr>
              <w:t xml:space="preserve">OUTCOME 2: </w:t>
            </w:r>
            <w:r w:rsidRPr="000C4743">
              <w:rPr>
                <w:rFonts w:ascii="Times New Roman" w:hAnsi="Times New Roman"/>
                <w:sz w:val="18"/>
                <w:szCs w:val="18"/>
                <w:lang w:eastAsia="en-GB"/>
              </w:rPr>
              <w:br/>
              <w:t>Institutional framework for urban NAMAs</w:t>
            </w:r>
          </w:p>
        </w:tc>
        <w:tc>
          <w:tcPr>
            <w:tcW w:w="709" w:type="dxa"/>
            <w:vMerge w:val="restart"/>
            <w:tcBorders>
              <w:top w:val="nil"/>
              <w:left w:val="single" w:sz="4" w:space="0" w:color="auto"/>
              <w:bottom w:val="single" w:sz="4" w:space="0" w:color="000000"/>
              <w:right w:val="single" w:sz="4" w:space="0" w:color="auto"/>
            </w:tcBorders>
            <w:shd w:val="clear" w:color="auto" w:fill="auto"/>
            <w:vAlign w:val="center"/>
            <w:hideMark/>
          </w:tcPr>
          <w:p w14:paraId="02E5AB36"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MRD</w:t>
            </w:r>
          </w:p>
        </w:tc>
        <w:tc>
          <w:tcPr>
            <w:tcW w:w="851" w:type="dxa"/>
            <w:vMerge w:val="restart"/>
            <w:tcBorders>
              <w:top w:val="nil"/>
              <w:left w:val="single" w:sz="4" w:space="0" w:color="auto"/>
              <w:bottom w:val="single" w:sz="4" w:space="0" w:color="000000"/>
              <w:right w:val="single" w:sz="4" w:space="0" w:color="auto"/>
            </w:tcBorders>
            <w:shd w:val="clear" w:color="auto" w:fill="auto"/>
            <w:vAlign w:val="center"/>
            <w:hideMark/>
          </w:tcPr>
          <w:p w14:paraId="3FE5E8AB"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62000</w:t>
            </w:r>
          </w:p>
        </w:tc>
        <w:tc>
          <w:tcPr>
            <w:tcW w:w="708" w:type="dxa"/>
            <w:vMerge w:val="restart"/>
            <w:tcBorders>
              <w:top w:val="nil"/>
              <w:left w:val="single" w:sz="4" w:space="0" w:color="auto"/>
              <w:bottom w:val="single" w:sz="4" w:space="0" w:color="000000"/>
              <w:right w:val="single" w:sz="4" w:space="0" w:color="auto"/>
            </w:tcBorders>
            <w:shd w:val="clear" w:color="auto" w:fill="auto"/>
            <w:vAlign w:val="center"/>
            <w:hideMark/>
          </w:tcPr>
          <w:p w14:paraId="721BCED9"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GEF</w:t>
            </w:r>
          </w:p>
        </w:tc>
        <w:tc>
          <w:tcPr>
            <w:tcW w:w="993" w:type="dxa"/>
            <w:tcBorders>
              <w:top w:val="nil"/>
              <w:left w:val="nil"/>
              <w:bottom w:val="single" w:sz="4" w:space="0" w:color="auto"/>
              <w:right w:val="single" w:sz="4" w:space="0" w:color="auto"/>
            </w:tcBorders>
            <w:shd w:val="clear" w:color="auto" w:fill="auto"/>
            <w:noWrap/>
            <w:vAlign w:val="center"/>
            <w:hideMark/>
          </w:tcPr>
          <w:p w14:paraId="2FDB4CCD"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71400</w:t>
            </w:r>
          </w:p>
        </w:tc>
        <w:tc>
          <w:tcPr>
            <w:tcW w:w="2126" w:type="dxa"/>
            <w:tcBorders>
              <w:top w:val="nil"/>
              <w:left w:val="nil"/>
              <w:bottom w:val="single" w:sz="4" w:space="0" w:color="auto"/>
              <w:right w:val="single" w:sz="4" w:space="0" w:color="auto"/>
            </w:tcBorders>
            <w:shd w:val="clear" w:color="auto" w:fill="auto"/>
            <w:noWrap/>
            <w:vAlign w:val="center"/>
            <w:hideMark/>
          </w:tcPr>
          <w:p w14:paraId="0B1E1297"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Project manager</w:t>
            </w:r>
          </w:p>
        </w:tc>
        <w:tc>
          <w:tcPr>
            <w:tcW w:w="1134" w:type="dxa"/>
            <w:tcBorders>
              <w:top w:val="nil"/>
              <w:left w:val="nil"/>
              <w:bottom w:val="single" w:sz="4" w:space="0" w:color="auto"/>
              <w:right w:val="single" w:sz="4" w:space="0" w:color="auto"/>
            </w:tcBorders>
            <w:shd w:val="clear" w:color="auto" w:fill="auto"/>
            <w:noWrap/>
            <w:vAlign w:val="bottom"/>
            <w:hideMark/>
          </w:tcPr>
          <w:p w14:paraId="1BBBF496" w14:textId="2AB20D2E" w:rsidR="00C06B91" w:rsidRPr="000C4743" w:rsidRDefault="00C06B91" w:rsidP="007A2E9D">
            <w:pPr>
              <w:spacing w:after="0"/>
              <w:jc w:val="right"/>
              <w:rPr>
                <w:rFonts w:ascii="Times New Roman" w:hAnsi="Times New Roman"/>
                <w:sz w:val="18"/>
                <w:szCs w:val="18"/>
                <w:lang w:eastAsia="en-GB"/>
              </w:rPr>
            </w:pPr>
            <w:r>
              <w:rPr>
                <w:sz w:val="18"/>
                <w:szCs w:val="18"/>
              </w:rPr>
              <w:t>15,390</w:t>
            </w:r>
          </w:p>
        </w:tc>
        <w:tc>
          <w:tcPr>
            <w:tcW w:w="1134" w:type="dxa"/>
            <w:tcBorders>
              <w:top w:val="nil"/>
              <w:left w:val="nil"/>
              <w:bottom w:val="single" w:sz="4" w:space="0" w:color="auto"/>
              <w:right w:val="single" w:sz="4" w:space="0" w:color="auto"/>
            </w:tcBorders>
            <w:shd w:val="clear" w:color="auto" w:fill="auto"/>
            <w:noWrap/>
            <w:vAlign w:val="bottom"/>
            <w:hideMark/>
          </w:tcPr>
          <w:p w14:paraId="14A2EE25" w14:textId="0BCA6F31" w:rsidR="00C06B91" w:rsidRPr="000C4743" w:rsidRDefault="00C06B91" w:rsidP="007A2E9D">
            <w:pPr>
              <w:spacing w:after="0"/>
              <w:jc w:val="right"/>
              <w:rPr>
                <w:rFonts w:ascii="Times New Roman" w:hAnsi="Times New Roman"/>
                <w:sz w:val="18"/>
                <w:szCs w:val="18"/>
                <w:lang w:eastAsia="en-GB"/>
              </w:rPr>
            </w:pPr>
            <w:r>
              <w:rPr>
                <w:sz w:val="18"/>
                <w:szCs w:val="18"/>
              </w:rPr>
              <w:t>10,260</w:t>
            </w:r>
          </w:p>
        </w:tc>
        <w:tc>
          <w:tcPr>
            <w:tcW w:w="1134" w:type="dxa"/>
            <w:tcBorders>
              <w:top w:val="nil"/>
              <w:left w:val="nil"/>
              <w:bottom w:val="single" w:sz="4" w:space="0" w:color="auto"/>
              <w:right w:val="single" w:sz="4" w:space="0" w:color="auto"/>
            </w:tcBorders>
            <w:shd w:val="clear" w:color="auto" w:fill="auto"/>
            <w:noWrap/>
            <w:vAlign w:val="bottom"/>
            <w:hideMark/>
          </w:tcPr>
          <w:p w14:paraId="4996B824" w14:textId="72419753" w:rsidR="00C06B91" w:rsidRPr="000C4743" w:rsidRDefault="00C06B91" w:rsidP="007A2E9D">
            <w:pPr>
              <w:spacing w:after="0"/>
              <w:jc w:val="right"/>
              <w:rPr>
                <w:rFonts w:ascii="Times New Roman" w:hAnsi="Times New Roman"/>
                <w:sz w:val="18"/>
                <w:szCs w:val="18"/>
                <w:lang w:eastAsia="en-GB"/>
              </w:rPr>
            </w:pPr>
            <w:r>
              <w:rPr>
                <w:sz w:val="18"/>
                <w:szCs w:val="18"/>
              </w:rPr>
              <w:t>15,390</w:t>
            </w:r>
          </w:p>
        </w:tc>
        <w:tc>
          <w:tcPr>
            <w:tcW w:w="992" w:type="dxa"/>
            <w:tcBorders>
              <w:top w:val="nil"/>
              <w:left w:val="nil"/>
              <w:bottom w:val="single" w:sz="4" w:space="0" w:color="auto"/>
              <w:right w:val="single" w:sz="4" w:space="0" w:color="auto"/>
            </w:tcBorders>
            <w:shd w:val="clear" w:color="auto" w:fill="auto"/>
            <w:noWrap/>
            <w:vAlign w:val="bottom"/>
            <w:hideMark/>
          </w:tcPr>
          <w:p w14:paraId="3623077C" w14:textId="025D918E" w:rsidR="00C06B91" w:rsidRPr="000C4743" w:rsidRDefault="00C06B91" w:rsidP="007A2E9D">
            <w:pPr>
              <w:spacing w:after="0"/>
              <w:jc w:val="right"/>
              <w:rPr>
                <w:rFonts w:ascii="Times New Roman" w:hAnsi="Times New Roman"/>
                <w:sz w:val="18"/>
                <w:szCs w:val="18"/>
                <w:lang w:eastAsia="en-GB"/>
              </w:rPr>
            </w:pPr>
            <w:r>
              <w:rPr>
                <w:sz w:val="18"/>
                <w:szCs w:val="18"/>
              </w:rPr>
              <w:t>5,130</w:t>
            </w:r>
          </w:p>
        </w:tc>
        <w:tc>
          <w:tcPr>
            <w:tcW w:w="992" w:type="dxa"/>
            <w:tcBorders>
              <w:top w:val="nil"/>
              <w:left w:val="nil"/>
              <w:bottom w:val="single" w:sz="4" w:space="0" w:color="auto"/>
              <w:right w:val="single" w:sz="4" w:space="0" w:color="auto"/>
            </w:tcBorders>
            <w:shd w:val="clear" w:color="auto" w:fill="auto"/>
            <w:noWrap/>
            <w:vAlign w:val="bottom"/>
            <w:hideMark/>
          </w:tcPr>
          <w:p w14:paraId="78E2E1AE" w14:textId="1F7827A3" w:rsidR="00C06B91" w:rsidRPr="000C4743" w:rsidRDefault="00C06B91" w:rsidP="007A2E9D">
            <w:pPr>
              <w:spacing w:after="0"/>
              <w:jc w:val="right"/>
              <w:rPr>
                <w:rFonts w:ascii="Times New Roman" w:hAnsi="Times New Roman"/>
                <w:sz w:val="18"/>
                <w:szCs w:val="18"/>
                <w:lang w:eastAsia="en-GB"/>
              </w:rPr>
            </w:pPr>
            <w:r>
              <w:rPr>
                <w:sz w:val="18"/>
                <w:szCs w:val="18"/>
              </w:rPr>
              <w:t>5,130</w:t>
            </w:r>
          </w:p>
        </w:tc>
        <w:tc>
          <w:tcPr>
            <w:tcW w:w="1134" w:type="dxa"/>
            <w:tcBorders>
              <w:top w:val="nil"/>
              <w:left w:val="nil"/>
              <w:bottom w:val="single" w:sz="4" w:space="0" w:color="auto"/>
              <w:right w:val="single" w:sz="4" w:space="0" w:color="auto"/>
            </w:tcBorders>
            <w:shd w:val="clear" w:color="auto" w:fill="auto"/>
            <w:noWrap/>
            <w:vAlign w:val="bottom"/>
            <w:hideMark/>
          </w:tcPr>
          <w:p w14:paraId="32F8D4E9" w14:textId="7F90BF6F" w:rsidR="00C06B91" w:rsidRPr="000C4743" w:rsidRDefault="00C06B91" w:rsidP="007A2E9D">
            <w:pPr>
              <w:spacing w:after="0"/>
              <w:jc w:val="right"/>
              <w:rPr>
                <w:rFonts w:ascii="Times New Roman" w:hAnsi="Times New Roman"/>
                <w:sz w:val="18"/>
                <w:szCs w:val="18"/>
                <w:lang w:eastAsia="en-GB"/>
              </w:rPr>
            </w:pPr>
            <w:r>
              <w:rPr>
                <w:sz w:val="18"/>
                <w:szCs w:val="18"/>
              </w:rPr>
              <w:t>51,300</w:t>
            </w:r>
          </w:p>
        </w:tc>
        <w:tc>
          <w:tcPr>
            <w:tcW w:w="851" w:type="dxa"/>
            <w:tcBorders>
              <w:top w:val="nil"/>
              <w:left w:val="nil"/>
              <w:bottom w:val="single" w:sz="4" w:space="0" w:color="auto"/>
              <w:right w:val="single" w:sz="4" w:space="0" w:color="auto"/>
            </w:tcBorders>
            <w:shd w:val="clear" w:color="auto" w:fill="auto"/>
            <w:noWrap/>
            <w:vAlign w:val="center"/>
            <w:hideMark/>
          </w:tcPr>
          <w:p w14:paraId="0F0CBC80"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1</w:t>
            </w:r>
            <w:r w:rsidRPr="000C4743">
              <w:rPr>
                <w:rFonts w:ascii="Times New Roman" w:hAnsi="Times New Roman"/>
                <w:color w:val="000000"/>
                <w:sz w:val="18"/>
                <w:szCs w:val="18"/>
                <w:lang w:eastAsia="en-GB"/>
              </w:rPr>
              <w:t> </w:t>
            </w:r>
          </w:p>
        </w:tc>
      </w:tr>
      <w:tr w:rsidR="00C06B91" w:rsidRPr="000C4743" w14:paraId="5B3D0695"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2B6353BB"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1C8FE5A8"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576A24C3"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1E1138AA"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15B793D9"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71200</w:t>
            </w:r>
          </w:p>
        </w:tc>
        <w:tc>
          <w:tcPr>
            <w:tcW w:w="2126" w:type="dxa"/>
            <w:tcBorders>
              <w:top w:val="nil"/>
              <w:left w:val="nil"/>
              <w:bottom w:val="single" w:sz="4" w:space="0" w:color="auto"/>
              <w:right w:val="single" w:sz="4" w:space="0" w:color="auto"/>
            </w:tcBorders>
            <w:shd w:val="clear" w:color="auto" w:fill="auto"/>
            <w:noWrap/>
            <w:vAlign w:val="center"/>
            <w:hideMark/>
          </w:tcPr>
          <w:p w14:paraId="3EAFA740"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International Consultants</w:t>
            </w:r>
          </w:p>
        </w:tc>
        <w:tc>
          <w:tcPr>
            <w:tcW w:w="1134" w:type="dxa"/>
            <w:tcBorders>
              <w:top w:val="nil"/>
              <w:left w:val="nil"/>
              <w:bottom w:val="single" w:sz="4" w:space="0" w:color="auto"/>
              <w:right w:val="single" w:sz="4" w:space="0" w:color="auto"/>
            </w:tcBorders>
            <w:shd w:val="clear" w:color="auto" w:fill="auto"/>
            <w:noWrap/>
            <w:vAlign w:val="bottom"/>
            <w:hideMark/>
          </w:tcPr>
          <w:p w14:paraId="73B01DA9" w14:textId="5E5E0309" w:rsidR="00C06B91" w:rsidRPr="000C4743" w:rsidRDefault="00C06B91" w:rsidP="007A2E9D">
            <w:pPr>
              <w:spacing w:after="0"/>
              <w:jc w:val="right"/>
              <w:rPr>
                <w:rFonts w:ascii="Times New Roman" w:hAnsi="Times New Roman"/>
                <w:sz w:val="18"/>
                <w:szCs w:val="18"/>
                <w:lang w:eastAsia="en-GB"/>
              </w:rPr>
            </w:pPr>
            <w:r>
              <w:rPr>
                <w:sz w:val="18"/>
                <w:szCs w:val="18"/>
              </w:rPr>
              <w:t>37,800</w:t>
            </w:r>
          </w:p>
        </w:tc>
        <w:tc>
          <w:tcPr>
            <w:tcW w:w="1134" w:type="dxa"/>
            <w:tcBorders>
              <w:top w:val="nil"/>
              <w:left w:val="nil"/>
              <w:bottom w:val="single" w:sz="4" w:space="0" w:color="auto"/>
              <w:right w:val="single" w:sz="4" w:space="0" w:color="auto"/>
            </w:tcBorders>
            <w:shd w:val="clear" w:color="auto" w:fill="auto"/>
            <w:noWrap/>
            <w:vAlign w:val="bottom"/>
            <w:hideMark/>
          </w:tcPr>
          <w:p w14:paraId="466ECD50" w14:textId="4873DE9A" w:rsidR="00C06B91" w:rsidRPr="000C4743" w:rsidRDefault="00C06B91" w:rsidP="007A2E9D">
            <w:pPr>
              <w:spacing w:after="0"/>
              <w:jc w:val="right"/>
              <w:rPr>
                <w:rFonts w:ascii="Times New Roman" w:hAnsi="Times New Roman"/>
                <w:sz w:val="18"/>
                <w:szCs w:val="18"/>
                <w:lang w:eastAsia="en-GB"/>
              </w:rPr>
            </w:pPr>
            <w:r>
              <w:rPr>
                <w:sz w:val="18"/>
                <w:szCs w:val="18"/>
              </w:rPr>
              <w:t>25,200</w:t>
            </w:r>
          </w:p>
        </w:tc>
        <w:tc>
          <w:tcPr>
            <w:tcW w:w="1134" w:type="dxa"/>
            <w:tcBorders>
              <w:top w:val="nil"/>
              <w:left w:val="nil"/>
              <w:bottom w:val="single" w:sz="4" w:space="0" w:color="auto"/>
              <w:right w:val="single" w:sz="4" w:space="0" w:color="auto"/>
            </w:tcBorders>
            <w:shd w:val="clear" w:color="auto" w:fill="auto"/>
            <w:noWrap/>
            <w:vAlign w:val="bottom"/>
            <w:hideMark/>
          </w:tcPr>
          <w:p w14:paraId="23C745B7" w14:textId="5C1D1980" w:rsidR="00C06B91" w:rsidRPr="000C4743" w:rsidRDefault="00C06B91" w:rsidP="007A2E9D">
            <w:pPr>
              <w:spacing w:after="0"/>
              <w:jc w:val="right"/>
              <w:rPr>
                <w:rFonts w:ascii="Times New Roman" w:hAnsi="Times New Roman"/>
                <w:sz w:val="18"/>
                <w:szCs w:val="18"/>
                <w:lang w:eastAsia="en-GB"/>
              </w:rPr>
            </w:pPr>
            <w:r>
              <w:rPr>
                <w:sz w:val="18"/>
                <w:szCs w:val="18"/>
              </w:rPr>
              <w:t>37,800</w:t>
            </w:r>
          </w:p>
        </w:tc>
        <w:tc>
          <w:tcPr>
            <w:tcW w:w="992" w:type="dxa"/>
            <w:tcBorders>
              <w:top w:val="nil"/>
              <w:left w:val="nil"/>
              <w:bottom w:val="single" w:sz="4" w:space="0" w:color="auto"/>
              <w:right w:val="single" w:sz="4" w:space="0" w:color="auto"/>
            </w:tcBorders>
            <w:shd w:val="clear" w:color="auto" w:fill="auto"/>
            <w:noWrap/>
            <w:vAlign w:val="bottom"/>
            <w:hideMark/>
          </w:tcPr>
          <w:p w14:paraId="2ECA342E" w14:textId="2F0EC3B0" w:rsidR="00C06B91" w:rsidRPr="000C4743" w:rsidRDefault="00C06B91" w:rsidP="007A2E9D">
            <w:pPr>
              <w:spacing w:after="0"/>
              <w:jc w:val="right"/>
              <w:rPr>
                <w:rFonts w:ascii="Times New Roman" w:hAnsi="Times New Roman"/>
                <w:sz w:val="18"/>
                <w:szCs w:val="18"/>
                <w:lang w:eastAsia="en-GB"/>
              </w:rPr>
            </w:pPr>
            <w:r>
              <w:rPr>
                <w:sz w:val="18"/>
                <w:szCs w:val="18"/>
              </w:rPr>
              <w:t>12,600</w:t>
            </w:r>
          </w:p>
        </w:tc>
        <w:tc>
          <w:tcPr>
            <w:tcW w:w="992" w:type="dxa"/>
            <w:tcBorders>
              <w:top w:val="nil"/>
              <w:left w:val="nil"/>
              <w:bottom w:val="single" w:sz="4" w:space="0" w:color="auto"/>
              <w:right w:val="single" w:sz="4" w:space="0" w:color="auto"/>
            </w:tcBorders>
            <w:shd w:val="clear" w:color="auto" w:fill="auto"/>
            <w:noWrap/>
            <w:vAlign w:val="bottom"/>
            <w:hideMark/>
          </w:tcPr>
          <w:p w14:paraId="1E40931E" w14:textId="1FF5B966" w:rsidR="00C06B91" w:rsidRPr="000C4743" w:rsidRDefault="00C06B91" w:rsidP="007A2E9D">
            <w:pPr>
              <w:spacing w:after="0"/>
              <w:jc w:val="right"/>
              <w:rPr>
                <w:rFonts w:ascii="Times New Roman" w:hAnsi="Times New Roman"/>
                <w:sz w:val="18"/>
                <w:szCs w:val="18"/>
                <w:lang w:eastAsia="en-GB"/>
              </w:rPr>
            </w:pPr>
            <w:r>
              <w:rPr>
                <w:sz w:val="18"/>
                <w:szCs w:val="18"/>
              </w:rPr>
              <w:t>12,600</w:t>
            </w:r>
          </w:p>
        </w:tc>
        <w:tc>
          <w:tcPr>
            <w:tcW w:w="1134" w:type="dxa"/>
            <w:tcBorders>
              <w:top w:val="nil"/>
              <w:left w:val="nil"/>
              <w:bottom w:val="single" w:sz="4" w:space="0" w:color="auto"/>
              <w:right w:val="single" w:sz="4" w:space="0" w:color="auto"/>
            </w:tcBorders>
            <w:shd w:val="clear" w:color="auto" w:fill="auto"/>
            <w:noWrap/>
            <w:vAlign w:val="bottom"/>
            <w:hideMark/>
          </w:tcPr>
          <w:p w14:paraId="2E58A789" w14:textId="2716DEF9" w:rsidR="00C06B91" w:rsidRPr="000C4743" w:rsidRDefault="00C06B91" w:rsidP="007A2E9D">
            <w:pPr>
              <w:spacing w:after="0"/>
              <w:jc w:val="right"/>
              <w:rPr>
                <w:rFonts w:ascii="Times New Roman" w:hAnsi="Times New Roman"/>
                <w:sz w:val="18"/>
                <w:szCs w:val="18"/>
                <w:lang w:eastAsia="en-GB"/>
              </w:rPr>
            </w:pPr>
            <w:r>
              <w:rPr>
                <w:sz w:val="18"/>
                <w:szCs w:val="18"/>
              </w:rPr>
              <w:t>126,000</w:t>
            </w:r>
          </w:p>
        </w:tc>
        <w:tc>
          <w:tcPr>
            <w:tcW w:w="851" w:type="dxa"/>
            <w:tcBorders>
              <w:top w:val="nil"/>
              <w:left w:val="nil"/>
              <w:bottom w:val="single" w:sz="4" w:space="0" w:color="auto"/>
              <w:right w:val="single" w:sz="4" w:space="0" w:color="auto"/>
            </w:tcBorders>
            <w:shd w:val="clear" w:color="auto" w:fill="auto"/>
            <w:noWrap/>
            <w:vAlign w:val="center"/>
            <w:hideMark/>
          </w:tcPr>
          <w:p w14:paraId="1A20111B"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2</w:t>
            </w:r>
          </w:p>
        </w:tc>
      </w:tr>
      <w:tr w:rsidR="00C06B91" w:rsidRPr="000C4743" w14:paraId="2E44EA8B"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4F3270CC"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5D1E26D0"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68C3D832"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3C49DFD0"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791C0CBF"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71300</w:t>
            </w:r>
          </w:p>
        </w:tc>
        <w:tc>
          <w:tcPr>
            <w:tcW w:w="2126" w:type="dxa"/>
            <w:tcBorders>
              <w:top w:val="nil"/>
              <w:left w:val="nil"/>
              <w:bottom w:val="single" w:sz="4" w:space="0" w:color="auto"/>
              <w:right w:val="single" w:sz="4" w:space="0" w:color="auto"/>
            </w:tcBorders>
            <w:shd w:val="clear" w:color="auto" w:fill="auto"/>
            <w:noWrap/>
            <w:vAlign w:val="center"/>
            <w:hideMark/>
          </w:tcPr>
          <w:p w14:paraId="4421E197"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Local Consultants</w:t>
            </w:r>
          </w:p>
        </w:tc>
        <w:tc>
          <w:tcPr>
            <w:tcW w:w="1134" w:type="dxa"/>
            <w:tcBorders>
              <w:top w:val="nil"/>
              <w:left w:val="nil"/>
              <w:bottom w:val="single" w:sz="4" w:space="0" w:color="auto"/>
              <w:right w:val="single" w:sz="4" w:space="0" w:color="auto"/>
            </w:tcBorders>
            <w:shd w:val="clear" w:color="auto" w:fill="auto"/>
            <w:noWrap/>
            <w:vAlign w:val="bottom"/>
            <w:hideMark/>
          </w:tcPr>
          <w:p w14:paraId="62D82E67" w14:textId="2076A72B" w:rsidR="00C06B91" w:rsidRPr="000C4743" w:rsidRDefault="00C06B91" w:rsidP="007A2E9D">
            <w:pPr>
              <w:spacing w:after="0"/>
              <w:jc w:val="right"/>
              <w:rPr>
                <w:rFonts w:ascii="Times New Roman" w:hAnsi="Times New Roman"/>
                <w:sz w:val="18"/>
                <w:szCs w:val="18"/>
                <w:lang w:eastAsia="en-GB"/>
              </w:rPr>
            </w:pPr>
            <w:r>
              <w:rPr>
                <w:sz w:val="18"/>
                <w:szCs w:val="18"/>
              </w:rPr>
              <w:t>53,610</w:t>
            </w:r>
          </w:p>
        </w:tc>
        <w:tc>
          <w:tcPr>
            <w:tcW w:w="1134" w:type="dxa"/>
            <w:tcBorders>
              <w:top w:val="nil"/>
              <w:left w:val="nil"/>
              <w:bottom w:val="single" w:sz="4" w:space="0" w:color="auto"/>
              <w:right w:val="single" w:sz="4" w:space="0" w:color="auto"/>
            </w:tcBorders>
            <w:shd w:val="clear" w:color="auto" w:fill="auto"/>
            <w:noWrap/>
            <w:vAlign w:val="bottom"/>
            <w:hideMark/>
          </w:tcPr>
          <w:p w14:paraId="1A790960" w14:textId="78BA97F5" w:rsidR="00C06B91" w:rsidRPr="000C4743" w:rsidRDefault="00C06B91" w:rsidP="007A2E9D">
            <w:pPr>
              <w:spacing w:after="0"/>
              <w:jc w:val="right"/>
              <w:rPr>
                <w:rFonts w:ascii="Times New Roman" w:hAnsi="Times New Roman"/>
                <w:sz w:val="18"/>
                <w:szCs w:val="18"/>
                <w:lang w:eastAsia="en-GB"/>
              </w:rPr>
            </w:pPr>
            <w:r>
              <w:rPr>
                <w:sz w:val="18"/>
                <w:szCs w:val="18"/>
              </w:rPr>
              <w:t>35,740</w:t>
            </w:r>
          </w:p>
        </w:tc>
        <w:tc>
          <w:tcPr>
            <w:tcW w:w="1134" w:type="dxa"/>
            <w:tcBorders>
              <w:top w:val="nil"/>
              <w:left w:val="nil"/>
              <w:bottom w:val="single" w:sz="4" w:space="0" w:color="auto"/>
              <w:right w:val="single" w:sz="4" w:space="0" w:color="auto"/>
            </w:tcBorders>
            <w:shd w:val="clear" w:color="auto" w:fill="auto"/>
            <w:noWrap/>
            <w:vAlign w:val="bottom"/>
            <w:hideMark/>
          </w:tcPr>
          <w:p w14:paraId="30696731" w14:textId="107838E2" w:rsidR="00C06B91" w:rsidRPr="000C4743" w:rsidRDefault="00C06B91" w:rsidP="007A2E9D">
            <w:pPr>
              <w:spacing w:after="0"/>
              <w:jc w:val="right"/>
              <w:rPr>
                <w:rFonts w:ascii="Times New Roman" w:hAnsi="Times New Roman"/>
                <w:sz w:val="18"/>
                <w:szCs w:val="18"/>
                <w:lang w:eastAsia="en-GB"/>
              </w:rPr>
            </w:pPr>
            <w:r>
              <w:rPr>
                <w:sz w:val="18"/>
                <w:szCs w:val="18"/>
              </w:rPr>
              <w:t>53,610</w:t>
            </w:r>
          </w:p>
        </w:tc>
        <w:tc>
          <w:tcPr>
            <w:tcW w:w="992" w:type="dxa"/>
            <w:tcBorders>
              <w:top w:val="nil"/>
              <w:left w:val="nil"/>
              <w:bottom w:val="single" w:sz="4" w:space="0" w:color="auto"/>
              <w:right w:val="single" w:sz="4" w:space="0" w:color="auto"/>
            </w:tcBorders>
            <w:shd w:val="clear" w:color="auto" w:fill="auto"/>
            <w:noWrap/>
            <w:vAlign w:val="bottom"/>
            <w:hideMark/>
          </w:tcPr>
          <w:p w14:paraId="56A888EF" w14:textId="5D32BA38" w:rsidR="00C06B91" w:rsidRPr="000C4743" w:rsidRDefault="00C06B91" w:rsidP="007A2E9D">
            <w:pPr>
              <w:spacing w:after="0"/>
              <w:jc w:val="right"/>
              <w:rPr>
                <w:rFonts w:ascii="Times New Roman" w:hAnsi="Times New Roman"/>
                <w:sz w:val="18"/>
                <w:szCs w:val="18"/>
                <w:lang w:eastAsia="en-GB"/>
              </w:rPr>
            </w:pPr>
            <w:r>
              <w:rPr>
                <w:sz w:val="18"/>
                <w:szCs w:val="18"/>
              </w:rPr>
              <w:t>17,870</w:t>
            </w:r>
          </w:p>
        </w:tc>
        <w:tc>
          <w:tcPr>
            <w:tcW w:w="992" w:type="dxa"/>
            <w:tcBorders>
              <w:top w:val="nil"/>
              <w:left w:val="nil"/>
              <w:bottom w:val="single" w:sz="4" w:space="0" w:color="auto"/>
              <w:right w:val="single" w:sz="4" w:space="0" w:color="auto"/>
            </w:tcBorders>
            <w:shd w:val="clear" w:color="auto" w:fill="auto"/>
            <w:noWrap/>
            <w:vAlign w:val="bottom"/>
            <w:hideMark/>
          </w:tcPr>
          <w:p w14:paraId="1A9A1344" w14:textId="020B0B62" w:rsidR="00C06B91" w:rsidRPr="000C4743" w:rsidRDefault="00C06B91" w:rsidP="007A2E9D">
            <w:pPr>
              <w:spacing w:after="0"/>
              <w:jc w:val="right"/>
              <w:rPr>
                <w:rFonts w:ascii="Times New Roman" w:hAnsi="Times New Roman"/>
                <w:sz w:val="18"/>
                <w:szCs w:val="18"/>
                <w:lang w:eastAsia="en-GB"/>
              </w:rPr>
            </w:pPr>
            <w:r>
              <w:rPr>
                <w:sz w:val="18"/>
                <w:szCs w:val="18"/>
              </w:rPr>
              <w:t>17,870</w:t>
            </w:r>
          </w:p>
        </w:tc>
        <w:tc>
          <w:tcPr>
            <w:tcW w:w="1134" w:type="dxa"/>
            <w:tcBorders>
              <w:top w:val="nil"/>
              <w:left w:val="nil"/>
              <w:bottom w:val="single" w:sz="4" w:space="0" w:color="auto"/>
              <w:right w:val="single" w:sz="4" w:space="0" w:color="auto"/>
            </w:tcBorders>
            <w:shd w:val="clear" w:color="auto" w:fill="auto"/>
            <w:noWrap/>
            <w:vAlign w:val="bottom"/>
            <w:hideMark/>
          </w:tcPr>
          <w:p w14:paraId="23E1D466" w14:textId="7D11D8D5" w:rsidR="00C06B91" w:rsidRPr="000C4743" w:rsidRDefault="00C06B91" w:rsidP="007A2E9D">
            <w:pPr>
              <w:spacing w:after="0"/>
              <w:jc w:val="right"/>
              <w:rPr>
                <w:rFonts w:ascii="Times New Roman" w:hAnsi="Times New Roman"/>
                <w:sz w:val="18"/>
                <w:szCs w:val="18"/>
                <w:lang w:eastAsia="en-GB"/>
              </w:rPr>
            </w:pPr>
            <w:r>
              <w:rPr>
                <w:sz w:val="18"/>
                <w:szCs w:val="18"/>
              </w:rPr>
              <w:t>178,700</w:t>
            </w:r>
          </w:p>
        </w:tc>
        <w:tc>
          <w:tcPr>
            <w:tcW w:w="851" w:type="dxa"/>
            <w:tcBorders>
              <w:top w:val="nil"/>
              <w:left w:val="nil"/>
              <w:bottom w:val="single" w:sz="4" w:space="0" w:color="auto"/>
              <w:right w:val="single" w:sz="4" w:space="0" w:color="auto"/>
            </w:tcBorders>
            <w:shd w:val="clear" w:color="auto" w:fill="auto"/>
            <w:noWrap/>
            <w:vAlign w:val="center"/>
            <w:hideMark/>
          </w:tcPr>
          <w:p w14:paraId="299E057A"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3</w:t>
            </w:r>
            <w:r w:rsidRPr="000C4743">
              <w:rPr>
                <w:rFonts w:ascii="Times New Roman" w:hAnsi="Times New Roman"/>
                <w:color w:val="000000"/>
                <w:sz w:val="18"/>
                <w:szCs w:val="18"/>
                <w:lang w:eastAsia="en-GB"/>
              </w:rPr>
              <w:t> </w:t>
            </w:r>
          </w:p>
        </w:tc>
      </w:tr>
      <w:tr w:rsidR="00C06B91" w:rsidRPr="000C4743" w14:paraId="474CCF31"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24E6AC71"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40722BA4"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7700FC14"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7BD392BC"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7EB11FB8"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72100</w:t>
            </w:r>
          </w:p>
        </w:tc>
        <w:tc>
          <w:tcPr>
            <w:tcW w:w="2126" w:type="dxa"/>
            <w:tcBorders>
              <w:top w:val="nil"/>
              <w:left w:val="nil"/>
              <w:bottom w:val="single" w:sz="4" w:space="0" w:color="auto"/>
              <w:right w:val="single" w:sz="4" w:space="0" w:color="auto"/>
            </w:tcBorders>
            <w:shd w:val="clear" w:color="auto" w:fill="auto"/>
            <w:noWrap/>
            <w:vAlign w:val="center"/>
            <w:hideMark/>
          </w:tcPr>
          <w:p w14:paraId="6C1AC58F"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Contractual Services - Companies</w:t>
            </w:r>
          </w:p>
        </w:tc>
        <w:tc>
          <w:tcPr>
            <w:tcW w:w="1134" w:type="dxa"/>
            <w:tcBorders>
              <w:top w:val="nil"/>
              <w:left w:val="nil"/>
              <w:bottom w:val="single" w:sz="4" w:space="0" w:color="auto"/>
              <w:right w:val="single" w:sz="4" w:space="0" w:color="auto"/>
            </w:tcBorders>
            <w:shd w:val="clear" w:color="auto" w:fill="auto"/>
            <w:noWrap/>
            <w:vAlign w:val="bottom"/>
            <w:hideMark/>
          </w:tcPr>
          <w:p w14:paraId="5A19F88E" w14:textId="2A363AE2" w:rsidR="00C06B91" w:rsidRPr="000C4743" w:rsidRDefault="00C06B91" w:rsidP="007A2E9D">
            <w:pPr>
              <w:spacing w:after="0"/>
              <w:jc w:val="right"/>
              <w:rPr>
                <w:rFonts w:ascii="Times New Roman" w:hAnsi="Times New Roman"/>
                <w:sz w:val="18"/>
                <w:szCs w:val="18"/>
                <w:lang w:eastAsia="en-GB"/>
              </w:rPr>
            </w:pPr>
            <w:r>
              <w:rPr>
                <w:sz w:val="18"/>
                <w:szCs w:val="18"/>
              </w:rPr>
              <w:t>66,300</w:t>
            </w:r>
          </w:p>
        </w:tc>
        <w:tc>
          <w:tcPr>
            <w:tcW w:w="1134" w:type="dxa"/>
            <w:tcBorders>
              <w:top w:val="nil"/>
              <w:left w:val="nil"/>
              <w:bottom w:val="single" w:sz="4" w:space="0" w:color="auto"/>
              <w:right w:val="single" w:sz="4" w:space="0" w:color="auto"/>
            </w:tcBorders>
            <w:shd w:val="clear" w:color="auto" w:fill="auto"/>
            <w:noWrap/>
            <w:vAlign w:val="bottom"/>
            <w:hideMark/>
          </w:tcPr>
          <w:p w14:paraId="3161584C" w14:textId="5880505C" w:rsidR="00C06B91" w:rsidRPr="000C4743" w:rsidRDefault="00C06B91" w:rsidP="007A2E9D">
            <w:pPr>
              <w:spacing w:after="0"/>
              <w:jc w:val="right"/>
              <w:rPr>
                <w:rFonts w:ascii="Times New Roman" w:hAnsi="Times New Roman"/>
                <w:sz w:val="18"/>
                <w:szCs w:val="18"/>
                <w:lang w:eastAsia="en-GB"/>
              </w:rPr>
            </w:pPr>
            <w:r>
              <w:rPr>
                <w:sz w:val="18"/>
                <w:szCs w:val="18"/>
              </w:rPr>
              <w:t>44,200</w:t>
            </w:r>
          </w:p>
        </w:tc>
        <w:tc>
          <w:tcPr>
            <w:tcW w:w="1134" w:type="dxa"/>
            <w:tcBorders>
              <w:top w:val="nil"/>
              <w:left w:val="nil"/>
              <w:bottom w:val="single" w:sz="4" w:space="0" w:color="auto"/>
              <w:right w:val="single" w:sz="4" w:space="0" w:color="auto"/>
            </w:tcBorders>
            <w:shd w:val="clear" w:color="auto" w:fill="auto"/>
            <w:noWrap/>
            <w:vAlign w:val="bottom"/>
            <w:hideMark/>
          </w:tcPr>
          <w:p w14:paraId="7E8526FC" w14:textId="4F6EA6E4" w:rsidR="00C06B91" w:rsidRPr="000C4743" w:rsidRDefault="00C06B91" w:rsidP="007A2E9D">
            <w:pPr>
              <w:spacing w:after="0"/>
              <w:jc w:val="right"/>
              <w:rPr>
                <w:rFonts w:ascii="Times New Roman" w:hAnsi="Times New Roman"/>
                <w:sz w:val="18"/>
                <w:szCs w:val="18"/>
                <w:lang w:eastAsia="en-GB"/>
              </w:rPr>
            </w:pPr>
            <w:r>
              <w:rPr>
                <w:sz w:val="18"/>
                <w:szCs w:val="18"/>
              </w:rPr>
              <w:t>66,300</w:t>
            </w:r>
          </w:p>
        </w:tc>
        <w:tc>
          <w:tcPr>
            <w:tcW w:w="992" w:type="dxa"/>
            <w:tcBorders>
              <w:top w:val="nil"/>
              <w:left w:val="nil"/>
              <w:bottom w:val="single" w:sz="4" w:space="0" w:color="auto"/>
              <w:right w:val="single" w:sz="4" w:space="0" w:color="auto"/>
            </w:tcBorders>
            <w:shd w:val="clear" w:color="auto" w:fill="auto"/>
            <w:noWrap/>
            <w:vAlign w:val="bottom"/>
            <w:hideMark/>
          </w:tcPr>
          <w:p w14:paraId="55358768" w14:textId="5F77ADD3" w:rsidR="00C06B91" w:rsidRPr="000C4743" w:rsidRDefault="00C06B91" w:rsidP="007A2E9D">
            <w:pPr>
              <w:spacing w:after="0"/>
              <w:jc w:val="right"/>
              <w:rPr>
                <w:rFonts w:ascii="Times New Roman" w:hAnsi="Times New Roman"/>
                <w:sz w:val="18"/>
                <w:szCs w:val="18"/>
                <w:lang w:eastAsia="en-GB"/>
              </w:rPr>
            </w:pPr>
            <w:r>
              <w:rPr>
                <w:sz w:val="18"/>
                <w:szCs w:val="18"/>
              </w:rPr>
              <w:t>22,100</w:t>
            </w:r>
          </w:p>
        </w:tc>
        <w:tc>
          <w:tcPr>
            <w:tcW w:w="992" w:type="dxa"/>
            <w:tcBorders>
              <w:top w:val="nil"/>
              <w:left w:val="nil"/>
              <w:bottom w:val="single" w:sz="4" w:space="0" w:color="auto"/>
              <w:right w:val="single" w:sz="4" w:space="0" w:color="auto"/>
            </w:tcBorders>
            <w:shd w:val="clear" w:color="auto" w:fill="auto"/>
            <w:noWrap/>
            <w:vAlign w:val="bottom"/>
            <w:hideMark/>
          </w:tcPr>
          <w:p w14:paraId="01989659" w14:textId="790046D6" w:rsidR="00C06B91" w:rsidRPr="000C4743" w:rsidRDefault="00C06B91" w:rsidP="007A2E9D">
            <w:pPr>
              <w:spacing w:after="0"/>
              <w:jc w:val="right"/>
              <w:rPr>
                <w:rFonts w:ascii="Times New Roman" w:hAnsi="Times New Roman"/>
                <w:sz w:val="18"/>
                <w:szCs w:val="18"/>
                <w:lang w:eastAsia="en-GB"/>
              </w:rPr>
            </w:pPr>
            <w:r>
              <w:rPr>
                <w:sz w:val="18"/>
                <w:szCs w:val="18"/>
              </w:rPr>
              <w:t>22,100</w:t>
            </w:r>
          </w:p>
        </w:tc>
        <w:tc>
          <w:tcPr>
            <w:tcW w:w="1134" w:type="dxa"/>
            <w:tcBorders>
              <w:top w:val="nil"/>
              <w:left w:val="nil"/>
              <w:bottom w:val="single" w:sz="4" w:space="0" w:color="auto"/>
              <w:right w:val="single" w:sz="4" w:space="0" w:color="auto"/>
            </w:tcBorders>
            <w:shd w:val="clear" w:color="auto" w:fill="auto"/>
            <w:noWrap/>
            <w:vAlign w:val="bottom"/>
            <w:hideMark/>
          </w:tcPr>
          <w:p w14:paraId="55CC8795" w14:textId="185D4B49" w:rsidR="00C06B91" w:rsidRPr="000C4743" w:rsidRDefault="00C06B91" w:rsidP="007A2E9D">
            <w:pPr>
              <w:spacing w:after="0"/>
              <w:jc w:val="right"/>
              <w:rPr>
                <w:rFonts w:ascii="Times New Roman" w:hAnsi="Times New Roman"/>
                <w:sz w:val="18"/>
                <w:szCs w:val="18"/>
                <w:lang w:eastAsia="en-GB"/>
              </w:rPr>
            </w:pPr>
            <w:r>
              <w:rPr>
                <w:sz w:val="18"/>
                <w:szCs w:val="18"/>
              </w:rPr>
              <w:t>221,000</w:t>
            </w:r>
          </w:p>
        </w:tc>
        <w:tc>
          <w:tcPr>
            <w:tcW w:w="851" w:type="dxa"/>
            <w:tcBorders>
              <w:top w:val="nil"/>
              <w:left w:val="nil"/>
              <w:bottom w:val="single" w:sz="4" w:space="0" w:color="auto"/>
              <w:right w:val="single" w:sz="4" w:space="0" w:color="auto"/>
            </w:tcBorders>
            <w:shd w:val="clear" w:color="auto" w:fill="auto"/>
            <w:noWrap/>
            <w:vAlign w:val="center"/>
            <w:hideMark/>
          </w:tcPr>
          <w:p w14:paraId="227A4243"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4</w:t>
            </w:r>
          </w:p>
        </w:tc>
      </w:tr>
      <w:tr w:rsidR="00C06B91" w:rsidRPr="000C4743" w14:paraId="749FF8DD"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68B5763F"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14863ADD"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7C8CD9F1"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4291F274"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740F2860"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71600</w:t>
            </w:r>
          </w:p>
        </w:tc>
        <w:tc>
          <w:tcPr>
            <w:tcW w:w="2126" w:type="dxa"/>
            <w:tcBorders>
              <w:top w:val="nil"/>
              <w:left w:val="nil"/>
              <w:bottom w:val="single" w:sz="4" w:space="0" w:color="auto"/>
              <w:right w:val="single" w:sz="4" w:space="0" w:color="auto"/>
            </w:tcBorders>
            <w:shd w:val="clear" w:color="auto" w:fill="auto"/>
            <w:noWrap/>
            <w:vAlign w:val="center"/>
            <w:hideMark/>
          </w:tcPr>
          <w:p w14:paraId="048CDBB9"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Travel</w:t>
            </w:r>
          </w:p>
        </w:tc>
        <w:tc>
          <w:tcPr>
            <w:tcW w:w="1134" w:type="dxa"/>
            <w:tcBorders>
              <w:top w:val="nil"/>
              <w:left w:val="nil"/>
              <w:bottom w:val="single" w:sz="4" w:space="0" w:color="auto"/>
              <w:right w:val="single" w:sz="4" w:space="0" w:color="auto"/>
            </w:tcBorders>
            <w:shd w:val="clear" w:color="auto" w:fill="auto"/>
            <w:noWrap/>
            <w:vAlign w:val="bottom"/>
            <w:hideMark/>
          </w:tcPr>
          <w:p w14:paraId="2AD5EA9A" w14:textId="6F461804" w:rsidR="00C06B91" w:rsidRPr="000C4743" w:rsidRDefault="00C06B91" w:rsidP="007A2E9D">
            <w:pPr>
              <w:spacing w:after="0"/>
              <w:jc w:val="right"/>
              <w:rPr>
                <w:rFonts w:ascii="Times New Roman" w:hAnsi="Times New Roman"/>
                <w:sz w:val="18"/>
                <w:szCs w:val="18"/>
                <w:lang w:eastAsia="en-GB"/>
              </w:rPr>
            </w:pPr>
            <w:r>
              <w:rPr>
                <w:sz w:val="18"/>
                <w:szCs w:val="18"/>
              </w:rPr>
              <w:t>32,562</w:t>
            </w:r>
          </w:p>
        </w:tc>
        <w:tc>
          <w:tcPr>
            <w:tcW w:w="1134" w:type="dxa"/>
            <w:tcBorders>
              <w:top w:val="nil"/>
              <w:left w:val="nil"/>
              <w:bottom w:val="single" w:sz="4" w:space="0" w:color="auto"/>
              <w:right w:val="single" w:sz="4" w:space="0" w:color="auto"/>
            </w:tcBorders>
            <w:shd w:val="clear" w:color="auto" w:fill="auto"/>
            <w:noWrap/>
            <w:vAlign w:val="bottom"/>
            <w:hideMark/>
          </w:tcPr>
          <w:p w14:paraId="6B95D7BB" w14:textId="78C154E2" w:rsidR="00C06B91" w:rsidRPr="000C4743" w:rsidRDefault="00C06B91" w:rsidP="007A2E9D">
            <w:pPr>
              <w:spacing w:after="0"/>
              <w:jc w:val="right"/>
              <w:rPr>
                <w:rFonts w:ascii="Times New Roman" w:hAnsi="Times New Roman"/>
                <w:sz w:val="18"/>
                <w:szCs w:val="18"/>
                <w:lang w:eastAsia="en-GB"/>
              </w:rPr>
            </w:pPr>
            <w:r>
              <w:rPr>
                <w:sz w:val="18"/>
                <w:szCs w:val="18"/>
              </w:rPr>
              <w:t>21,708</w:t>
            </w:r>
          </w:p>
        </w:tc>
        <w:tc>
          <w:tcPr>
            <w:tcW w:w="1134" w:type="dxa"/>
            <w:tcBorders>
              <w:top w:val="nil"/>
              <w:left w:val="nil"/>
              <w:bottom w:val="single" w:sz="4" w:space="0" w:color="auto"/>
              <w:right w:val="single" w:sz="4" w:space="0" w:color="auto"/>
            </w:tcBorders>
            <w:shd w:val="clear" w:color="auto" w:fill="auto"/>
            <w:noWrap/>
            <w:vAlign w:val="bottom"/>
            <w:hideMark/>
          </w:tcPr>
          <w:p w14:paraId="6E820D34" w14:textId="24AEB56F" w:rsidR="00C06B91" w:rsidRPr="000C4743" w:rsidRDefault="00C06B91" w:rsidP="007A2E9D">
            <w:pPr>
              <w:spacing w:after="0"/>
              <w:jc w:val="right"/>
              <w:rPr>
                <w:rFonts w:ascii="Times New Roman" w:hAnsi="Times New Roman"/>
                <w:sz w:val="18"/>
                <w:szCs w:val="18"/>
                <w:lang w:eastAsia="en-GB"/>
              </w:rPr>
            </w:pPr>
            <w:r>
              <w:rPr>
                <w:sz w:val="18"/>
                <w:szCs w:val="18"/>
              </w:rPr>
              <w:t>32,562</w:t>
            </w:r>
          </w:p>
        </w:tc>
        <w:tc>
          <w:tcPr>
            <w:tcW w:w="992" w:type="dxa"/>
            <w:tcBorders>
              <w:top w:val="nil"/>
              <w:left w:val="nil"/>
              <w:bottom w:val="single" w:sz="4" w:space="0" w:color="auto"/>
              <w:right w:val="single" w:sz="4" w:space="0" w:color="auto"/>
            </w:tcBorders>
            <w:shd w:val="clear" w:color="auto" w:fill="auto"/>
            <w:noWrap/>
            <w:vAlign w:val="bottom"/>
            <w:hideMark/>
          </w:tcPr>
          <w:p w14:paraId="0E416FDE" w14:textId="24891946" w:rsidR="00C06B91" w:rsidRPr="000C4743" w:rsidRDefault="00C06B91" w:rsidP="007A2E9D">
            <w:pPr>
              <w:spacing w:after="0"/>
              <w:jc w:val="right"/>
              <w:rPr>
                <w:rFonts w:ascii="Times New Roman" w:hAnsi="Times New Roman"/>
                <w:sz w:val="18"/>
                <w:szCs w:val="18"/>
                <w:lang w:eastAsia="en-GB"/>
              </w:rPr>
            </w:pPr>
            <w:r>
              <w:rPr>
                <w:sz w:val="18"/>
                <w:szCs w:val="18"/>
              </w:rPr>
              <w:t>10,854</w:t>
            </w:r>
          </w:p>
        </w:tc>
        <w:tc>
          <w:tcPr>
            <w:tcW w:w="992" w:type="dxa"/>
            <w:tcBorders>
              <w:top w:val="nil"/>
              <w:left w:val="nil"/>
              <w:bottom w:val="single" w:sz="4" w:space="0" w:color="auto"/>
              <w:right w:val="single" w:sz="4" w:space="0" w:color="auto"/>
            </w:tcBorders>
            <w:shd w:val="clear" w:color="auto" w:fill="auto"/>
            <w:noWrap/>
            <w:vAlign w:val="bottom"/>
            <w:hideMark/>
          </w:tcPr>
          <w:p w14:paraId="7F6D4161" w14:textId="757BDCEB" w:rsidR="00C06B91" w:rsidRPr="000C4743" w:rsidRDefault="00C06B91" w:rsidP="007A2E9D">
            <w:pPr>
              <w:spacing w:after="0"/>
              <w:jc w:val="right"/>
              <w:rPr>
                <w:rFonts w:ascii="Times New Roman" w:hAnsi="Times New Roman"/>
                <w:sz w:val="18"/>
                <w:szCs w:val="18"/>
                <w:lang w:eastAsia="en-GB"/>
              </w:rPr>
            </w:pPr>
            <w:r>
              <w:rPr>
                <w:sz w:val="18"/>
                <w:szCs w:val="18"/>
              </w:rPr>
              <w:t>10,854</w:t>
            </w:r>
          </w:p>
        </w:tc>
        <w:tc>
          <w:tcPr>
            <w:tcW w:w="1134" w:type="dxa"/>
            <w:tcBorders>
              <w:top w:val="nil"/>
              <w:left w:val="nil"/>
              <w:bottom w:val="single" w:sz="4" w:space="0" w:color="auto"/>
              <w:right w:val="single" w:sz="4" w:space="0" w:color="auto"/>
            </w:tcBorders>
            <w:shd w:val="clear" w:color="auto" w:fill="auto"/>
            <w:noWrap/>
            <w:vAlign w:val="bottom"/>
            <w:hideMark/>
          </w:tcPr>
          <w:p w14:paraId="1D722D1D" w14:textId="77ECAB07" w:rsidR="00C06B91" w:rsidRPr="000C4743" w:rsidRDefault="00C06B91" w:rsidP="007A2E9D">
            <w:pPr>
              <w:spacing w:after="0"/>
              <w:jc w:val="right"/>
              <w:rPr>
                <w:rFonts w:ascii="Times New Roman" w:hAnsi="Times New Roman"/>
                <w:sz w:val="18"/>
                <w:szCs w:val="18"/>
                <w:lang w:eastAsia="en-GB"/>
              </w:rPr>
            </w:pPr>
            <w:r>
              <w:rPr>
                <w:sz w:val="18"/>
                <w:szCs w:val="18"/>
              </w:rPr>
              <w:t>108,540</w:t>
            </w:r>
          </w:p>
        </w:tc>
        <w:tc>
          <w:tcPr>
            <w:tcW w:w="851" w:type="dxa"/>
            <w:tcBorders>
              <w:top w:val="nil"/>
              <w:left w:val="nil"/>
              <w:bottom w:val="single" w:sz="4" w:space="0" w:color="auto"/>
              <w:right w:val="single" w:sz="4" w:space="0" w:color="auto"/>
            </w:tcBorders>
            <w:shd w:val="clear" w:color="auto" w:fill="auto"/>
            <w:noWrap/>
            <w:vAlign w:val="center"/>
            <w:hideMark/>
          </w:tcPr>
          <w:p w14:paraId="40396337"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5</w:t>
            </w:r>
          </w:p>
        </w:tc>
      </w:tr>
      <w:tr w:rsidR="00C06B91" w:rsidRPr="000C4743" w14:paraId="78A90B97"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381B25DB"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048807DF"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71A2AA29"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0866D0EC"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6B69A21B"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72400</w:t>
            </w:r>
          </w:p>
        </w:tc>
        <w:tc>
          <w:tcPr>
            <w:tcW w:w="2126" w:type="dxa"/>
            <w:tcBorders>
              <w:top w:val="nil"/>
              <w:left w:val="nil"/>
              <w:bottom w:val="single" w:sz="4" w:space="0" w:color="auto"/>
              <w:right w:val="single" w:sz="4" w:space="0" w:color="auto"/>
            </w:tcBorders>
            <w:shd w:val="clear" w:color="auto" w:fill="auto"/>
            <w:noWrap/>
            <w:vAlign w:val="center"/>
            <w:hideMark/>
          </w:tcPr>
          <w:p w14:paraId="4E7CE4BD" w14:textId="77777777" w:rsidR="00C06B91" w:rsidRPr="000C4743" w:rsidRDefault="00C06B91" w:rsidP="000C4743">
            <w:pPr>
              <w:spacing w:after="0"/>
              <w:jc w:val="left"/>
              <w:rPr>
                <w:rFonts w:ascii="Times New Roman" w:hAnsi="Times New Roman"/>
                <w:sz w:val="18"/>
                <w:szCs w:val="18"/>
                <w:lang w:eastAsia="en-GB"/>
              </w:rPr>
            </w:pPr>
            <w:r>
              <w:rPr>
                <w:rFonts w:ascii="Times New Roman" w:hAnsi="Times New Roman"/>
                <w:sz w:val="18"/>
                <w:szCs w:val="18"/>
                <w:lang w:eastAsia="en-GB"/>
              </w:rPr>
              <w:t>Communications &amp; Publications</w:t>
            </w:r>
          </w:p>
        </w:tc>
        <w:tc>
          <w:tcPr>
            <w:tcW w:w="1134" w:type="dxa"/>
            <w:tcBorders>
              <w:top w:val="nil"/>
              <w:left w:val="nil"/>
              <w:bottom w:val="single" w:sz="4" w:space="0" w:color="auto"/>
              <w:right w:val="single" w:sz="4" w:space="0" w:color="auto"/>
            </w:tcBorders>
            <w:shd w:val="clear" w:color="auto" w:fill="auto"/>
            <w:noWrap/>
            <w:vAlign w:val="bottom"/>
            <w:hideMark/>
          </w:tcPr>
          <w:p w14:paraId="285FF51D" w14:textId="7BF4FD60" w:rsidR="00C06B91" w:rsidRPr="000C4743" w:rsidRDefault="00C06B91" w:rsidP="007A2E9D">
            <w:pPr>
              <w:spacing w:after="0"/>
              <w:jc w:val="right"/>
              <w:rPr>
                <w:rFonts w:ascii="Times New Roman" w:hAnsi="Times New Roman"/>
                <w:sz w:val="18"/>
                <w:szCs w:val="18"/>
                <w:lang w:eastAsia="en-GB"/>
              </w:rPr>
            </w:pPr>
            <w:r>
              <w:rPr>
                <w:sz w:val="18"/>
                <w:szCs w:val="18"/>
              </w:rPr>
              <w:t>750</w:t>
            </w:r>
          </w:p>
        </w:tc>
        <w:tc>
          <w:tcPr>
            <w:tcW w:w="1134" w:type="dxa"/>
            <w:tcBorders>
              <w:top w:val="nil"/>
              <w:left w:val="nil"/>
              <w:bottom w:val="single" w:sz="4" w:space="0" w:color="auto"/>
              <w:right w:val="single" w:sz="4" w:space="0" w:color="auto"/>
            </w:tcBorders>
            <w:shd w:val="clear" w:color="auto" w:fill="auto"/>
            <w:noWrap/>
            <w:vAlign w:val="bottom"/>
            <w:hideMark/>
          </w:tcPr>
          <w:p w14:paraId="044B13D5" w14:textId="7A260971" w:rsidR="00C06B91" w:rsidRPr="000C4743" w:rsidRDefault="00C06B91" w:rsidP="007A2E9D">
            <w:pPr>
              <w:spacing w:after="0"/>
              <w:jc w:val="right"/>
              <w:rPr>
                <w:rFonts w:ascii="Times New Roman" w:hAnsi="Times New Roman"/>
                <w:sz w:val="18"/>
                <w:szCs w:val="18"/>
                <w:lang w:eastAsia="en-GB"/>
              </w:rPr>
            </w:pPr>
            <w:r>
              <w:rPr>
                <w:sz w:val="18"/>
                <w:szCs w:val="18"/>
              </w:rPr>
              <w:t>500</w:t>
            </w:r>
          </w:p>
        </w:tc>
        <w:tc>
          <w:tcPr>
            <w:tcW w:w="1134" w:type="dxa"/>
            <w:tcBorders>
              <w:top w:val="nil"/>
              <w:left w:val="nil"/>
              <w:bottom w:val="single" w:sz="4" w:space="0" w:color="auto"/>
              <w:right w:val="single" w:sz="4" w:space="0" w:color="auto"/>
            </w:tcBorders>
            <w:shd w:val="clear" w:color="auto" w:fill="auto"/>
            <w:noWrap/>
            <w:vAlign w:val="bottom"/>
            <w:hideMark/>
          </w:tcPr>
          <w:p w14:paraId="4F4491FE" w14:textId="1A73D902" w:rsidR="00C06B91" w:rsidRPr="000C4743" w:rsidRDefault="00C06B91" w:rsidP="007A2E9D">
            <w:pPr>
              <w:spacing w:after="0"/>
              <w:jc w:val="right"/>
              <w:rPr>
                <w:rFonts w:ascii="Times New Roman" w:hAnsi="Times New Roman"/>
                <w:sz w:val="18"/>
                <w:szCs w:val="18"/>
                <w:lang w:eastAsia="en-GB"/>
              </w:rPr>
            </w:pPr>
            <w:r>
              <w:rPr>
                <w:sz w:val="18"/>
                <w:szCs w:val="18"/>
              </w:rPr>
              <w:t>750</w:t>
            </w:r>
          </w:p>
        </w:tc>
        <w:tc>
          <w:tcPr>
            <w:tcW w:w="992" w:type="dxa"/>
            <w:tcBorders>
              <w:top w:val="nil"/>
              <w:left w:val="nil"/>
              <w:bottom w:val="single" w:sz="4" w:space="0" w:color="auto"/>
              <w:right w:val="single" w:sz="4" w:space="0" w:color="auto"/>
            </w:tcBorders>
            <w:shd w:val="clear" w:color="auto" w:fill="auto"/>
            <w:noWrap/>
            <w:vAlign w:val="bottom"/>
            <w:hideMark/>
          </w:tcPr>
          <w:p w14:paraId="14A19F48" w14:textId="10B2D529" w:rsidR="00C06B91" w:rsidRPr="000C4743" w:rsidRDefault="00C06B91" w:rsidP="007A2E9D">
            <w:pPr>
              <w:spacing w:after="0"/>
              <w:jc w:val="right"/>
              <w:rPr>
                <w:rFonts w:ascii="Times New Roman" w:hAnsi="Times New Roman"/>
                <w:sz w:val="18"/>
                <w:szCs w:val="18"/>
                <w:lang w:eastAsia="en-GB"/>
              </w:rPr>
            </w:pPr>
            <w:r>
              <w:rPr>
                <w:sz w:val="18"/>
                <w:szCs w:val="18"/>
              </w:rPr>
              <w:t>250</w:t>
            </w:r>
          </w:p>
        </w:tc>
        <w:tc>
          <w:tcPr>
            <w:tcW w:w="992" w:type="dxa"/>
            <w:tcBorders>
              <w:top w:val="nil"/>
              <w:left w:val="nil"/>
              <w:bottom w:val="single" w:sz="4" w:space="0" w:color="auto"/>
              <w:right w:val="single" w:sz="4" w:space="0" w:color="auto"/>
            </w:tcBorders>
            <w:shd w:val="clear" w:color="auto" w:fill="auto"/>
            <w:noWrap/>
            <w:vAlign w:val="bottom"/>
            <w:hideMark/>
          </w:tcPr>
          <w:p w14:paraId="1768571D" w14:textId="4BB662CC" w:rsidR="00C06B91" w:rsidRPr="000C4743" w:rsidRDefault="00C06B91" w:rsidP="007A2E9D">
            <w:pPr>
              <w:spacing w:after="0"/>
              <w:jc w:val="right"/>
              <w:rPr>
                <w:rFonts w:ascii="Times New Roman" w:hAnsi="Times New Roman"/>
                <w:sz w:val="18"/>
                <w:szCs w:val="18"/>
                <w:lang w:eastAsia="en-GB"/>
              </w:rPr>
            </w:pPr>
            <w:r>
              <w:rPr>
                <w:sz w:val="18"/>
                <w:szCs w:val="18"/>
              </w:rPr>
              <w:t>250</w:t>
            </w:r>
          </w:p>
        </w:tc>
        <w:tc>
          <w:tcPr>
            <w:tcW w:w="1134" w:type="dxa"/>
            <w:tcBorders>
              <w:top w:val="nil"/>
              <w:left w:val="nil"/>
              <w:bottom w:val="single" w:sz="4" w:space="0" w:color="auto"/>
              <w:right w:val="single" w:sz="4" w:space="0" w:color="auto"/>
            </w:tcBorders>
            <w:shd w:val="clear" w:color="auto" w:fill="auto"/>
            <w:noWrap/>
            <w:vAlign w:val="bottom"/>
            <w:hideMark/>
          </w:tcPr>
          <w:p w14:paraId="18E2B1BA" w14:textId="207A8311" w:rsidR="00C06B91" w:rsidRPr="000C4743" w:rsidRDefault="00C06B91" w:rsidP="007A2E9D">
            <w:pPr>
              <w:spacing w:after="0"/>
              <w:jc w:val="right"/>
              <w:rPr>
                <w:rFonts w:ascii="Times New Roman" w:hAnsi="Times New Roman"/>
                <w:sz w:val="18"/>
                <w:szCs w:val="18"/>
                <w:lang w:eastAsia="en-GB"/>
              </w:rPr>
            </w:pPr>
            <w:r>
              <w:rPr>
                <w:sz w:val="18"/>
                <w:szCs w:val="18"/>
              </w:rPr>
              <w:t>2,500</w:t>
            </w:r>
          </w:p>
        </w:tc>
        <w:tc>
          <w:tcPr>
            <w:tcW w:w="851" w:type="dxa"/>
            <w:tcBorders>
              <w:top w:val="nil"/>
              <w:left w:val="nil"/>
              <w:bottom w:val="single" w:sz="4" w:space="0" w:color="auto"/>
              <w:right w:val="single" w:sz="4" w:space="0" w:color="auto"/>
            </w:tcBorders>
            <w:shd w:val="clear" w:color="auto" w:fill="auto"/>
            <w:noWrap/>
            <w:vAlign w:val="center"/>
            <w:hideMark/>
          </w:tcPr>
          <w:p w14:paraId="4BC8FD45"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p>
        </w:tc>
      </w:tr>
      <w:tr w:rsidR="00C06B91" w:rsidRPr="000C4743" w14:paraId="6397779E"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082EA3A8"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00492AFE"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12030647"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19148785"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439FC43A"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75700</w:t>
            </w:r>
          </w:p>
        </w:tc>
        <w:tc>
          <w:tcPr>
            <w:tcW w:w="2126" w:type="dxa"/>
            <w:tcBorders>
              <w:top w:val="nil"/>
              <w:left w:val="nil"/>
              <w:bottom w:val="single" w:sz="4" w:space="0" w:color="auto"/>
              <w:right w:val="single" w:sz="4" w:space="0" w:color="auto"/>
            </w:tcBorders>
            <w:shd w:val="clear" w:color="auto" w:fill="auto"/>
            <w:noWrap/>
            <w:vAlign w:val="center"/>
            <w:hideMark/>
          </w:tcPr>
          <w:p w14:paraId="6337B8F8" w14:textId="77777777" w:rsidR="00C06B91" w:rsidRPr="000C4743" w:rsidRDefault="00C06B91" w:rsidP="000C4743">
            <w:pPr>
              <w:spacing w:after="0"/>
              <w:jc w:val="left"/>
              <w:rPr>
                <w:rFonts w:ascii="Times New Roman" w:hAnsi="Times New Roman"/>
                <w:sz w:val="18"/>
                <w:szCs w:val="18"/>
                <w:lang w:eastAsia="en-GB"/>
              </w:rPr>
            </w:pPr>
            <w:r>
              <w:rPr>
                <w:rFonts w:ascii="Times New Roman" w:hAnsi="Times New Roman"/>
                <w:sz w:val="18"/>
                <w:szCs w:val="18"/>
                <w:lang w:eastAsia="en-GB"/>
              </w:rPr>
              <w:t>Training, Workshops and Conferences</w:t>
            </w:r>
          </w:p>
        </w:tc>
        <w:tc>
          <w:tcPr>
            <w:tcW w:w="1134" w:type="dxa"/>
            <w:tcBorders>
              <w:top w:val="nil"/>
              <w:left w:val="nil"/>
              <w:bottom w:val="single" w:sz="4" w:space="0" w:color="auto"/>
              <w:right w:val="single" w:sz="4" w:space="0" w:color="auto"/>
            </w:tcBorders>
            <w:shd w:val="clear" w:color="auto" w:fill="auto"/>
            <w:noWrap/>
            <w:vAlign w:val="bottom"/>
            <w:hideMark/>
          </w:tcPr>
          <w:p w14:paraId="6BBFF495" w14:textId="64FF9EAC" w:rsidR="00C06B91" w:rsidRPr="000C4743" w:rsidRDefault="00C06B91" w:rsidP="007A2E9D">
            <w:pPr>
              <w:spacing w:after="0"/>
              <w:jc w:val="right"/>
              <w:rPr>
                <w:rFonts w:ascii="Times New Roman" w:hAnsi="Times New Roman"/>
                <w:sz w:val="18"/>
                <w:szCs w:val="18"/>
                <w:lang w:eastAsia="en-GB"/>
              </w:rPr>
            </w:pPr>
            <w:r>
              <w:rPr>
                <w:sz w:val="18"/>
                <w:szCs w:val="18"/>
              </w:rPr>
              <w:t>3,588</w:t>
            </w:r>
          </w:p>
        </w:tc>
        <w:tc>
          <w:tcPr>
            <w:tcW w:w="1134" w:type="dxa"/>
            <w:tcBorders>
              <w:top w:val="nil"/>
              <w:left w:val="nil"/>
              <w:bottom w:val="single" w:sz="4" w:space="0" w:color="auto"/>
              <w:right w:val="single" w:sz="4" w:space="0" w:color="auto"/>
            </w:tcBorders>
            <w:shd w:val="clear" w:color="auto" w:fill="auto"/>
            <w:noWrap/>
            <w:vAlign w:val="bottom"/>
            <w:hideMark/>
          </w:tcPr>
          <w:p w14:paraId="3E16E6F3" w14:textId="1C2039F8" w:rsidR="00C06B91" w:rsidRPr="000C4743" w:rsidRDefault="00C06B91" w:rsidP="007A2E9D">
            <w:pPr>
              <w:spacing w:after="0"/>
              <w:jc w:val="right"/>
              <w:rPr>
                <w:rFonts w:ascii="Times New Roman" w:hAnsi="Times New Roman"/>
                <w:sz w:val="18"/>
                <w:szCs w:val="18"/>
                <w:lang w:eastAsia="en-GB"/>
              </w:rPr>
            </w:pPr>
            <w:r>
              <w:rPr>
                <w:sz w:val="18"/>
                <w:szCs w:val="18"/>
              </w:rPr>
              <w:t>2,392</w:t>
            </w:r>
          </w:p>
        </w:tc>
        <w:tc>
          <w:tcPr>
            <w:tcW w:w="1134" w:type="dxa"/>
            <w:tcBorders>
              <w:top w:val="nil"/>
              <w:left w:val="nil"/>
              <w:bottom w:val="single" w:sz="4" w:space="0" w:color="auto"/>
              <w:right w:val="single" w:sz="4" w:space="0" w:color="auto"/>
            </w:tcBorders>
            <w:shd w:val="clear" w:color="auto" w:fill="auto"/>
            <w:noWrap/>
            <w:vAlign w:val="bottom"/>
            <w:hideMark/>
          </w:tcPr>
          <w:p w14:paraId="0FA6C4A2" w14:textId="4E3B257D" w:rsidR="00C06B91" w:rsidRPr="000C4743" w:rsidRDefault="00C06B91" w:rsidP="007A2E9D">
            <w:pPr>
              <w:spacing w:after="0"/>
              <w:jc w:val="right"/>
              <w:rPr>
                <w:rFonts w:ascii="Times New Roman" w:hAnsi="Times New Roman"/>
                <w:sz w:val="18"/>
                <w:szCs w:val="18"/>
                <w:lang w:eastAsia="en-GB"/>
              </w:rPr>
            </w:pPr>
            <w:r>
              <w:rPr>
                <w:sz w:val="18"/>
                <w:szCs w:val="18"/>
              </w:rPr>
              <w:t>3,588</w:t>
            </w:r>
          </w:p>
        </w:tc>
        <w:tc>
          <w:tcPr>
            <w:tcW w:w="992" w:type="dxa"/>
            <w:tcBorders>
              <w:top w:val="nil"/>
              <w:left w:val="nil"/>
              <w:bottom w:val="single" w:sz="4" w:space="0" w:color="auto"/>
              <w:right w:val="single" w:sz="4" w:space="0" w:color="auto"/>
            </w:tcBorders>
            <w:shd w:val="clear" w:color="auto" w:fill="auto"/>
            <w:noWrap/>
            <w:vAlign w:val="bottom"/>
            <w:hideMark/>
          </w:tcPr>
          <w:p w14:paraId="0BD231DA" w14:textId="581DEF08" w:rsidR="00C06B91" w:rsidRPr="000C4743" w:rsidRDefault="00C06B91" w:rsidP="007A2E9D">
            <w:pPr>
              <w:spacing w:after="0"/>
              <w:jc w:val="right"/>
              <w:rPr>
                <w:rFonts w:ascii="Times New Roman" w:hAnsi="Times New Roman"/>
                <w:sz w:val="18"/>
                <w:szCs w:val="18"/>
                <w:lang w:eastAsia="en-GB"/>
              </w:rPr>
            </w:pPr>
            <w:r>
              <w:rPr>
                <w:sz w:val="18"/>
                <w:szCs w:val="18"/>
              </w:rPr>
              <w:t>1,196</w:t>
            </w:r>
          </w:p>
        </w:tc>
        <w:tc>
          <w:tcPr>
            <w:tcW w:w="992" w:type="dxa"/>
            <w:tcBorders>
              <w:top w:val="nil"/>
              <w:left w:val="nil"/>
              <w:bottom w:val="single" w:sz="4" w:space="0" w:color="auto"/>
              <w:right w:val="single" w:sz="4" w:space="0" w:color="auto"/>
            </w:tcBorders>
            <w:shd w:val="clear" w:color="auto" w:fill="auto"/>
            <w:noWrap/>
            <w:vAlign w:val="bottom"/>
            <w:hideMark/>
          </w:tcPr>
          <w:p w14:paraId="19CF381D" w14:textId="21807739" w:rsidR="00C06B91" w:rsidRPr="000C4743" w:rsidRDefault="00C06B91" w:rsidP="007A2E9D">
            <w:pPr>
              <w:spacing w:after="0"/>
              <w:jc w:val="right"/>
              <w:rPr>
                <w:rFonts w:ascii="Times New Roman" w:hAnsi="Times New Roman"/>
                <w:sz w:val="18"/>
                <w:szCs w:val="18"/>
                <w:lang w:eastAsia="en-GB"/>
              </w:rPr>
            </w:pPr>
            <w:r>
              <w:rPr>
                <w:sz w:val="18"/>
                <w:szCs w:val="18"/>
              </w:rPr>
              <w:t>1,196</w:t>
            </w:r>
          </w:p>
        </w:tc>
        <w:tc>
          <w:tcPr>
            <w:tcW w:w="1134" w:type="dxa"/>
            <w:tcBorders>
              <w:top w:val="nil"/>
              <w:left w:val="nil"/>
              <w:bottom w:val="single" w:sz="4" w:space="0" w:color="auto"/>
              <w:right w:val="single" w:sz="4" w:space="0" w:color="auto"/>
            </w:tcBorders>
            <w:shd w:val="clear" w:color="auto" w:fill="auto"/>
            <w:noWrap/>
            <w:vAlign w:val="bottom"/>
            <w:hideMark/>
          </w:tcPr>
          <w:p w14:paraId="3DA861B0" w14:textId="07E8AF8D" w:rsidR="00C06B91" w:rsidRPr="000C4743" w:rsidRDefault="00C06B91" w:rsidP="007A2E9D">
            <w:pPr>
              <w:spacing w:after="0"/>
              <w:jc w:val="right"/>
              <w:rPr>
                <w:rFonts w:ascii="Times New Roman" w:hAnsi="Times New Roman"/>
                <w:sz w:val="18"/>
                <w:szCs w:val="18"/>
                <w:lang w:eastAsia="en-GB"/>
              </w:rPr>
            </w:pPr>
            <w:r>
              <w:rPr>
                <w:sz w:val="18"/>
                <w:szCs w:val="18"/>
              </w:rPr>
              <w:t>11,960</w:t>
            </w:r>
          </w:p>
        </w:tc>
        <w:tc>
          <w:tcPr>
            <w:tcW w:w="851" w:type="dxa"/>
            <w:tcBorders>
              <w:top w:val="nil"/>
              <w:left w:val="nil"/>
              <w:bottom w:val="single" w:sz="4" w:space="0" w:color="auto"/>
              <w:right w:val="single" w:sz="4" w:space="0" w:color="auto"/>
            </w:tcBorders>
            <w:shd w:val="clear" w:color="auto" w:fill="auto"/>
            <w:noWrap/>
            <w:vAlign w:val="center"/>
            <w:hideMark/>
          </w:tcPr>
          <w:p w14:paraId="7FB87CC4"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p>
        </w:tc>
      </w:tr>
      <w:tr w:rsidR="00C06B91" w:rsidRPr="000C4743" w14:paraId="566F5581"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44D4D186"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3376D573"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70E77976"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7B2B9827"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52790CC6"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 </w:t>
            </w:r>
          </w:p>
        </w:tc>
        <w:tc>
          <w:tcPr>
            <w:tcW w:w="2126" w:type="dxa"/>
            <w:tcBorders>
              <w:top w:val="nil"/>
              <w:left w:val="nil"/>
              <w:bottom w:val="single" w:sz="4" w:space="0" w:color="auto"/>
              <w:right w:val="single" w:sz="4" w:space="0" w:color="auto"/>
            </w:tcBorders>
            <w:shd w:val="clear" w:color="auto" w:fill="auto"/>
            <w:vAlign w:val="center"/>
            <w:hideMark/>
          </w:tcPr>
          <w:p w14:paraId="08EBE478" w14:textId="77777777" w:rsidR="00C06B91" w:rsidRPr="000C4743" w:rsidRDefault="00C06B91" w:rsidP="000C4743">
            <w:pPr>
              <w:spacing w:after="0"/>
              <w:jc w:val="left"/>
              <w:rPr>
                <w:rFonts w:ascii="Times New Roman" w:hAnsi="Times New Roman"/>
                <w:b/>
                <w:bCs/>
                <w:color w:val="000000"/>
                <w:sz w:val="18"/>
                <w:szCs w:val="18"/>
                <w:lang w:eastAsia="en-GB"/>
              </w:rPr>
            </w:pPr>
            <w:r w:rsidRPr="000C4743">
              <w:rPr>
                <w:rFonts w:ascii="Times New Roman" w:hAnsi="Times New Roman"/>
                <w:b/>
                <w:bCs/>
                <w:color w:val="000000"/>
                <w:sz w:val="18"/>
                <w:szCs w:val="18"/>
                <w:lang w:eastAsia="en-GB"/>
              </w:rPr>
              <w:t>TOTAL Outcome 2</w:t>
            </w:r>
          </w:p>
        </w:tc>
        <w:tc>
          <w:tcPr>
            <w:tcW w:w="1134" w:type="dxa"/>
            <w:tcBorders>
              <w:top w:val="nil"/>
              <w:left w:val="nil"/>
              <w:bottom w:val="single" w:sz="4" w:space="0" w:color="auto"/>
              <w:right w:val="single" w:sz="4" w:space="0" w:color="auto"/>
            </w:tcBorders>
            <w:shd w:val="clear" w:color="auto" w:fill="auto"/>
            <w:noWrap/>
            <w:vAlign w:val="bottom"/>
            <w:hideMark/>
          </w:tcPr>
          <w:p w14:paraId="5CA88F95" w14:textId="0CBCA4F8" w:rsidR="00C06B91" w:rsidRPr="000C4743" w:rsidRDefault="00C06B91" w:rsidP="007A2E9D">
            <w:pPr>
              <w:spacing w:after="0"/>
              <w:jc w:val="right"/>
              <w:rPr>
                <w:rFonts w:ascii="Times New Roman" w:hAnsi="Times New Roman"/>
                <w:b/>
                <w:bCs/>
                <w:sz w:val="18"/>
                <w:szCs w:val="18"/>
                <w:lang w:eastAsia="en-GB"/>
              </w:rPr>
            </w:pPr>
            <w:r>
              <w:rPr>
                <w:b/>
                <w:bCs/>
                <w:sz w:val="18"/>
                <w:szCs w:val="18"/>
              </w:rPr>
              <w:t>210,000</w:t>
            </w:r>
          </w:p>
        </w:tc>
        <w:tc>
          <w:tcPr>
            <w:tcW w:w="1134" w:type="dxa"/>
            <w:tcBorders>
              <w:top w:val="nil"/>
              <w:left w:val="nil"/>
              <w:bottom w:val="single" w:sz="4" w:space="0" w:color="auto"/>
              <w:right w:val="single" w:sz="4" w:space="0" w:color="auto"/>
            </w:tcBorders>
            <w:shd w:val="clear" w:color="auto" w:fill="auto"/>
            <w:noWrap/>
            <w:vAlign w:val="bottom"/>
            <w:hideMark/>
          </w:tcPr>
          <w:p w14:paraId="4999259D" w14:textId="04A91AEE" w:rsidR="00C06B91" w:rsidRPr="000C4743" w:rsidRDefault="00C06B91" w:rsidP="007A2E9D">
            <w:pPr>
              <w:spacing w:after="0"/>
              <w:jc w:val="right"/>
              <w:rPr>
                <w:rFonts w:ascii="Times New Roman" w:hAnsi="Times New Roman"/>
                <w:b/>
                <w:bCs/>
                <w:sz w:val="18"/>
                <w:szCs w:val="18"/>
                <w:lang w:eastAsia="en-GB"/>
              </w:rPr>
            </w:pPr>
            <w:r>
              <w:rPr>
                <w:b/>
                <w:bCs/>
                <w:sz w:val="18"/>
                <w:szCs w:val="18"/>
              </w:rPr>
              <w:t>140,000</w:t>
            </w:r>
          </w:p>
        </w:tc>
        <w:tc>
          <w:tcPr>
            <w:tcW w:w="1134" w:type="dxa"/>
            <w:tcBorders>
              <w:top w:val="nil"/>
              <w:left w:val="nil"/>
              <w:bottom w:val="single" w:sz="4" w:space="0" w:color="auto"/>
              <w:right w:val="single" w:sz="4" w:space="0" w:color="auto"/>
            </w:tcBorders>
            <w:shd w:val="clear" w:color="auto" w:fill="auto"/>
            <w:noWrap/>
            <w:vAlign w:val="bottom"/>
            <w:hideMark/>
          </w:tcPr>
          <w:p w14:paraId="1344D3C0" w14:textId="109C1AF5" w:rsidR="00C06B91" w:rsidRPr="000C4743" w:rsidRDefault="00C06B91" w:rsidP="007A2E9D">
            <w:pPr>
              <w:spacing w:after="0"/>
              <w:jc w:val="right"/>
              <w:rPr>
                <w:rFonts w:ascii="Times New Roman" w:hAnsi="Times New Roman"/>
                <w:b/>
                <w:bCs/>
                <w:sz w:val="18"/>
                <w:szCs w:val="18"/>
                <w:lang w:eastAsia="en-GB"/>
              </w:rPr>
            </w:pPr>
            <w:r>
              <w:rPr>
                <w:b/>
                <w:bCs/>
                <w:sz w:val="18"/>
                <w:szCs w:val="18"/>
              </w:rPr>
              <w:t>210,000</w:t>
            </w:r>
          </w:p>
        </w:tc>
        <w:tc>
          <w:tcPr>
            <w:tcW w:w="992" w:type="dxa"/>
            <w:tcBorders>
              <w:top w:val="nil"/>
              <w:left w:val="nil"/>
              <w:bottom w:val="single" w:sz="4" w:space="0" w:color="auto"/>
              <w:right w:val="single" w:sz="4" w:space="0" w:color="auto"/>
            </w:tcBorders>
            <w:shd w:val="clear" w:color="auto" w:fill="auto"/>
            <w:noWrap/>
            <w:vAlign w:val="bottom"/>
            <w:hideMark/>
          </w:tcPr>
          <w:p w14:paraId="527C2CD0" w14:textId="02ECFCB6" w:rsidR="00C06B91" w:rsidRPr="000C4743" w:rsidRDefault="00C06B91" w:rsidP="007A2E9D">
            <w:pPr>
              <w:spacing w:after="0"/>
              <w:jc w:val="right"/>
              <w:rPr>
                <w:rFonts w:ascii="Times New Roman" w:hAnsi="Times New Roman"/>
                <w:b/>
                <w:bCs/>
                <w:sz w:val="18"/>
                <w:szCs w:val="18"/>
                <w:lang w:eastAsia="en-GB"/>
              </w:rPr>
            </w:pPr>
            <w:r>
              <w:rPr>
                <w:b/>
                <w:bCs/>
                <w:sz w:val="18"/>
                <w:szCs w:val="18"/>
              </w:rPr>
              <w:t>70,000</w:t>
            </w:r>
          </w:p>
        </w:tc>
        <w:tc>
          <w:tcPr>
            <w:tcW w:w="992" w:type="dxa"/>
            <w:tcBorders>
              <w:top w:val="nil"/>
              <w:left w:val="nil"/>
              <w:bottom w:val="single" w:sz="4" w:space="0" w:color="auto"/>
              <w:right w:val="single" w:sz="4" w:space="0" w:color="auto"/>
            </w:tcBorders>
            <w:shd w:val="clear" w:color="auto" w:fill="auto"/>
            <w:noWrap/>
            <w:vAlign w:val="bottom"/>
            <w:hideMark/>
          </w:tcPr>
          <w:p w14:paraId="00D00D05" w14:textId="2DAE8A8A" w:rsidR="00C06B91" w:rsidRPr="000C4743" w:rsidRDefault="00C06B91" w:rsidP="007A2E9D">
            <w:pPr>
              <w:spacing w:after="0"/>
              <w:jc w:val="right"/>
              <w:rPr>
                <w:rFonts w:ascii="Times New Roman" w:hAnsi="Times New Roman"/>
                <w:b/>
                <w:bCs/>
                <w:sz w:val="18"/>
                <w:szCs w:val="18"/>
                <w:lang w:eastAsia="en-GB"/>
              </w:rPr>
            </w:pPr>
            <w:r>
              <w:rPr>
                <w:b/>
                <w:bCs/>
                <w:sz w:val="18"/>
                <w:szCs w:val="18"/>
              </w:rPr>
              <w:t>70,000</w:t>
            </w:r>
          </w:p>
        </w:tc>
        <w:tc>
          <w:tcPr>
            <w:tcW w:w="1134" w:type="dxa"/>
            <w:tcBorders>
              <w:top w:val="nil"/>
              <w:left w:val="nil"/>
              <w:bottom w:val="single" w:sz="4" w:space="0" w:color="auto"/>
              <w:right w:val="single" w:sz="4" w:space="0" w:color="auto"/>
            </w:tcBorders>
            <w:shd w:val="clear" w:color="auto" w:fill="auto"/>
            <w:noWrap/>
            <w:vAlign w:val="bottom"/>
            <w:hideMark/>
          </w:tcPr>
          <w:p w14:paraId="48902A0B" w14:textId="210E7EDB" w:rsidR="00C06B91" w:rsidRPr="000C4743" w:rsidRDefault="00C06B91" w:rsidP="007A2E9D">
            <w:pPr>
              <w:spacing w:after="0"/>
              <w:jc w:val="right"/>
              <w:rPr>
                <w:rFonts w:ascii="Times New Roman" w:hAnsi="Times New Roman"/>
                <w:b/>
                <w:bCs/>
                <w:sz w:val="18"/>
                <w:szCs w:val="18"/>
                <w:lang w:eastAsia="en-GB"/>
              </w:rPr>
            </w:pPr>
            <w:r>
              <w:rPr>
                <w:b/>
                <w:bCs/>
                <w:sz w:val="18"/>
                <w:szCs w:val="18"/>
              </w:rPr>
              <w:t>700,000</w:t>
            </w:r>
          </w:p>
        </w:tc>
        <w:tc>
          <w:tcPr>
            <w:tcW w:w="851" w:type="dxa"/>
            <w:tcBorders>
              <w:top w:val="nil"/>
              <w:left w:val="nil"/>
              <w:bottom w:val="single" w:sz="4" w:space="0" w:color="auto"/>
              <w:right w:val="single" w:sz="4" w:space="0" w:color="auto"/>
            </w:tcBorders>
            <w:shd w:val="clear" w:color="auto" w:fill="auto"/>
            <w:noWrap/>
            <w:vAlign w:val="center"/>
            <w:hideMark/>
          </w:tcPr>
          <w:p w14:paraId="5DA9CECC"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p>
        </w:tc>
      </w:tr>
      <w:tr w:rsidR="00C06B91" w:rsidRPr="000C4743" w14:paraId="6CEBC5D0" w14:textId="77777777" w:rsidTr="006F7397">
        <w:trPr>
          <w:trHeight w:val="255"/>
        </w:trPr>
        <w:tc>
          <w:tcPr>
            <w:tcW w:w="1716" w:type="dxa"/>
            <w:vMerge w:val="restart"/>
            <w:tcBorders>
              <w:top w:val="nil"/>
              <w:left w:val="single" w:sz="4" w:space="0" w:color="auto"/>
              <w:bottom w:val="single" w:sz="4" w:space="0" w:color="000000"/>
              <w:right w:val="single" w:sz="4" w:space="0" w:color="auto"/>
            </w:tcBorders>
            <w:shd w:val="clear" w:color="auto" w:fill="auto"/>
            <w:vAlign w:val="center"/>
            <w:hideMark/>
          </w:tcPr>
          <w:p w14:paraId="08301733" w14:textId="77777777" w:rsidR="00C06B91" w:rsidRPr="000C4743" w:rsidRDefault="00C06B91" w:rsidP="000C4743">
            <w:pPr>
              <w:spacing w:after="0"/>
              <w:jc w:val="left"/>
              <w:rPr>
                <w:rFonts w:ascii="Times New Roman" w:hAnsi="Times New Roman"/>
                <w:b/>
                <w:bCs/>
                <w:sz w:val="18"/>
                <w:szCs w:val="18"/>
                <w:lang w:eastAsia="en-GB"/>
              </w:rPr>
            </w:pPr>
            <w:r w:rsidRPr="000C4743">
              <w:rPr>
                <w:rFonts w:ascii="Times New Roman" w:hAnsi="Times New Roman"/>
                <w:b/>
                <w:bCs/>
                <w:sz w:val="18"/>
                <w:szCs w:val="18"/>
                <w:lang w:eastAsia="en-GB"/>
              </w:rPr>
              <w:t xml:space="preserve">OUTCOME 3: </w:t>
            </w:r>
            <w:r w:rsidRPr="000C4743">
              <w:rPr>
                <w:rFonts w:ascii="Times New Roman" w:hAnsi="Times New Roman"/>
                <w:sz w:val="18"/>
                <w:szCs w:val="18"/>
                <w:lang w:eastAsia="en-GB"/>
              </w:rPr>
              <w:br/>
              <w:t>Financing for urban NAMAs</w:t>
            </w:r>
          </w:p>
        </w:tc>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7F6B121"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MRD</w:t>
            </w:r>
          </w:p>
        </w:tc>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DF62246"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62000</w:t>
            </w:r>
          </w:p>
        </w:tc>
        <w:tc>
          <w:tcPr>
            <w:tcW w:w="708" w:type="dxa"/>
            <w:vMerge w:val="restart"/>
            <w:tcBorders>
              <w:top w:val="nil"/>
              <w:left w:val="single" w:sz="4" w:space="0" w:color="auto"/>
              <w:bottom w:val="single" w:sz="4" w:space="0" w:color="000000"/>
              <w:right w:val="single" w:sz="4" w:space="0" w:color="auto"/>
            </w:tcBorders>
            <w:shd w:val="clear" w:color="auto" w:fill="auto"/>
            <w:vAlign w:val="center"/>
            <w:hideMark/>
          </w:tcPr>
          <w:p w14:paraId="368D7E65"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GEF</w:t>
            </w:r>
          </w:p>
        </w:tc>
        <w:tc>
          <w:tcPr>
            <w:tcW w:w="993" w:type="dxa"/>
            <w:tcBorders>
              <w:top w:val="nil"/>
              <w:left w:val="nil"/>
              <w:bottom w:val="single" w:sz="4" w:space="0" w:color="auto"/>
              <w:right w:val="single" w:sz="4" w:space="0" w:color="auto"/>
            </w:tcBorders>
            <w:shd w:val="clear" w:color="auto" w:fill="auto"/>
            <w:noWrap/>
            <w:vAlign w:val="center"/>
            <w:hideMark/>
          </w:tcPr>
          <w:p w14:paraId="6D36AD8C"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71400</w:t>
            </w:r>
          </w:p>
        </w:tc>
        <w:tc>
          <w:tcPr>
            <w:tcW w:w="2126" w:type="dxa"/>
            <w:tcBorders>
              <w:top w:val="nil"/>
              <w:left w:val="nil"/>
              <w:bottom w:val="single" w:sz="4" w:space="0" w:color="auto"/>
              <w:right w:val="single" w:sz="4" w:space="0" w:color="auto"/>
            </w:tcBorders>
            <w:shd w:val="clear" w:color="auto" w:fill="auto"/>
            <w:vAlign w:val="center"/>
            <w:hideMark/>
          </w:tcPr>
          <w:p w14:paraId="65ACD14A" w14:textId="77777777" w:rsidR="00C06B91" w:rsidRPr="000C4743" w:rsidRDefault="00C06B91" w:rsidP="000C4743">
            <w:pPr>
              <w:spacing w:after="0"/>
              <w:jc w:val="left"/>
              <w:rPr>
                <w:rFonts w:ascii="Times New Roman" w:hAnsi="Times New Roman"/>
                <w:color w:val="000000"/>
                <w:sz w:val="18"/>
                <w:szCs w:val="18"/>
                <w:lang w:eastAsia="en-GB"/>
              </w:rPr>
            </w:pPr>
            <w:r w:rsidRPr="000C4743">
              <w:rPr>
                <w:rFonts w:ascii="Times New Roman" w:hAnsi="Times New Roman"/>
                <w:color w:val="000000"/>
                <w:sz w:val="18"/>
                <w:szCs w:val="18"/>
                <w:lang w:eastAsia="en-GB"/>
              </w:rPr>
              <w:t>Project manager</w:t>
            </w:r>
          </w:p>
        </w:tc>
        <w:tc>
          <w:tcPr>
            <w:tcW w:w="1134" w:type="dxa"/>
            <w:tcBorders>
              <w:top w:val="nil"/>
              <w:left w:val="nil"/>
              <w:bottom w:val="single" w:sz="4" w:space="0" w:color="auto"/>
              <w:right w:val="single" w:sz="4" w:space="0" w:color="auto"/>
            </w:tcBorders>
            <w:shd w:val="clear" w:color="auto" w:fill="auto"/>
            <w:noWrap/>
            <w:vAlign w:val="bottom"/>
            <w:hideMark/>
          </w:tcPr>
          <w:p w14:paraId="31E5E06C" w14:textId="66632270" w:rsidR="00C06B91" w:rsidRPr="000C4743" w:rsidRDefault="00C06B91" w:rsidP="007A2E9D">
            <w:pPr>
              <w:spacing w:after="0"/>
              <w:jc w:val="right"/>
              <w:rPr>
                <w:rFonts w:ascii="Times New Roman" w:hAnsi="Times New Roman"/>
                <w:sz w:val="18"/>
                <w:szCs w:val="18"/>
                <w:lang w:eastAsia="en-GB"/>
              </w:rPr>
            </w:pPr>
            <w:r>
              <w:rPr>
                <w:sz w:val="18"/>
                <w:szCs w:val="18"/>
              </w:rPr>
              <w:t>7,200</w:t>
            </w:r>
          </w:p>
        </w:tc>
        <w:tc>
          <w:tcPr>
            <w:tcW w:w="1134" w:type="dxa"/>
            <w:tcBorders>
              <w:top w:val="nil"/>
              <w:left w:val="nil"/>
              <w:bottom w:val="single" w:sz="4" w:space="0" w:color="auto"/>
              <w:right w:val="single" w:sz="4" w:space="0" w:color="auto"/>
            </w:tcBorders>
            <w:shd w:val="clear" w:color="auto" w:fill="auto"/>
            <w:noWrap/>
            <w:vAlign w:val="bottom"/>
            <w:hideMark/>
          </w:tcPr>
          <w:p w14:paraId="5ADF4F39" w14:textId="513BE689" w:rsidR="00C06B91" w:rsidRPr="000C4743" w:rsidRDefault="00C06B91" w:rsidP="007A2E9D">
            <w:pPr>
              <w:spacing w:after="0"/>
              <w:jc w:val="right"/>
              <w:rPr>
                <w:rFonts w:ascii="Times New Roman" w:hAnsi="Times New Roman"/>
                <w:sz w:val="18"/>
                <w:szCs w:val="18"/>
                <w:lang w:eastAsia="en-GB"/>
              </w:rPr>
            </w:pPr>
            <w:r>
              <w:rPr>
                <w:sz w:val="18"/>
                <w:szCs w:val="18"/>
              </w:rPr>
              <w:t>7,200</w:t>
            </w:r>
          </w:p>
        </w:tc>
        <w:tc>
          <w:tcPr>
            <w:tcW w:w="1134" w:type="dxa"/>
            <w:tcBorders>
              <w:top w:val="nil"/>
              <w:left w:val="nil"/>
              <w:bottom w:val="single" w:sz="4" w:space="0" w:color="auto"/>
              <w:right w:val="single" w:sz="4" w:space="0" w:color="auto"/>
            </w:tcBorders>
            <w:shd w:val="clear" w:color="auto" w:fill="auto"/>
            <w:noWrap/>
            <w:vAlign w:val="bottom"/>
            <w:hideMark/>
          </w:tcPr>
          <w:p w14:paraId="43EF1C31" w14:textId="074630EA" w:rsidR="00C06B91" w:rsidRPr="000C4743" w:rsidRDefault="00C06B91" w:rsidP="007A2E9D">
            <w:pPr>
              <w:spacing w:after="0"/>
              <w:jc w:val="right"/>
              <w:rPr>
                <w:rFonts w:ascii="Times New Roman" w:hAnsi="Times New Roman"/>
                <w:sz w:val="18"/>
                <w:szCs w:val="18"/>
                <w:lang w:eastAsia="en-GB"/>
              </w:rPr>
            </w:pPr>
            <w:r>
              <w:rPr>
                <w:sz w:val="18"/>
                <w:szCs w:val="18"/>
              </w:rPr>
              <w:t>10,800</w:t>
            </w:r>
          </w:p>
        </w:tc>
        <w:tc>
          <w:tcPr>
            <w:tcW w:w="992" w:type="dxa"/>
            <w:tcBorders>
              <w:top w:val="nil"/>
              <w:left w:val="nil"/>
              <w:bottom w:val="single" w:sz="4" w:space="0" w:color="auto"/>
              <w:right w:val="single" w:sz="4" w:space="0" w:color="auto"/>
            </w:tcBorders>
            <w:shd w:val="clear" w:color="auto" w:fill="auto"/>
            <w:noWrap/>
            <w:vAlign w:val="bottom"/>
            <w:hideMark/>
          </w:tcPr>
          <w:p w14:paraId="47195F83" w14:textId="6A3460AD" w:rsidR="00C06B91" w:rsidRPr="000C4743" w:rsidRDefault="00C06B91" w:rsidP="007A2E9D">
            <w:pPr>
              <w:spacing w:after="0"/>
              <w:jc w:val="right"/>
              <w:rPr>
                <w:rFonts w:ascii="Times New Roman" w:hAnsi="Times New Roman"/>
                <w:sz w:val="18"/>
                <w:szCs w:val="18"/>
                <w:lang w:eastAsia="en-GB"/>
              </w:rPr>
            </w:pPr>
            <w:r>
              <w:rPr>
                <w:sz w:val="18"/>
                <w:szCs w:val="18"/>
              </w:rPr>
              <w:t>7,200</w:t>
            </w:r>
          </w:p>
        </w:tc>
        <w:tc>
          <w:tcPr>
            <w:tcW w:w="992" w:type="dxa"/>
            <w:tcBorders>
              <w:top w:val="nil"/>
              <w:left w:val="nil"/>
              <w:bottom w:val="single" w:sz="4" w:space="0" w:color="auto"/>
              <w:right w:val="single" w:sz="4" w:space="0" w:color="auto"/>
            </w:tcBorders>
            <w:shd w:val="clear" w:color="auto" w:fill="auto"/>
            <w:noWrap/>
            <w:vAlign w:val="bottom"/>
            <w:hideMark/>
          </w:tcPr>
          <w:p w14:paraId="33720B05" w14:textId="6A792EDC" w:rsidR="00C06B91" w:rsidRPr="000C4743" w:rsidRDefault="00C06B91" w:rsidP="007A2E9D">
            <w:pPr>
              <w:spacing w:after="0"/>
              <w:jc w:val="right"/>
              <w:rPr>
                <w:rFonts w:ascii="Times New Roman" w:hAnsi="Times New Roman"/>
                <w:sz w:val="18"/>
                <w:szCs w:val="18"/>
                <w:lang w:eastAsia="en-GB"/>
              </w:rPr>
            </w:pPr>
            <w:r>
              <w:rPr>
                <w:sz w:val="18"/>
                <w:szCs w:val="18"/>
              </w:rPr>
              <w:t>3,600</w:t>
            </w:r>
          </w:p>
        </w:tc>
        <w:tc>
          <w:tcPr>
            <w:tcW w:w="1134" w:type="dxa"/>
            <w:tcBorders>
              <w:top w:val="nil"/>
              <w:left w:val="nil"/>
              <w:bottom w:val="single" w:sz="4" w:space="0" w:color="auto"/>
              <w:right w:val="single" w:sz="4" w:space="0" w:color="auto"/>
            </w:tcBorders>
            <w:shd w:val="clear" w:color="auto" w:fill="auto"/>
            <w:noWrap/>
            <w:vAlign w:val="bottom"/>
            <w:hideMark/>
          </w:tcPr>
          <w:p w14:paraId="391D7DE8" w14:textId="2ECF9D63" w:rsidR="00C06B91" w:rsidRPr="000C4743" w:rsidRDefault="00C06B91" w:rsidP="007A2E9D">
            <w:pPr>
              <w:spacing w:after="0"/>
              <w:jc w:val="right"/>
              <w:rPr>
                <w:rFonts w:ascii="Times New Roman" w:hAnsi="Times New Roman"/>
                <w:sz w:val="18"/>
                <w:szCs w:val="18"/>
                <w:lang w:eastAsia="en-GB"/>
              </w:rPr>
            </w:pPr>
            <w:r>
              <w:rPr>
                <w:sz w:val="18"/>
                <w:szCs w:val="18"/>
              </w:rPr>
              <w:t>36,000</w:t>
            </w:r>
          </w:p>
        </w:tc>
        <w:tc>
          <w:tcPr>
            <w:tcW w:w="851" w:type="dxa"/>
            <w:tcBorders>
              <w:top w:val="nil"/>
              <w:left w:val="nil"/>
              <w:bottom w:val="single" w:sz="4" w:space="0" w:color="auto"/>
              <w:right w:val="single" w:sz="4" w:space="0" w:color="auto"/>
            </w:tcBorders>
            <w:shd w:val="clear" w:color="auto" w:fill="auto"/>
            <w:noWrap/>
            <w:vAlign w:val="center"/>
            <w:hideMark/>
          </w:tcPr>
          <w:p w14:paraId="3B7404DF"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1</w:t>
            </w:r>
          </w:p>
        </w:tc>
      </w:tr>
      <w:tr w:rsidR="00C06B91" w:rsidRPr="000C4743" w14:paraId="0F2F52DF"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2C109E7F"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149D3133"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6D753ACE"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455DE367"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3DE9B5EB"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71200</w:t>
            </w:r>
          </w:p>
        </w:tc>
        <w:tc>
          <w:tcPr>
            <w:tcW w:w="2126" w:type="dxa"/>
            <w:tcBorders>
              <w:top w:val="nil"/>
              <w:left w:val="nil"/>
              <w:bottom w:val="single" w:sz="4" w:space="0" w:color="auto"/>
              <w:right w:val="single" w:sz="4" w:space="0" w:color="auto"/>
            </w:tcBorders>
            <w:shd w:val="clear" w:color="auto" w:fill="auto"/>
            <w:vAlign w:val="center"/>
            <w:hideMark/>
          </w:tcPr>
          <w:p w14:paraId="49F4C77F" w14:textId="77777777" w:rsidR="00C06B91" w:rsidRPr="000C4743" w:rsidRDefault="00C06B91" w:rsidP="000C4743">
            <w:pPr>
              <w:spacing w:after="0"/>
              <w:jc w:val="left"/>
              <w:rPr>
                <w:rFonts w:ascii="Times New Roman" w:hAnsi="Times New Roman"/>
                <w:color w:val="000000"/>
                <w:sz w:val="18"/>
                <w:szCs w:val="18"/>
                <w:lang w:eastAsia="en-GB"/>
              </w:rPr>
            </w:pPr>
            <w:r w:rsidRPr="000C4743">
              <w:rPr>
                <w:rFonts w:ascii="Times New Roman" w:hAnsi="Times New Roman"/>
                <w:color w:val="000000"/>
                <w:sz w:val="18"/>
                <w:szCs w:val="18"/>
                <w:lang w:eastAsia="en-GB"/>
              </w:rPr>
              <w:t>International Consultants</w:t>
            </w:r>
          </w:p>
        </w:tc>
        <w:tc>
          <w:tcPr>
            <w:tcW w:w="1134" w:type="dxa"/>
            <w:tcBorders>
              <w:top w:val="nil"/>
              <w:left w:val="nil"/>
              <w:bottom w:val="single" w:sz="4" w:space="0" w:color="auto"/>
              <w:right w:val="single" w:sz="4" w:space="0" w:color="auto"/>
            </w:tcBorders>
            <w:shd w:val="clear" w:color="auto" w:fill="auto"/>
            <w:noWrap/>
            <w:vAlign w:val="bottom"/>
            <w:hideMark/>
          </w:tcPr>
          <w:p w14:paraId="4E9625C8" w14:textId="377C3269" w:rsidR="00C06B91" w:rsidRPr="000C4743" w:rsidRDefault="00C06B91" w:rsidP="007A2E9D">
            <w:pPr>
              <w:spacing w:after="0"/>
              <w:jc w:val="right"/>
              <w:rPr>
                <w:rFonts w:ascii="Times New Roman" w:hAnsi="Times New Roman"/>
                <w:sz w:val="18"/>
                <w:szCs w:val="18"/>
                <w:lang w:eastAsia="en-GB"/>
              </w:rPr>
            </w:pPr>
            <w:r>
              <w:rPr>
                <w:sz w:val="18"/>
                <w:szCs w:val="18"/>
              </w:rPr>
              <w:t>11,200</w:t>
            </w:r>
          </w:p>
        </w:tc>
        <w:tc>
          <w:tcPr>
            <w:tcW w:w="1134" w:type="dxa"/>
            <w:tcBorders>
              <w:top w:val="nil"/>
              <w:left w:val="nil"/>
              <w:bottom w:val="single" w:sz="4" w:space="0" w:color="auto"/>
              <w:right w:val="single" w:sz="4" w:space="0" w:color="auto"/>
            </w:tcBorders>
            <w:shd w:val="clear" w:color="auto" w:fill="auto"/>
            <w:noWrap/>
            <w:vAlign w:val="bottom"/>
            <w:hideMark/>
          </w:tcPr>
          <w:p w14:paraId="713450E8" w14:textId="40EF45ED" w:rsidR="00C06B91" w:rsidRPr="000C4743" w:rsidRDefault="00C06B91" w:rsidP="007A2E9D">
            <w:pPr>
              <w:spacing w:after="0"/>
              <w:jc w:val="right"/>
              <w:rPr>
                <w:rFonts w:ascii="Times New Roman" w:hAnsi="Times New Roman"/>
                <w:sz w:val="18"/>
                <w:szCs w:val="18"/>
                <w:lang w:eastAsia="en-GB"/>
              </w:rPr>
            </w:pPr>
            <w:r>
              <w:rPr>
                <w:sz w:val="18"/>
                <w:szCs w:val="18"/>
              </w:rPr>
              <w:t>11,200</w:t>
            </w:r>
          </w:p>
        </w:tc>
        <w:tc>
          <w:tcPr>
            <w:tcW w:w="1134" w:type="dxa"/>
            <w:tcBorders>
              <w:top w:val="nil"/>
              <w:left w:val="nil"/>
              <w:bottom w:val="single" w:sz="4" w:space="0" w:color="auto"/>
              <w:right w:val="single" w:sz="4" w:space="0" w:color="auto"/>
            </w:tcBorders>
            <w:shd w:val="clear" w:color="auto" w:fill="auto"/>
            <w:noWrap/>
            <w:vAlign w:val="bottom"/>
            <w:hideMark/>
          </w:tcPr>
          <w:p w14:paraId="7F10B9A8" w14:textId="4886A607" w:rsidR="00C06B91" w:rsidRPr="000C4743" w:rsidRDefault="00C06B91" w:rsidP="007A2E9D">
            <w:pPr>
              <w:spacing w:after="0"/>
              <w:jc w:val="right"/>
              <w:rPr>
                <w:rFonts w:ascii="Times New Roman" w:hAnsi="Times New Roman"/>
                <w:sz w:val="18"/>
                <w:szCs w:val="18"/>
                <w:lang w:eastAsia="en-GB"/>
              </w:rPr>
            </w:pPr>
            <w:r>
              <w:rPr>
                <w:sz w:val="18"/>
                <w:szCs w:val="18"/>
              </w:rPr>
              <w:t>16,800</w:t>
            </w:r>
          </w:p>
        </w:tc>
        <w:tc>
          <w:tcPr>
            <w:tcW w:w="992" w:type="dxa"/>
            <w:tcBorders>
              <w:top w:val="nil"/>
              <w:left w:val="nil"/>
              <w:bottom w:val="single" w:sz="4" w:space="0" w:color="auto"/>
              <w:right w:val="single" w:sz="4" w:space="0" w:color="auto"/>
            </w:tcBorders>
            <w:shd w:val="clear" w:color="auto" w:fill="auto"/>
            <w:noWrap/>
            <w:vAlign w:val="bottom"/>
            <w:hideMark/>
          </w:tcPr>
          <w:p w14:paraId="3FAF5918" w14:textId="35A90D38" w:rsidR="00C06B91" w:rsidRPr="000C4743" w:rsidRDefault="00C06B91" w:rsidP="007A2E9D">
            <w:pPr>
              <w:spacing w:after="0"/>
              <w:jc w:val="right"/>
              <w:rPr>
                <w:rFonts w:ascii="Times New Roman" w:hAnsi="Times New Roman"/>
                <w:sz w:val="18"/>
                <w:szCs w:val="18"/>
                <w:lang w:eastAsia="en-GB"/>
              </w:rPr>
            </w:pPr>
            <w:r>
              <w:rPr>
                <w:sz w:val="18"/>
                <w:szCs w:val="18"/>
              </w:rPr>
              <w:t>11,200</w:t>
            </w:r>
          </w:p>
        </w:tc>
        <w:tc>
          <w:tcPr>
            <w:tcW w:w="992" w:type="dxa"/>
            <w:tcBorders>
              <w:top w:val="nil"/>
              <w:left w:val="nil"/>
              <w:bottom w:val="single" w:sz="4" w:space="0" w:color="auto"/>
              <w:right w:val="single" w:sz="4" w:space="0" w:color="auto"/>
            </w:tcBorders>
            <w:shd w:val="clear" w:color="auto" w:fill="auto"/>
            <w:noWrap/>
            <w:vAlign w:val="bottom"/>
            <w:hideMark/>
          </w:tcPr>
          <w:p w14:paraId="44F9B952" w14:textId="3C5F173B" w:rsidR="00C06B91" w:rsidRPr="000C4743" w:rsidRDefault="00C06B91" w:rsidP="007A2E9D">
            <w:pPr>
              <w:spacing w:after="0"/>
              <w:jc w:val="right"/>
              <w:rPr>
                <w:rFonts w:ascii="Times New Roman" w:hAnsi="Times New Roman"/>
                <w:sz w:val="18"/>
                <w:szCs w:val="18"/>
                <w:lang w:eastAsia="en-GB"/>
              </w:rPr>
            </w:pPr>
            <w:r>
              <w:rPr>
                <w:sz w:val="18"/>
                <w:szCs w:val="18"/>
              </w:rPr>
              <w:t>5,600</w:t>
            </w:r>
          </w:p>
        </w:tc>
        <w:tc>
          <w:tcPr>
            <w:tcW w:w="1134" w:type="dxa"/>
            <w:tcBorders>
              <w:top w:val="nil"/>
              <w:left w:val="nil"/>
              <w:bottom w:val="single" w:sz="4" w:space="0" w:color="auto"/>
              <w:right w:val="single" w:sz="4" w:space="0" w:color="auto"/>
            </w:tcBorders>
            <w:shd w:val="clear" w:color="auto" w:fill="auto"/>
            <w:noWrap/>
            <w:vAlign w:val="bottom"/>
            <w:hideMark/>
          </w:tcPr>
          <w:p w14:paraId="3B476332" w14:textId="6B590854" w:rsidR="00C06B91" w:rsidRPr="000C4743" w:rsidRDefault="00C06B91" w:rsidP="007A2E9D">
            <w:pPr>
              <w:spacing w:after="0"/>
              <w:jc w:val="right"/>
              <w:rPr>
                <w:rFonts w:ascii="Times New Roman" w:hAnsi="Times New Roman"/>
                <w:sz w:val="18"/>
                <w:szCs w:val="18"/>
                <w:lang w:eastAsia="en-GB"/>
              </w:rPr>
            </w:pPr>
            <w:r>
              <w:rPr>
                <w:sz w:val="18"/>
                <w:szCs w:val="18"/>
              </w:rPr>
              <w:t>56,000</w:t>
            </w:r>
          </w:p>
        </w:tc>
        <w:tc>
          <w:tcPr>
            <w:tcW w:w="851" w:type="dxa"/>
            <w:tcBorders>
              <w:top w:val="nil"/>
              <w:left w:val="nil"/>
              <w:bottom w:val="single" w:sz="4" w:space="0" w:color="auto"/>
              <w:right w:val="single" w:sz="4" w:space="0" w:color="auto"/>
            </w:tcBorders>
            <w:shd w:val="clear" w:color="auto" w:fill="auto"/>
            <w:noWrap/>
            <w:vAlign w:val="center"/>
            <w:hideMark/>
          </w:tcPr>
          <w:p w14:paraId="3CB537ED"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2</w:t>
            </w:r>
            <w:r w:rsidRPr="000C4743">
              <w:rPr>
                <w:rFonts w:ascii="Times New Roman" w:hAnsi="Times New Roman"/>
                <w:color w:val="000000"/>
                <w:sz w:val="18"/>
                <w:szCs w:val="18"/>
                <w:lang w:eastAsia="en-GB"/>
              </w:rPr>
              <w:t> </w:t>
            </w:r>
          </w:p>
        </w:tc>
      </w:tr>
      <w:tr w:rsidR="00C06B91" w:rsidRPr="000C4743" w14:paraId="53D85811"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258AEB56"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5D73102B"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224017DE"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0FE055C0"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2C465FC6"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71300</w:t>
            </w:r>
          </w:p>
        </w:tc>
        <w:tc>
          <w:tcPr>
            <w:tcW w:w="2126" w:type="dxa"/>
            <w:tcBorders>
              <w:top w:val="nil"/>
              <w:left w:val="nil"/>
              <w:bottom w:val="single" w:sz="4" w:space="0" w:color="auto"/>
              <w:right w:val="single" w:sz="4" w:space="0" w:color="auto"/>
            </w:tcBorders>
            <w:shd w:val="clear" w:color="auto" w:fill="auto"/>
            <w:vAlign w:val="center"/>
            <w:hideMark/>
          </w:tcPr>
          <w:p w14:paraId="22D4EB2D" w14:textId="77777777" w:rsidR="00C06B91" w:rsidRPr="000C4743" w:rsidRDefault="00C06B91" w:rsidP="000C4743">
            <w:pPr>
              <w:spacing w:after="0"/>
              <w:jc w:val="left"/>
              <w:rPr>
                <w:rFonts w:ascii="Times New Roman" w:hAnsi="Times New Roman"/>
                <w:color w:val="000000"/>
                <w:sz w:val="18"/>
                <w:szCs w:val="18"/>
                <w:lang w:eastAsia="en-GB"/>
              </w:rPr>
            </w:pPr>
            <w:r w:rsidRPr="000C4743">
              <w:rPr>
                <w:rFonts w:ascii="Times New Roman" w:hAnsi="Times New Roman"/>
                <w:color w:val="000000"/>
                <w:sz w:val="18"/>
                <w:szCs w:val="18"/>
                <w:lang w:eastAsia="en-GB"/>
              </w:rPr>
              <w:t>Local Consultants</w:t>
            </w:r>
          </w:p>
        </w:tc>
        <w:tc>
          <w:tcPr>
            <w:tcW w:w="1134" w:type="dxa"/>
            <w:tcBorders>
              <w:top w:val="nil"/>
              <w:left w:val="nil"/>
              <w:bottom w:val="single" w:sz="4" w:space="0" w:color="auto"/>
              <w:right w:val="single" w:sz="4" w:space="0" w:color="auto"/>
            </w:tcBorders>
            <w:shd w:val="clear" w:color="auto" w:fill="auto"/>
            <w:noWrap/>
            <w:vAlign w:val="bottom"/>
            <w:hideMark/>
          </w:tcPr>
          <w:p w14:paraId="5D4ED252" w14:textId="374E5B38" w:rsidR="00C06B91" w:rsidRPr="000C4743" w:rsidRDefault="00C06B91" w:rsidP="007A2E9D">
            <w:pPr>
              <w:spacing w:after="0"/>
              <w:jc w:val="right"/>
              <w:rPr>
                <w:rFonts w:ascii="Times New Roman" w:hAnsi="Times New Roman"/>
                <w:sz w:val="18"/>
                <w:szCs w:val="18"/>
                <w:lang w:eastAsia="en-GB"/>
              </w:rPr>
            </w:pPr>
            <w:r>
              <w:rPr>
                <w:sz w:val="18"/>
                <w:szCs w:val="18"/>
              </w:rPr>
              <w:t>22,250</w:t>
            </w:r>
          </w:p>
        </w:tc>
        <w:tc>
          <w:tcPr>
            <w:tcW w:w="1134" w:type="dxa"/>
            <w:tcBorders>
              <w:top w:val="nil"/>
              <w:left w:val="nil"/>
              <w:bottom w:val="single" w:sz="4" w:space="0" w:color="auto"/>
              <w:right w:val="single" w:sz="4" w:space="0" w:color="auto"/>
            </w:tcBorders>
            <w:shd w:val="clear" w:color="auto" w:fill="auto"/>
            <w:noWrap/>
            <w:vAlign w:val="bottom"/>
            <w:hideMark/>
          </w:tcPr>
          <w:p w14:paraId="33E77DBD" w14:textId="412D12D8" w:rsidR="00C06B91" w:rsidRPr="000C4743" w:rsidRDefault="00C06B91" w:rsidP="007A2E9D">
            <w:pPr>
              <w:spacing w:after="0"/>
              <w:jc w:val="right"/>
              <w:rPr>
                <w:rFonts w:ascii="Times New Roman" w:hAnsi="Times New Roman"/>
                <w:sz w:val="18"/>
                <w:szCs w:val="18"/>
                <w:lang w:eastAsia="en-GB"/>
              </w:rPr>
            </w:pPr>
            <w:r>
              <w:rPr>
                <w:sz w:val="18"/>
                <w:szCs w:val="18"/>
              </w:rPr>
              <w:t>22,250</w:t>
            </w:r>
          </w:p>
        </w:tc>
        <w:tc>
          <w:tcPr>
            <w:tcW w:w="1134" w:type="dxa"/>
            <w:tcBorders>
              <w:top w:val="nil"/>
              <w:left w:val="nil"/>
              <w:bottom w:val="single" w:sz="4" w:space="0" w:color="auto"/>
              <w:right w:val="single" w:sz="4" w:space="0" w:color="auto"/>
            </w:tcBorders>
            <w:shd w:val="clear" w:color="auto" w:fill="auto"/>
            <w:noWrap/>
            <w:vAlign w:val="bottom"/>
            <w:hideMark/>
          </w:tcPr>
          <w:p w14:paraId="52CF8F5B" w14:textId="126BF7E6" w:rsidR="00C06B91" w:rsidRPr="000C4743" w:rsidRDefault="00C06B91" w:rsidP="007A2E9D">
            <w:pPr>
              <w:spacing w:after="0"/>
              <w:jc w:val="right"/>
              <w:rPr>
                <w:rFonts w:ascii="Times New Roman" w:hAnsi="Times New Roman"/>
                <w:sz w:val="18"/>
                <w:szCs w:val="18"/>
                <w:lang w:eastAsia="en-GB"/>
              </w:rPr>
            </w:pPr>
            <w:r>
              <w:rPr>
                <w:sz w:val="18"/>
                <w:szCs w:val="18"/>
              </w:rPr>
              <w:t>33,375</w:t>
            </w:r>
          </w:p>
        </w:tc>
        <w:tc>
          <w:tcPr>
            <w:tcW w:w="992" w:type="dxa"/>
            <w:tcBorders>
              <w:top w:val="nil"/>
              <w:left w:val="nil"/>
              <w:bottom w:val="single" w:sz="4" w:space="0" w:color="auto"/>
              <w:right w:val="single" w:sz="4" w:space="0" w:color="auto"/>
            </w:tcBorders>
            <w:shd w:val="clear" w:color="auto" w:fill="auto"/>
            <w:noWrap/>
            <w:vAlign w:val="bottom"/>
            <w:hideMark/>
          </w:tcPr>
          <w:p w14:paraId="7FBB6BC6" w14:textId="725BFF6F" w:rsidR="00C06B91" w:rsidRPr="000C4743" w:rsidRDefault="00C06B91" w:rsidP="007A2E9D">
            <w:pPr>
              <w:spacing w:after="0"/>
              <w:jc w:val="right"/>
              <w:rPr>
                <w:rFonts w:ascii="Times New Roman" w:hAnsi="Times New Roman"/>
                <w:sz w:val="18"/>
                <w:szCs w:val="18"/>
                <w:lang w:eastAsia="en-GB"/>
              </w:rPr>
            </w:pPr>
            <w:r>
              <w:rPr>
                <w:sz w:val="18"/>
                <w:szCs w:val="18"/>
              </w:rPr>
              <w:t>22,250</w:t>
            </w:r>
          </w:p>
        </w:tc>
        <w:tc>
          <w:tcPr>
            <w:tcW w:w="992" w:type="dxa"/>
            <w:tcBorders>
              <w:top w:val="nil"/>
              <w:left w:val="nil"/>
              <w:bottom w:val="single" w:sz="4" w:space="0" w:color="auto"/>
              <w:right w:val="single" w:sz="4" w:space="0" w:color="auto"/>
            </w:tcBorders>
            <w:shd w:val="clear" w:color="auto" w:fill="auto"/>
            <w:noWrap/>
            <w:vAlign w:val="bottom"/>
            <w:hideMark/>
          </w:tcPr>
          <w:p w14:paraId="54228357" w14:textId="51F357D7" w:rsidR="00C06B91" w:rsidRPr="000C4743" w:rsidRDefault="00C06B91" w:rsidP="007A2E9D">
            <w:pPr>
              <w:spacing w:after="0"/>
              <w:jc w:val="right"/>
              <w:rPr>
                <w:rFonts w:ascii="Times New Roman" w:hAnsi="Times New Roman"/>
                <w:sz w:val="18"/>
                <w:szCs w:val="18"/>
                <w:lang w:eastAsia="en-GB"/>
              </w:rPr>
            </w:pPr>
            <w:r>
              <w:rPr>
                <w:sz w:val="18"/>
                <w:szCs w:val="18"/>
              </w:rPr>
              <w:t>11,125</w:t>
            </w:r>
          </w:p>
        </w:tc>
        <w:tc>
          <w:tcPr>
            <w:tcW w:w="1134" w:type="dxa"/>
            <w:tcBorders>
              <w:top w:val="nil"/>
              <w:left w:val="nil"/>
              <w:bottom w:val="single" w:sz="4" w:space="0" w:color="auto"/>
              <w:right w:val="single" w:sz="4" w:space="0" w:color="auto"/>
            </w:tcBorders>
            <w:shd w:val="clear" w:color="auto" w:fill="auto"/>
            <w:noWrap/>
            <w:vAlign w:val="bottom"/>
            <w:hideMark/>
          </w:tcPr>
          <w:p w14:paraId="4B15768C" w14:textId="14B0E275" w:rsidR="00C06B91" w:rsidRPr="000C4743" w:rsidRDefault="00C06B91" w:rsidP="007A2E9D">
            <w:pPr>
              <w:spacing w:after="0"/>
              <w:jc w:val="right"/>
              <w:rPr>
                <w:rFonts w:ascii="Times New Roman" w:hAnsi="Times New Roman"/>
                <w:sz w:val="18"/>
                <w:szCs w:val="18"/>
                <w:lang w:eastAsia="en-GB"/>
              </w:rPr>
            </w:pPr>
            <w:r>
              <w:rPr>
                <w:sz w:val="18"/>
                <w:szCs w:val="18"/>
              </w:rPr>
              <w:t>111,250</w:t>
            </w:r>
          </w:p>
        </w:tc>
        <w:tc>
          <w:tcPr>
            <w:tcW w:w="851" w:type="dxa"/>
            <w:tcBorders>
              <w:top w:val="nil"/>
              <w:left w:val="nil"/>
              <w:bottom w:val="single" w:sz="4" w:space="0" w:color="auto"/>
              <w:right w:val="single" w:sz="4" w:space="0" w:color="auto"/>
            </w:tcBorders>
            <w:shd w:val="clear" w:color="auto" w:fill="auto"/>
            <w:noWrap/>
            <w:vAlign w:val="center"/>
            <w:hideMark/>
          </w:tcPr>
          <w:p w14:paraId="1171BFD0"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3</w:t>
            </w:r>
            <w:r w:rsidRPr="000C4743">
              <w:rPr>
                <w:rFonts w:ascii="Times New Roman" w:hAnsi="Times New Roman"/>
                <w:color w:val="000000"/>
                <w:sz w:val="18"/>
                <w:szCs w:val="18"/>
                <w:lang w:eastAsia="en-GB"/>
              </w:rPr>
              <w:t> </w:t>
            </w:r>
          </w:p>
        </w:tc>
      </w:tr>
      <w:tr w:rsidR="00C06B91" w:rsidRPr="000C4743" w14:paraId="1F03C318"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2DB76549"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6FB56494"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1CE07169"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696B957F"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5F53067F"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72100</w:t>
            </w:r>
          </w:p>
        </w:tc>
        <w:tc>
          <w:tcPr>
            <w:tcW w:w="2126" w:type="dxa"/>
            <w:tcBorders>
              <w:top w:val="nil"/>
              <w:left w:val="nil"/>
              <w:bottom w:val="single" w:sz="4" w:space="0" w:color="auto"/>
              <w:right w:val="single" w:sz="4" w:space="0" w:color="auto"/>
            </w:tcBorders>
            <w:shd w:val="clear" w:color="auto" w:fill="auto"/>
            <w:noWrap/>
            <w:vAlign w:val="center"/>
            <w:hideMark/>
          </w:tcPr>
          <w:p w14:paraId="0F2D1C6B"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 xml:space="preserve">Contractual Services </w:t>
            </w:r>
            <w:r>
              <w:rPr>
                <w:rFonts w:ascii="Times New Roman" w:hAnsi="Times New Roman"/>
                <w:sz w:val="18"/>
                <w:szCs w:val="18"/>
                <w:lang w:eastAsia="en-GB"/>
              </w:rPr>
              <w:t>–</w:t>
            </w:r>
            <w:r w:rsidRPr="000C4743">
              <w:rPr>
                <w:rFonts w:ascii="Times New Roman" w:hAnsi="Times New Roman"/>
                <w:sz w:val="18"/>
                <w:szCs w:val="18"/>
                <w:lang w:eastAsia="en-GB"/>
              </w:rPr>
              <w:t xml:space="preserve"> Companies</w:t>
            </w:r>
          </w:p>
        </w:tc>
        <w:tc>
          <w:tcPr>
            <w:tcW w:w="1134" w:type="dxa"/>
            <w:tcBorders>
              <w:top w:val="nil"/>
              <w:left w:val="nil"/>
              <w:bottom w:val="single" w:sz="4" w:space="0" w:color="auto"/>
              <w:right w:val="single" w:sz="4" w:space="0" w:color="auto"/>
            </w:tcBorders>
            <w:shd w:val="clear" w:color="auto" w:fill="auto"/>
            <w:noWrap/>
            <w:vAlign w:val="bottom"/>
            <w:hideMark/>
          </w:tcPr>
          <w:p w14:paraId="50A7E606" w14:textId="681833EB" w:rsidR="00C06B91" w:rsidRPr="000C4743" w:rsidRDefault="00C06B91" w:rsidP="007A2E9D">
            <w:pPr>
              <w:spacing w:after="0"/>
              <w:jc w:val="right"/>
              <w:rPr>
                <w:rFonts w:ascii="Times New Roman" w:hAnsi="Times New Roman"/>
                <w:sz w:val="18"/>
                <w:szCs w:val="18"/>
                <w:lang w:eastAsia="en-GB"/>
              </w:rPr>
            </w:pPr>
            <w:r>
              <w:rPr>
                <w:sz w:val="18"/>
                <w:szCs w:val="18"/>
              </w:rPr>
              <w:t>4,800</w:t>
            </w:r>
          </w:p>
        </w:tc>
        <w:tc>
          <w:tcPr>
            <w:tcW w:w="1134" w:type="dxa"/>
            <w:tcBorders>
              <w:top w:val="nil"/>
              <w:left w:val="nil"/>
              <w:bottom w:val="single" w:sz="4" w:space="0" w:color="auto"/>
              <w:right w:val="single" w:sz="4" w:space="0" w:color="auto"/>
            </w:tcBorders>
            <w:shd w:val="clear" w:color="auto" w:fill="auto"/>
            <w:noWrap/>
            <w:vAlign w:val="bottom"/>
            <w:hideMark/>
          </w:tcPr>
          <w:p w14:paraId="54305403" w14:textId="483BAD4D" w:rsidR="00C06B91" w:rsidRPr="000C4743" w:rsidRDefault="00C06B91" w:rsidP="007A2E9D">
            <w:pPr>
              <w:spacing w:after="0"/>
              <w:jc w:val="right"/>
              <w:rPr>
                <w:rFonts w:ascii="Times New Roman" w:hAnsi="Times New Roman"/>
                <w:sz w:val="18"/>
                <w:szCs w:val="18"/>
                <w:lang w:eastAsia="en-GB"/>
              </w:rPr>
            </w:pPr>
            <w:r>
              <w:rPr>
                <w:sz w:val="18"/>
                <w:szCs w:val="18"/>
              </w:rPr>
              <w:t>4,800</w:t>
            </w:r>
          </w:p>
        </w:tc>
        <w:tc>
          <w:tcPr>
            <w:tcW w:w="1134" w:type="dxa"/>
            <w:tcBorders>
              <w:top w:val="nil"/>
              <w:left w:val="nil"/>
              <w:bottom w:val="single" w:sz="4" w:space="0" w:color="auto"/>
              <w:right w:val="single" w:sz="4" w:space="0" w:color="auto"/>
            </w:tcBorders>
            <w:shd w:val="clear" w:color="auto" w:fill="auto"/>
            <w:noWrap/>
            <w:vAlign w:val="bottom"/>
            <w:hideMark/>
          </w:tcPr>
          <w:p w14:paraId="5D13DD24" w14:textId="692E562A" w:rsidR="00C06B91" w:rsidRPr="000C4743" w:rsidRDefault="00C06B91" w:rsidP="007A2E9D">
            <w:pPr>
              <w:spacing w:after="0"/>
              <w:jc w:val="right"/>
              <w:rPr>
                <w:rFonts w:ascii="Times New Roman" w:hAnsi="Times New Roman"/>
                <w:sz w:val="18"/>
                <w:szCs w:val="18"/>
                <w:lang w:eastAsia="en-GB"/>
              </w:rPr>
            </w:pPr>
            <w:r>
              <w:rPr>
                <w:sz w:val="18"/>
                <w:szCs w:val="18"/>
              </w:rPr>
              <w:t>7,200</w:t>
            </w:r>
          </w:p>
        </w:tc>
        <w:tc>
          <w:tcPr>
            <w:tcW w:w="992" w:type="dxa"/>
            <w:tcBorders>
              <w:top w:val="nil"/>
              <w:left w:val="nil"/>
              <w:bottom w:val="single" w:sz="4" w:space="0" w:color="auto"/>
              <w:right w:val="single" w:sz="4" w:space="0" w:color="auto"/>
            </w:tcBorders>
            <w:shd w:val="clear" w:color="auto" w:fill="auto"/>
            <w:noWrap/>
            <w:vAlign w:val="bottom"/>
            <w:hideMark/>
          </w:tcPr>
          <w:p w14:paraId="5E17970D" w14:textId="41959763" w:rsidR="00C06B91" w:rsidRPr="000C4743" w:rsidRDefault="00C06B91" w:rsidP="007A2E9D">
            <w:pPr>
              <w:spacing w:after="0"/>
              <w:jc w:val="right"/>
              <w:rPr>
                <w:rFonts w:ascii="Times New Roman" w:hAnsi="Times New Roman"/>
                <w:sz w:val="18"/>
                <w:szCs w:val="18"/>
                <w:lang w:eastAsia="en-GB"/>
              </w:rPr>
            </w:pPr>
            <w:r>
              <w:rPr>
                <w:sz w:val="18"/>
                <w:szCs w:val="18"/>
              </w:rPr>
              <w:t>4,800</w:t>
            </w:r>
          </w:p>
        </w:tc>
        <w:tc>
          <w:tcPr>
            <w:tcW w:w="992" w:type="dxa"/>
            <w:tcBorders>
              <w:top w:val="nil"/>
              <w:left w:val="nil"/>
              <w:bottom w:val="single" w:sz="4" w:space="0" w:color="auto"/>
              <w:right w:val="single" w:sz="4" w:space="0" w:color="auto"/>
            </w:tcBorders>
            <w:shd w:val="clear" w:color="auto" w:fill="auto"/>
            <w:noWrap/>
            <w:vAlign w:val="bottom"/>
            <w:hideMark/>
          </w:tcPr>
          <w:p w14:paraId="4A0AB9EB" w14:textId="270EDEED" w:rsidR="00C06B91" w:rsidRPr="000C4743" w:rsidRDefault="00C06B91" w:rsidP="007A2E9D">
            <w:pPr>
              <w:spacing w:after="0"/>
              <w:jc w:val="right"/>
              <w:rPr>
                <w:rFonts w:ascii="Times New Roman" w:hAnsi="Times New Roman"/>
                <w:sz w:val="18"/>
                <w:szCs w:val="18"/>
                <w:lang w:eastAsia="en-GB"/>
              </w:rPr>
            </w:pPr>
            <w:r>
              <w:rPr>
                <w:sz w:val="18"/>
                <w:szCs w:val="18"/>
              </w:rPr>
              <w:t>2,400</w:t>
            </w:r>
          </w:p>
        </w:tc>
        <w:tc>
          <w:tcPr>
            <w:tcW w:w="1134" w:type="dxa"/>
            <w:tcBorders>
              <w:top w:val="nil"/>
              <w:left w:val="nil"/>
              <w:bottom w:val="single" w:sz="4" w:space="0" w:color="auto"/>
              <w:right w:val="single" w:sz="4" w:space="0" w:color="auto"/>
            </w:tcBorders>
            <w:shd w:val="clear" w:color="auto" w:fill="auto"/>
            <w:noWrap/>
            <w:vAlign w:val="bottom"/>
            <w:hideMark/>
          </w:tcPr>
          <w:p w14:paraId="188B514D" w14:textId="6C1DCE28" w:rsidR="00C06B91" w:rsidRPr="000C4743" w:rsidRDefault="00C06B91" w:rsidP="007A2E9D">
            <w:pPr>
              <w:spacing w:after="0"/>
              <w:jc w:val="right"/>
              <w:rPr>
                <w:rFonts w:ascii="Times New Roman" w:hAnsi="Times New Roman"/>
                <w:sz w:val="18"/>
                <w:szCs w:val="18"/>
                <w:lang w:eastAsia="en-GB"/>
              </w:rPr>
            </w:pPr>
            <w:r>
              <w:rPr>
                <w:sz w:val="18"/>
                <w:szCs w:val="18"/>
              </w:rPr>
              <w:t>24,000</w:t>
            </w:r>
          </w:p>
        </w:tc>
        <w:tc>
          <w:tcPr>
            <w:tcW w:w="851" w:type="dxa"/>
            <w:tcBorders>
              <w:top w:val="nil"/>
              <w:left w:val="nil"/>
              <w:bottom w:val="single" w:sz="4" w:space="0" w:color="auto"/>
              <w:right w:val="single" w:sz="4" w:space="0" w:color="auto"/>
            </w:tcBorders>
            <w:shd w:val="clear" w:color="auto" w:fill="auto"/>
            <w:noWrap/>
            <w:vAlign w:val="center"/>
            <w:hideMark/>
          </w:tcPr>
          <w:p w14:paraId="33BAC426"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4</w:t>
            </w:r>
          </w:p>
        </w:tc>
      </w:tr>
      <w:tr w:rsidR="00C06B91" w:rsidRPr="000C4743" w14:paraId="5315A21F"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6E6028A9"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7A04DD64"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27AE4B3A"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6488BA53"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6C60DC37"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71600</w:t>
            </w:r>
          </w:p>
        </w:tc>
        <w:tc>
          <w:tcPr>
            <w:tcW w:w="2126" w:type="dxa"/>
            <w:tcBorders>
              <w:top w:val="nil"/>
              <w:left w:val="nil"/>
              <w:bottom w:val="single" w:sz="4" w:space="0" w:color="auto"/>
              <w:right w:val="single" w:sz="4" w:space="0" w:color="auto"/>
            </w:tcBorders>
            <w:shd w:val="clear" w:color="auto" w:fill="auto"/>
            <w:vAlign w:val="center"/>
            <w:hideMark/>
          </w:tcPr>
          <w:p w14:paraId="5AED108E" w14:textId="77777777" w:rsidR="00C06B91" w:rsidRPr="000C4743" w:rsidRDefault="00C06B91" w:rsidP="000C4743">
            <w:pPr>
              <w:spacing w:after="0"/>
              <w:jc w:val="left"/>
              <w:rPr>
                <w:rFonts w:ascii="Times New Roman" w:hAnsi="Times New Roman"/>
                <w:color w:val="000000"/>
                <w:sz w:val="18"/>
                <w:szCs w:val="18"/>
                <w:lang w:eastAsia="en-GB"/>
              </w:rPr>
            </w:pPr>
            <w:r w:rsidRPr="000C4743">
              <w:rPr>
                <w:rFonts w:ascii="Times New Roman" w:hAnsi="Times New Roman"/>
                <w:color w:val="000000"/>
                <w:sz w:val="18"/>
                <w:szCs w:val="18"/>
                <w:lang w:eastAsia="en-GB"/>
              </w:rPr>
              <w:t>Travel</w:t>
            </w:r>
          </w:p>
        </w:tc>
        <w:tc>
          <w:tcPr>
            <w:tcW w:w="1134" w:type="dxa"/>
            <w:tcBorders>
              <w:top w:val="nil"/>
              <w:left w:val="nil"/>
              <w:bottom w:val="single" w:sz="4" w:space="0" w:color="auto"/>
              <w:right w:val="single" w:sz="4" w:space="0" w:color="auto"/>
            </w:tcBorders>
            <w:shd w:val="clear" w:color="auto" w:fill="auto"/>
            <w:noWrap/>
            <w:vAlign w:val="bottom"/>
            <w:hideMark/>
          </w:tcPr>
          <w:p w14:paraId="53A10B0D" w14:textId="560FB229" w:rsidR="00C06B91" w:rsidRPr="000C4743" w:rsidRDefault="00C06B91" w:rsidP="007A2E9D">
            <w:pPr>
              <w:spacing w:after="0"/>
              <w:jc w:val="right"/>
              <w:rPr>
                <w:rFonts w:ascii="Times New Roman" w:hAnsi="Times New Roman"/>
                <w:sz w:val="18"/>
                <w:szCs w:val="18"/>
                <w:lang w:eastAsia="en-GB"/>
              </w:rPr>
            </w:pPr>
            <w:r>
              <w:rPr>
                <w:sz w:val="18"/>
                <w:szCs w:val="18"/>
              </w:rPr>
              <w:t>12,408</w:t>
            </w:r>
          </w:p>
        </w:tc>
        <w:tc>
          <w:tcPr>
            <w:tcW w:w="1134" w:type="dxa"/>
            <w:tcBorders>
              <w:top w:val="nil"/>
              <w:left w:val="nil"/>
              <w:bottom w:val="single" w:sz="4" w:space="0" w:color="auto"/>
              <w:right w:val="single" w:sz="4" w:space="0" w:color="auto"/>
            </w:tcBorders>
            <w:shd w:val="clear" w:color="auto" w:fill="auto"/>
            <w:noWrap/>
            <w:vAlign w:val="bottom"/>
            <w:hideMark/>
          </w:tcPr>
          <w:p w14:paraId="6431C80A" w14:textId="3B2692F5" w:rsidR="00C06B91" w:rsidRPr="000C4743" w:rsidRDefault="00C06B91" w:rsidP="007A2E9D">
            <w:pPr>
              <w:spacing w:after="0"/>
              <w:jc w:val="right"/>
              <w:rPr>
                <w:rFonts w:ascii="Times New Roman" w:hAnsi="Times New Roman"/>
                <w:sz w:val="18"/>
                <w:szCs w:val="18"/>
                <w:lang w:eastAsia="en-GB"/>
              </w:rPr>
            </w:pPr>
            <w:r>
              <w:rPr>
                <w:sz w:val="18"/>
                <w:szCs w:val="18"/>
              </w:rPr>
              <w:t>12,408</w:t>
            </w:r>
          </w:p>
        </w:tc>
        <w:tc>
          <w:tcPr>
            <w:tcW w:w="1134" w:type="dxa"/>
            <w:tcBorders>
              <w:top w:val="nil"/>
              <w:left w:val="nil"/>
              <w:bottom w:val="single" w:sz="4" w:space="0" w:color="auto"/>
              <w:right w:val="single" w:sz="4" w:space="0" w:color="auto"/>
            </w:tcBorders>
            <w:shd w:val="clear" w:color="auto" w:fill="auto"/>
            <w:noWrap/>
            <w:vAlign w:val="bottom"/>
            <w:hideMark/>
          </w:tcPr>
          <w:p w14:paraId="64D40B10" w14:textId="31C37514" w:rsidR="00C06B91" w:rsidRPr="000C4743" w:rsidRDefault="00C06B91" w:rsidP="007A2E9D">
            <w:pPr>
              <w:spacing w:after="0"/>
              <w:jc w:val="right"/>
              <w:rPr>
                <w:rFonts w:ascii="Times New Roman" w:hAnsi="Times New Roman"/>
                <w:sz w:val="18"/>
                <w:szCs w:val="18"/>
                <w:lang w:eastAsia="en-GB"/>
              </w:rPr>
            </w:pPr>
            <w:r>
              <w:rPr>
                <w:sz w:val="18"/>
                <w:szCs w:val="18"/>
              </w:rPr>
              <w:t>18,612</w:t>
            </w:r>
          </w:p>
        </w:tc>
        <w:tc>
          <w:tcPr>
            <w:tcW w:w="992" w:type="dxa"/>
            <w:tcBorders>
              <w:top w:val="nil"/>
              <w:left w:val="nil"/>
              <w:bottom w:val="single" w:sz="4" w:space="0" w:color="auto"/>
              <w:right w:val="single" w:sz="4" w:space="0" w:color="auto"/>
            </w:tcBorders>
            <w:shd w:val="clear" w:color="auto" w:fill="auto"/>
            <w:noWrap/>
            <w:vAlign w:val="bottom"/>
            <w:hideMark/>
          </w:tcPr>
          <w:p w14:paraId="35B94013" w14:textId="75ACA64C" w:rsidR="00C06B91" w:rsidRPr="000C4743" w:rsidRDefault="00C06B91" w:rsidP="007A2E9D">
            <w:pPr>
              <w:spacing w:after="0"/>
              <w:jc w:val="right"/>
              <w:rPr>
                <w:rFonts w:ascii="Times New Roman" w:hAnsi="Times New Roman"/>
                <w:sz w:val="18"/>
                <w:szCs w:val="18"/>
                <w:lang w:eastAsia="en-GB"/>
              </w:rPr>
            </w:pPr>
            <w:r>
              <w:rPr>
                <w:sz w:val="18"/>
                <w:szCs w:val="18"/>
              </w:rPr>
              <w:t>12,408</w:t>
            </w:r>
          </w:p>
        </w:tc>
        <w:tc>
          <w:tcPr>
            <w:tcW w:w="992" w:type="dxa"/>
            <w:tcBorders>
              <w:top w:val="nil"/>
              <w:left w:val="nil"/>
              <w:bottom w:val="single" w:sz="4" w:space="0" w:color="auto"/>
              <w:right w:val="single" w:sz="4" w:space="0" w:color="auto"/>
            </w:tcBorders>
            <w:shd w:val="clear" w:color="auto" w:fill="auto"/>
            <w:noWrap/>
            <w:vAlign w:val="bottom"/>
            <w:hideMark/>
          </w:tcPr>
          <w:p w14:paraId="1EDBFBE3" w14:textId="432A5486" w:rsidR="00C06B91" w:rsidRPr="000C4743" w:rsidRDefault="00C06B91" w:rsidP="007A2E9D">
            <w:pPr>
              <w:spacing w:after="0"/>
              <w:jc w:val="right"/>
              <w:rPr>
                <w:rFonts w:ascii="Times New Roman" w:hAnsi="Times New Roman"/>
                <w:sz w:val="18"/>
                <w:szCs w:val="18"/>
                <w:lang w:eastAsia="en-GB"/>
              </w:rPr>
            </w:pPr>
            <w:r>
              <w:rPr>
                <w:sz w:val="18"/>
                <w:szCs w:val="18"/>
              </w:rPr>
              <w:t>6,204</w:t>
            </w:r>
          </w:p>
        </w:tc>
        <w:tc>
          <w:tcPr>
            <w:tcW w:w="1134" w:type="dxa"/>
            <w:tcBorders>
              <w:top w:val="nil"/>
              <w:left w:val="nil"/>
              <w:bottom w:val="single" w:sz="4" w:space="0" w:color="auto"/>
              <w:right w:val="single" w:sz="4" w:space="0" w:color="auto"/>
            </w:tcBorders>
            <w:shd w:val="clear" w:color="auto" w:fill="auto"/>
            <w:noWrap/>
            <w:vAlign w:val="bottom"/>
            <w:hideMark/>
          </w:tcPr>
          <w:p w14:paraId="785AE4EA" w14:textId="0257A23C" w:rsidR="00C06B91" w:rsidRPr="000C4743" w:rsidRDefault="00C06B91" w:rsidP="007A2E9D">
            <w:pPr>
              <w:spacing w:after="0"/>
              <w:jc w:val="right"/>
              <w:rPr>
                <w:rFonts w:ascii="Times New Roman" w:hAnsi="Times New Roman"/>
                <w:sz w:val="18"/>
                <w:szCs w:val="18"/>
                <w:lang w:eastAsia="en-GB"/>
              </w:rPr>
            </w:pPr>
            <w:r>
              <w:rPr>
                <w:sz w:val="18"/>
                <w:szCs w:val="18"/>
              </w:rPr>
              <w:t>62,040</w:t>
            </w:r>
          </w:p>
        </w:tc>
        <w:tc>
          <w:tcPr>
            <w:tcW w:w="851" w:type="dxa"/>
            <w:tcBorders>
              <w:top w:val="nil"/>
              <w:left w:val="nil"/>
              <w:bottom w:val="single" w:sz="4" w:space="0" w:color="auto"/>
              <w:right w:val="single" w:sz="4" w:space="0" w:color="auto"/>
            </w:tcBorders>
            <w:shd w:val="clear" w:color="auto" w:fill="auto"/>
            <w:noWrap/>
            <w:vAlign w:val="center"/>
            <w:hideMark/>
          </w:tcPr>
          <w:p w14:paraId="520CE0B7"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r>
              <w:rPr>
                <w:rFonts w:ascii="Times New Roman" w:hAnsi="Times New Roman"/>
                <w:color w:val="000000"/>
                <w:sz w:val="18"/>
                <w:szCs w:val="18"/>
                <w:lang w:eastAsia="en-GB"/>
              </w:rPr>
              <w:t>5</w:t>
            </w:r>
          </w:p>
        </w:tc>
      </w:tr>
      <w:tr w:rsidR="00C06B91" w:rsidRPr="000C4743" w14:paraId="62B87AFD"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7FF970B3"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1F658362"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146DFFED"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5AFFD8D9"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242EEE0D"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72400</w:t>
            </w:r>
          </w:p>
        </w:tc>
        <w:tc>
          <w:tcPr>
            <w:tcW w:w="2126" w:type="dxa"/>
            <w:tcBorders>
              <w:top w:val="nil"/>
              <w:left w:val="nil"/>
              <w:bottom w:val="single" w:sz="4" w:space="0" w:color="auto"/>
              <w:right w:val="single" w:sz="4" w:space="0" w:color="auto"/>
            </w:tcBorders>
            <w:shd w:val="clear" w:color="auto" w:fill="auto"/>
            <w:vAlign w:val="center"/>
            <w:hideMark/>
          </w:tcPr>
          <w:p w14:paraId="376F2DCF" w14:textId="77777777" w:rsidR="00C06B91" w:rsidRPr="000C4743" w:rsidRDefault="00C06B91" w:rsidP="000C4743">
            <w:pPr>
              <w:spacing w:after="0"/>
              <w:jc w:val="left"/>
              <w:rPr>
                <w:rFonts w:ascii="Times New Roman" w:hAnsi="Times New Roman"/>
                <w:color w:val="000000"/>
                <w:sz w:val="18"/>
                <w:szCs w:val="18"/>
                <w:lang w:eastAsia="en-GB"/>
              </w:rPr>
            </w:pPr>
            <w:r>
              <w:rPr>
                <w:rFonts w:ascii="Times New Roman" w:hAnsi="Times New Roman"/>
                <w:color w:val="000000"/>
                <w:sz w:val="18"/>
                <w:szCs w:val="18"/>
                <w:lang w:eastAsia="en-GB"/>
              </w:rPr>
              <w:t>Communications &amp; Publications</w:t>
            </w:r>
          </w:p>
        </w:tc>
        <w:tc>
          <w:tcPr>
            <w:tcW w:w="1134" w:type="dxa"/>
            <w:tcBorders>
              <w:top w:val="nil"/>
              <w:left w:val="nil"/>
              <w:bottom w:val="single" w:sz="4" w:space="0" w:color="auto"/>
              <w:right w:val="single" w:sz="4" w:space="0" w:color="auto"/>
            </w:tcBorders>
            <w:shd w:val="clear" w:color="auto" w:fill="auto"/>
            <w:noWrap/>
            <w:vAlign w:val="bottom"/>
            <w:hideMark/>
          </w:tcPr>
          <w:p w14:paraId="3F3D23CF" w14:textId="0F062C5F" w:rsidR="00C06B91" w:rsidRPr="000C4743" w:rsidRDefault="00C06B91" w:rsidP="007A2E9D">
            <w:pPr>
              <w:spacing w:after="0"/>
              <w:jc w:val="right"/>
              <w:rPr>
                <w:rFonts w:ascii="Times New Roman" w:hAnsi="Times New Roman"/>
                <w:sz w:val="18"/>
                <w:szCs w:val="18"/>
                <w:lang w:eastAsia="en-GB"/>
              </w:rPr>
            </w:pPr>
            <w:r>
              <w:rPr>
                <w:sz w:val="18"/>
                <w:szCs w:val="18"/>
              </w:rPr>
              <w:t>300</w:t>
            </w:r>
          </w:p>
        </w:tc>
        <w:tc>
          <w:tcPr>
            <w:tcW w:w="1134" w:type="dxa"/>
            <w:tcBorders>
              <w:top w:val="nil"/>
              <w:left w:val="nil"/>
              <w:bottom w:val="single" w:sz="4" w:space="0" w:color="auto"/>
              <w:right w:val="single" w:sz="4" w:space="0" w:color="auto"/>
            </w:tcBorders>
            <w:shd w:val="clear" w:color="auto" w:fill="auto"/>
            <w:noWrap/>
            <w:vAlign w:val="bottom"/>
            <w:hideMark/>
          </w:tcPr>
          <w:p w14:paraId="27938C39" w14:textId="2031ECF3" w:rsidR="00C06B91" w:rsidRPr="000C4743" w:rsidRDefault="00C06B91" w:rsidP="007A2E9D">
            <w:pPr>
              <w:spacing w:after="0"/>
              <w:jc w:val="right"/>
              <w:rPr>
                <w:rFonts w:ascii="Times New Roman" w:hAnsi="Times New Roman"/>
                <w:sz w:val="18"/>
                <w:szCs w:val="18"/>
                <w:lang w:eastAsia="en-GB"/>
              </w:rPr>
            </w:pPr>
            <w:r>
              <w:rPr>
                <w:sz w:val="18"/>
                <w:szCs w:val="18"/>
              </w:rPr>
              <w:t>300</w:t>
            </w:r>
          </w:p>
        </w:tc>
        <w:tc>
          <w:tcPr>
            <w:tcW w:w="1134" w:type="dxa"/>
            <w:tcBorders>
              <w:top w:val="nil"/>
              <w:left w:val="nil"/>
              <w:bottom w:val="single" w:sz="4" w:space="0" w:color="auto"/>
              <w:right w:val="single" w:sz="4" w:space="0" w:color="auto"/>
            </w:tcBorders>
            <w:shd w:val="clear" w:color="auto" w:fill="auto"/>
            <w:noWrap/>
            <w:vAlign w:val="bottom"/>
            <w:hideMark/>
          </w:tcPr>
          <w:p w14:paraId="6277403F" w14:textId="7E2202BF" w:rsidR="00C06B91" w:rsidRPr="000C4743" w:rsidRDefault="00C06B91" w:rsidP="007A2E9D">
            <w:pPr>
              <w:spacing w:after="0"/>
              <w:jc w:val="right"/>
              <w:rPr>
                <w:rFonts w:ascii="Times New Roman" w:hAnsi="Times New Roman"/>
                <w:sz w:val="18"/>
                <w:szCs w:val="18"/>
                <w:lang w:eastAsia="en-GB"/>
              </w:rPr>
            </w:pPr>
            <w:r>
              <w:rPr>
                <w:sz w:val="18"/>
                <w:szCs w:val="18"/>
              </w:rPr>
              <w:t>450</w:t>
            </w:r>
          </w:p>
        </w:tc>
        <w:tc>
          <w:tcPr>
            <w:tcW w:w="992" w:type="dxa"/>
            <w:tcBorders>
              <w:top w:val="nil"/>
              <w:left w:val="nil"/>
              <w:bottom w:val="single" w:sz="4" w:space="0" w:color="auto"/>
              <w:right w:val="single" w:sz="4" w:space="0" w:color="auto"/>
            </w:tcBorders>
            <w:shd w:val="clear" w:color="auto" w:fill="auto"/>
            <w:noWrap/>
            <w:vAlign w:val="bottom"/>
            <w:hideMark/>
          </w:tcPr>
          <w:p w14:paraId="13E88D0D" w14:textId="47211D96" w:rsidR="00C06B91" w:rsidRPr="000C4743" w:rsidRDefault="00C06B91" w:rsidP="007A2E9D">
            <w:pPr>
              <w:spacing w:after="0"/>
              <w:jc w:val="right"/>
              <w:rPr>
                <w:rFonts w:ascii="Times New Roman" w:hAnsi="Times New Roman"/>
                <w:sz w:val="18"/>
                <w:szCs w:val="18"/>
                <w:lang w:eastAsia="en-GB"/>
              </w:rPr>
            </w:pPr>
            <w:r>
              <w:rPr>
                <w:sz w:val="18"/>
                <w:szCs w:val="18"/>
              </w:rPr>
              <w:t>300</w:t>
            </w:r>
          </w:p>
        </w:tc>
        <w:tc>
          <w:tcPr>
            <w:tcW w:w="992" w:type="dxa"/>
            <w:tcBorders>
              <w:top w:val="nil"/>
              <w:left w:val="nil"/>
              <w:bottom w:val="single" w:sz="4" w:space="0" w:color="auto"/>
              <w:right w:val="single" w:sz="4" w:space="0" w:color="auto"/>
            </w:tcBorders>
            <w:shd w:val="clear" w:color="auto" w:fill="auto"/>
            <w:noWrap/>
            <w:vAlign w:val="bottom"/>
            <w:hideMark/>
          </w:tcPr>
          <w:p w14:paraId="5B77EF3B" w14:textId="264DFAD8" w:rsidR="00C06B91" w:rsidRPr="000C4743" w:rsidRDefault="00C06B91" w:rsidP="007A2E9D">
            <w:pPr>
              <w:spacing w:after="0"/>
              <w:jc w:val="right"/>
              <w:rPr>
                <w:rFonts w:ascii="Times New Roman" w:hAnsi="Times New Roman"/>
                <w:sz w:val="18"/>
                <w:szCs w:val="18"/>
                <w:lang w:eastAsia="en-GB"/>
              </w:rPr>
            </w:pPr>
            <w:r>
              <w:rPr>
                <w:sz w:val="18"/>
                <w:szCs w:val="18"/>
              </w:rPr>
              <w:t>150</w:t>
            </w:r>
          </w:p>
        </w:tc>
        <w:tc>
          <w:tcPr>
            <w:tcW w:w="1134" w:type="dxa"/>
            <w:tcBorders>
              <w:top w:val="nil"/>
              <w:left w:val="nil"/>
              <w:bottom w:val="single" w:sz="4" w:space="0" w:color="auto"/>
              <w:right w:val="single" w:sz="4" w:space="0" w:color="auto"/>
            </w:tcBorders>
            <w:shd w:val="clear" w:color="auto" w:fill="auto"/>
            <w:noWrap/>
            <w:vAlign w:val="bottom"/>
            <w:hideMark/>
          </w:tcPr>
          <w:p w14:paraId="23219D87" w14:textId="56B08346" w:rsidR="00C06B91" w:rsidRPr="000C4743" w:rsidRDefault="00C06B91" w:rsidP="007A2E9D">
            <w:pPr>
              <w:spacing w:after="0"/>
              <w:jc w:val="right"/>
              <w:rPr>
                <w:rFonts w:ascii="Times New Roman" w:hAnsi="Times New Roman"/>
                <w:sz w:val="18"/>
                <w:szCs w:val="18"/>
                <w:lang w:eastAsia="en-GB"/>
              </w:rPr>
            </w:pPr>
            <w:r>
              <w:rPr>
                <w:sz w:val="18"/>
                <w:szCs w:val="18"/>
              </w:rPr>
              <w:t>1,500</w:t>
            </w:r>
          </w:p>
        </w:tc>
        <w:tc>
          <w:tcPr>
            <w:tcW w:w="851" w:type="dxa"/>
            <w:tcBorders>
              <w:top w:val="nil"/>
              <w:left w:val="nil"/>
              <w:bottom w:val="single" w:sz="4" w:space="0" w:color="auto"/>
              <w:right w:val="single" w:sz="4" w:space="0" w:color="auto"/>
            </w:tcBorders>
            <w:shd w:val="clear" w:color="auto" w:fill="auto"/>
            <w:noWrap/>
            <w:vAlign w:val="center"/>
            <w:hideMark/>
          </w:tcPr>
          <w:p w14:paraId="5BA4F784"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p>
        </w:tc>
      </w:tr>
      <w:tr w:rsidR="00C06B91" w:rsidRPr="000C4743" w14:paraId="716CFB3D" w14:textId="77777777" w:rsidTr="006F7397">
        <w:trPr>
          <w:trHeight w:val="255"/>
        </w:trPr>
        <w:tc>
          <w:tcPr>
            <w:tcW w:w="1716" w:type="dxa"/>
            <w:vMerge/>
            <w:tcBorders>
              <w:top w:val="nil"/>
              <w:left w:val="single" w:sz="4" w:space="0" w:color="auto"/>
              <w:bottom w:val="single" w:sz="4" w:space="0" w:color="000000"/>
              <w:right w:val="single" w:sz="4" w:space="0" w:color="auto"/>
            </w:tcBorders>
            <w:vAlign w:val="center"/>
            <w:hideMark/>
          </w:tcPr>
          <w:p w14:paraId="5A53154C"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4064F933"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7CB8E547"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5C40C722"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3C244462"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72600</w:t>
            </w:r>
          </w:p>
        </w:tc>
        <w:tc>
          <w:tcPr>
            <w:tcW w:w="2126" w:type="dxa"/>
            <w:tcBorders>
              <w:top w:val="nil"/>
              <w:left w:val="nil"/>
              <w:bottom w:val="single" w:sz="4" w:space="0" w:color="auto"/>
              <w:right w:val="single" w:sz="4" w:space="0" w:color="auto"/>
            </w:tcBorders>
            <w:shd w:val="clear" w:color="auto" w:fill="auto"/>
            <w:vAlign w:val="center"/>
            <w:hideMark/>
          </w:tcPr>
          <w:p w14:paraId="5660460E" w14:textId="77777777" w:rsidR="00C06B91" w:rsidRPr="000C4743" w:rsidRDefault="00C06B91" w:rsidP="000C4743">
            <w:pPr>
              <w:spacing w:after="0"/>
              <w:jc w:val="left"/>
              <w:rPr>
                <w:rFonts w:ascii="Times New Roman" w:hAnsi="Times New Roman"/>
                <w:color w:val="000000"/>
                <w:sz w:val="18"/>
                <w:szCs w:val="18"/>
                <w:lang w:eastAsia="en-GB"/>
              </w:rPr>
            </w:pPr>
            <w:r w:rsidRPr="000C4743">
              <w:rPr>
                <w:rFonts w:ascii="Times New Roman" w:hAnsi="Times New Roman"/>
                <w:color w:val="000000"/>
                <w:sz w:val="18"/>
                <w:szCs w:val="18"/>
                <w:lang w:eastAsia="en-GB"/>
              </w:rPr>
              <w:t>Grants</w:t>
            </w:r>
          </w:p>
        </w:tc>
        <w:tc>
          <w:tcPr>
            <w:tcW w:w="1134" w:type="dxa"/>
            <w:tcBorders>
              <w:top w:val="nil"/>
              <w:left w:val="nil"/>
              <w:bottom w:val="single" w:sz="4" w:space="0" w:color="auto"/>
              <w:right w:val="single" w:sz="4" w:space="0" w:color="auto"/>
            </w:tcBorders>
            <w:shd w:val="clear" w:color="auto" w:fill="auto"/>
            <w:noWrap/>
            <w:vAlign w:val="bottom"/>
            <w:hideMark/>
          </w:tcPr>
          <w:p w14:paraId="466C7ADA" w14:textId="093F4DEE"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4AB1C906" w14:textId="1B3F854F" w:rsidR="00C06B91" w:rsidRPr="000C4743" w:rsidRDefault="00C06B91" w:rsidP="007A2E9D">
            <w:pPr>
              <w:spacing w:after="0"/>
              <w:jc w:val="right"/>
              <w:rPr>
                <w:rFonts w:ascii="Times New Roman" w:hAnsi="Times New Roman"/>
                <w:sz w:val="18"/>
                <w:szCs w:val="18"/>
                <w:lang w:eastAsia="en-GB"/>
              </w:rPr>
            </w:pPr>
            <w:r>
              <w:rPr>
                <w:sz w:val="18"/>
                <w:szCs w:val="18"/>
              </w:rPr>
              <w:t>1,500,000</w:t>
            </w:r>
          </w:p>
        </w:tc>
        <w:tc>
          <w:tcPr>
            <w:tcW w:w="1134" w:type="dxa"/>
            <w:tcBorders>
              <w:top w:val="nil"/>
              <w:left w:val="nil"/>
              <w:bottom w:val="single" w:sz="4" w:space="0" w:color="auto"/>
              <w:right w:val="single" w:sz="4" w:space="0" w:color="auto"/>
            </w:tcBorders>
            <w:shd w:val="clear" w:color="auto" w:fill="auto"/>
            <w:noWrap/>
            <w:vAlign w:val="bottom"/>
            <w:hideMark/>
          </w:tcPr>
          <w:p w14:paraId="2179BE21" w14:textId="208F30B9" w:rsidR="00C06B91" w:rsidRPr="000C4743" w:rsidRDefault="00C06B91" w:rsidP="007A2E9D">
            <w:pPr>
              <w:spacing w:after="0"/>
              <w:jc w:val="right"/>
              <w:rPr>
                <w:rFonts w:ascii="Times New Roman" w:hAnsi="Times New Roman"/>
                <w:sz w:val="18"/>
                <w:szCs w:val="18"/>
                <w:lang w:eastAsia="en-GB"/>
              </w:rPr>
            </w:pPr>
            <w:r>
              <w:rPr>
                <w:sz w:val="18"/>
                <w:szCs w:val="18"/>
              </w:rPr>
              <w:t>1,500,000</w:t>
            </w:r>
          </w:p>
        </w:tc>
        <w:tc>
          <w:tcPr>
            <w:tcW w:w="992" w:type="dxa"/>
            <w:tcBorders>
              <w:top w:val="nil"/>
              <w:left w:val="nil"/>
              <w:bottom w:val="single" w:sz="4" w:space="0" w:color="auto"/>
              <w:right w:val="single" w:sz="4" w:space="0" w:color="auto"/>
            </w:tcBorders>
            <w:shd w:val="clear" w:color="auto" w:fill="auto"/>
            <w:noWrap/>
            <w:vAlign w:val="bottom"/>
            <w:hideMark/>
          </w:tcPr>
          <w:p w14:paraId="567FAE63" w14:textId="12C8D413"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992" w:type="dxa"/>
            <w:tcBorders>
              <w:top w:val="nil"/>
              <w:left w:val="nil"/>
              <w:bottom w:val="single" w:sz="4" w:space="0" w:color="auto"/>
              <w:right w:val="single" w:sz="4" w:space="0" w:color="auto"/>
            </w:tcBorders>
            <w:shd w:val="clear" w:color="auto" w:fill="auto"/>
            <w:noWrap/>
            <w:vAlign w:val="bottom"/>
            <w:hideMark/>
          </w:tcPr>
          <w:p w14:paraId="7B51E0DB" w14:textId="6D687A2B"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0F2C2A0C" w14:textId="612DDDA4" w:rsidR="00C06B91" w:rsidRPr="000C4743" w:rsidRDefault="00C06B91" w:rsidP="007A2E9D">
            <w:pPr>
              <w:spacing w:after="0"/>
              <w:jc w:val="right"/>
              <w:rPr>
                <w:rFonts w:ascii="Times New Roman" w:hAnsi="Times New Roman"/>
                <w:sz w:val="18"/>
                <w:szCs w:val="18"/>
                <w:lang w:eastAsia="en-GB"/>
              </w:rPr>
            </w:pPr>
            <w:r>
              <w:rPr>
                <w:sz w:val="18"/>
                <w:szCs w:val="18"/>
              </w:rPr>
              <w:t>3,000,000</w:t>
            </w:r>
          </w:p>
        </w:tc>
        <w:tc>
          <w:tcPr>
            <w:tcW w:w="851" w:type="dxa"/>
            <w:tcBorders>
              <w:top w:val="nil"/>
              <w:left w:val="nil"/>
              <w:bottom w:val="single" w:sz="4" w:space="0" w:color="auto"/>
              <w:right w:val="single" w:sz="4" w:space="0" w:color="auto"/>
            </w:tcBorders>
            <w:shd w:val="clear" w:color="auto" w:fill="auto"/>
            <w:noWrap/>
            <w:vAlign w:val="center"/>
            <w:hideMark/>
          </w:tcPr>
          <w:p w14:paraId="2C55C4D5"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6</w:t>
            </w:r>
            <w:r w:rsidRPr="000C4743">
              <w:rPr>
                <w:rFonts w:ascii="Times New Roman" w:hAnsi="Times New Roman"/>
                <w:color w:val="000000"/>
                <w:sz w:val="18"/>
                <w:szCs w:val="18"/>
                <w:lang w:eastAsia="en-GB"/>
              </w:rPr>
              <w:t> </w:t>
            </w:r>
          </w:p>
        </w:tc>
      </w:tr>
      <w:tr w:rsidR="00C06B91" w:rsidRPr="000C4743" w14:paraId="46A2719E"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7CEF4785"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0297BCF8"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12392F1E"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36D14E25"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16AFAD6C"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75700</w:t>
            </w:r>
          </w:p>
        </w:tc>
        <w:tc>
          <w:tcPr>
            <w:tcW w:w="2126" w:type="dxa"/>
            <w:tcBorders>
              <w:top w:val="nil"/>
              <w:left w:val="nil"/>
              <w:bottom w:val="single" w:sz="4" w:space="0" w:color="auto"/>
              <w:right w:val="single" w:sz="4" w:space="0" w:color="auto"/>
            </w:tcBorders>
            <w:shd w:val="clear" w:color="auto" w:fill="auto"/>
            <w:vAlign w:val="center"/>
            <w:hideMark/>
          </w:tcPr>
          <w:p w14:paraId="6C9CC2C0" w14:textId="77777777" w:rsidR="00C06B91" w:rsidRPr="000C4743" w:rsidRDefault="00C06B91" w:rsidP="000C4743">
            <w:pPr>
              <w:spacing w:after="0"/>
              <w:jc w:val="left"/>
              <w:rPr>
                <w:rFonts w:ascii="Times New Roman" w:hAnsi="Times New Roman"/>
                <w:color w:val="000000"/>
                <w:sz w:val="18"/>
                <w:szCs w:val="18"/>
                <w:lang w:eastAsia="en-GB"/>
              </w:rPr>
            </w:pPr>
            <w:r>
              <w:rPr>
                <w:rFonts w:ascii="Times New Roman" w:hAnsi="Times New Roman"/>
                <w:color w:val="000000"/>
                <w:sz w:val="18"/>
                <w:szCs w:val="18"/>
                <w:lang w:eastAsia="en-GB"/>
              </w:rPr>
              <w:t>Training, Workshops and Conferences</w:t>
            </w:r>
          </w:p>
        </w:tc>
        <w:tc>
          <w:tcPr>
            <w:tcW w:w="1134" w:type="dxa"/>
            <w:tcBorders>
              <w:top w:val="nil"/>
              <w:left w:val="nil"/>
              <w:bottom w:val="single" w:sz="4" w:space="0" w:color="auto"/>
              <w:right w:val="single" w:sz="4" w:space="0" w:color="auto"/>
            </w:tcBorders>
            <w:shd w:val="clear" w:color="auto" w:fill="auto"/>
            <w:noWrap/>
            <w:vAlign w:val="bottom"/>
            <w:hideMark/>
          </w:tcPr>
          <w:p w14:paraId="54E83AA2" w14:textId="15C66DBD" w:rsidR="00C06B91" w:rsidRPr="000C4743" w:rsidRDefault="00C06B91" w:rsidP="007A2E9D">
            <w:pPr>
              <w:spacing w:after="0"/>
              <w:jc w:val="right"/>
              <w:rPr>
                <w:rFonts w:ascii="Times New Roman" w:hAnsi="Times New Roman"/>
                <w:sz w:val="18"/>
                <w:szCs w:val="18"/>
                <w:lang w:eastAsia="en-GB"/>
              </w:rPr>
            </w:pPr>
            <w:r>
              <w:rPr>
                <w:sz w:val="18"/>
                <w:szCs w:val="18"/>
              </w:rPr>
              <w:t>1,842</w:t>
            </w:r>
          </w:p>
        </w:tc>
        <w:tc>
          <w:tcPr>
            <w:tcW w:w="1134" w:type="dxa"/>
            <w:tcBorders>
              <w:top w:val="nil"/>
              <w:left w:val="nil"/>
              <w:bottom w:val="single" w:sz="4" w:space="0" w:color="auto"/>
              <w:right w:val="single" w:sz="4" w:space="0" w:color="auto"/>
            </w:tcBorders>
            <w:shd w:val="clear" w:color="auto" w:fill="auto"/>
            <w:noWrap/>
            <w:vAlign w:val="bottom"/>
            <w:hideMark/>
          </w:tcPr>
          <w:p w14:paraId="6C1E2E7E" w14:textId="7C9D16CD" w:rsidR="00C06B91" w:rsidRPr="000C4743" w:rsidRDefault="00C06B91" w:rsidP="007A2E9D">
            <w:pPr>
              <w:spacing w:after="0"/>
              <w:jc w:val="right"/>
              <w:rPr>
                <w:rFonts w:ascii="Times New Roman" w:hAnsi="Times New Roman"/>
                <w:sz w:val="18"/>
                <w:szCs w:val="18"/>
                <w:lang w:eastAsia="en-GB"/>
              </w:rPr>
            </w:pPr>
            <w:r>
              <w:rPr>
                <w:sz w:val="18"/>
                <w:szCs w:val="18"/>
              </w:rPr>
              <w:t>1,842</w:t>
            </w:r>
          </w:p>
        </w:tc>
        <w:tc>
          <w:tcPr>
            <w:tcW w:w="1134" w:type="dxa"/>
            <w:tcBorders>
              <w:top w:val="nil"/>
              <w:left w:val="nil"/>
              <w:bottom w:val="single" w:sz="4" w:space="0" w:color="auto"/>
              <w:right w:val="single" w:sz="4" w:space="0" w:color="auto"/>
            </w:tcBorders>
            <w:shd w:val="clear" w:color="auto" w:fill="auto"/>
            <w:noWrap/>
            <w:vAlign w:val="bottom"/>
            <w:hideMark/>
          </w:tcPr>
          <w:p w14:paraId="5CEA8937" w14:textId="335CCC0B" w:rsidR="00C06B91" w:rsidRPr="000C4743" w:rsidRDefault="00C06B91" w:rsidP="007A2E9D">
            <w:pPr>
              <w:spacing w:after="0"/>
              <w:jc w:val="right"/>
              <w:rPr>
                <w:rFonts w:ascii="Times New Roman" w:hAnsi="Times New Roman"/>
                <w:sz w:val="18"/>
                <w:szCs w:val="18"/>
                <w:lang w:eastAsia="en-GB"/>
              </w:rPr>
            </w:pPr>
            <w:r>
              <w:rPr>
                <w:sz w:val="18"/>
                <w:szCs w:val="18"/>
              </w:rPr>
              <w:t>2,763</w:t>
            </w:r>
          </w:p>
        </w:tc>
        <w:tc>
          <w:tcPr>
            <w:tcW w:w="992" w:type="dxa"/>
            <w:tcBorders>
              <w:top w:val="nil"/>
              <w:left w:val="nil"/>
              <w:bottom w:val="single" w:sz="4" w:space="0" w:color="auto"/>
              <w:right w:val="single" w:sz="4" w:space="0" w:color="auto"/>
            </w:tcBorders>
            <w:shd w:val="clear" w:color="auto" w:fill="auto"/>
            <w:noWrap/>
            <w:vAlign w:val="bottom"/>
            <w:hideMark/>
          </w:tcPr>
          <w:p w14:paraId="2C9EDD1F" w14:textId="1D6D78D4" w:rsidR="00C06B91" w:rsidRPr="000C4743" w:rsidRDefault="00C06B91" w:rsidP="007A2E9D">
            <w:pPr>
              <w:spacing w:after="0"/>
              <w:jc w:val="right"/>
              <w:rPr>
                <w:rFonts w:ascii="Times New Roman" w:hAnsi="Times New Roman"/>
                <w:sz w:val="18"/>
                <w:szCs w:val="18"/>
                <w:lang w:eastAsia="en-GB"/>
              </w:rPr>
            </w:pPr>
            <w:r>
              <w:rPr>
                <w:sz w:val="18"/>
                <w:szCs w:val="18"/>
              </w:rPr>
              <w:t>1,842</w:t>
            </w:r>
          </w:p>
        </w:tc>
        <w:tc>
          <w:tcPr>
            <w:tcW w:w="992" w:type="dxa"/>
            <w:tcBorders>
              <w:top w:val="nil"/>
              <w:left w:val="nil"/>
              <w:bottom w:val="single" w:sz="4" w:space="0" w:color="auto"/>
              <w:right w:val="single" w:sz="4" w:space="0" w:color="auto"/>
            </w:tcBorders>
            <w:shd w:val="clear" w:color="auto" w:fill="auto"/>
            <w:noWrap/>
            <w:vAlign w:val="bottom"/>
            <w:hideMark/>
          </w:tcPr>
          <w:p w14:paraId="6595B571" w14:textId="08046A90" w:rsidR="00C06B91" w:rsidRPr="000C4743" w:rsidRDefault="00C06B91" w:rsidP="007A2E9D">
            <w:pPr>
              <w:spacing w:after="0"/>
              <w:jc w:val="right"/>
              <w:rPr>
                <w:rFonts w:ascii="Times New Roman" w:hAnsi="Times New Roman"/>
                <w:sz w:val="18"/>
                <w:szCs w:val="18"/>
                <w:lang w:eastAsia="en-GB"/>
              </w:rPr>
            </w:pPr>
            <w:r>
              <w:rPr>
                <w:sz w:val="18"/>
                <w:szCs w:val="18"/>
              </w:rPr>
              <w:t>921</w:t>
            </w:r>
          </w:p>
        </w:tc>
        <w:tc>
          <w:tcPr>
            <w:tcW w:w="1134" w:type="dxa"/>
            <w:tcBorders>
              <w:top w:val="nil"/>
              <w:left w:val="nil"/>
              <w:bottom w:val="single" w:sz="4" w:space="0" w:color="auto"/>
              <w:right w:val="single" w:sz="4" w:space="0" w:color="auto"/>
            </w:tcBorders>
            <w:shd w:val="clear" w:color="auto" w:fill="auto"/>
            <w:noWrap/>
            <w:vAlign w:val="bottom"/>
            <w:hideMark/>
          </w:tcPr>
          <w:p w14:paraId="3B5E9F52" w14:textId="3049C2E9" w:rsidR="00C06B91" w:rsidRPr="000C4743" w:rsidRDefault="00C06B91" w:rsidP="007A2E9D">
            <w:pPr>
              <w:spacing w:after="0"/>
              <w:jc w:val="right"/>
              <w:rPr>
                <w:rFonts w:ascii="Times New Roman" w:hAnsi="Times New Roman"/>
                <w:sz w:val="18"/>
                <w:szCs w:val="18"/>
                <w:lang w:eastAsia="en-GB"/>
              </w:rPr>
            </w:pPr>
            <w:r>
              <w:rPr>
                <w:sz w:val="18"/>
                <w:szCs w:val="18"/>
              </w:rPr>
              <w:t>9,210</w:t>
            </w:r>
          </w:p>
        </w:tc>
        <w:tc>
          <w:tcPr>
            <w:tcW w:w="851" w:type="dxa"/>
            <w:tcBorders>
              <w:top w:val="nil"/>
              <w:left w:val="nil"/>
              <w:bottom w:val="single" w:sz="4" w:space="0" w:color="auto"/>
              <w:right w:val="single" w:sz="4" w:space="0" w:color="auto"/>
            </w:tcBorders>
            <w:shd w:val="clear" w:color="auto" w:fill="auto"/>
            <w:noWrap/>
            <w:vAlign w:val="center"/>
            <w:hideMark/>
          </w:tcPr>
          <w:p w14:paraId="3812DC83"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p>
        </w:tc>
      </w:tr>
      <w:tr w:rsidR="00C06B91" w:rsidRPr="000C4743" w14:paraId="205BE964"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60EDA70B"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182E3960" w14:textId="77777777" w:rsidR="00C06B91" w:rsidRPr="000C4743" w:rsidRDefault="00C06B91" w:rsidP="000C4743">
            <w:pPr>
              <w:spacing w:after="0"/>
              <w:jc w:val="left"/>
              <w:rPr>
                <w:rFonts w:ascii="Times New Roman" w:hAnsi="Times New Roman"/>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405BCC53" w14:textId="77777777" w:rsidR="00C06B91" w:rsidRPr="000C4743" w:rsidRDefault="00C06B91" w:rsidP="000C4743">
            <w:pPr>
              <w:spacing w:after="0"/>
              <w:jc w:val="left"/>
              <w:rPr>
                <w:rFonts w:ascii="Times New Roman" w:hAnsi="Times New Roman"/>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1CBA6BB0"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36C2091E"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 </w:t>
            </w:r>
          </w:p>
        </w:tc>
        <w:tc>
          <w:tcPr>
            <w:tcW w:w="2126" w:type="dxa"/>
            <w:tcBorders>
              <w:top w:val="nil"/>
              <w:left w:val="nil"/>
              <w:bottom w:val="single" w:sz="4" w:space="0" w:color="auto"/>
              <w:right w:val="single" w:sz="4" w:space="0" w:color="auto"/>
            </w:tcBorders>
            <w:shd w:val="clear" w:color="auto" w:fill="auto"/>
            <w:vAlign w:val="center"/>
            <w:hideMark/>
          </w:tcPr>
          <w:p w14:paraId="4CE496FE" w14:textId="77777777" w:rsidR="00C06B91" w:rsidRPr="000C4743" w:rsidRDefault="00C06B91" w:rsidP="000C4743">
            <w:pPr>
              <w:spacing w:after="0"/>
              <w:jc w:val="left"/>
              <w:rPr>
                <w:rFonts w:ascii="Times New Roman" w:hAnsi="Times New Roman"/>
                <w:b/>
                <w:bCs/>
                <w:color w:val="000000"/>
                <w:sz w:val="18"/>
                <w:szCs w:val="18"/>
                <w:lang w:eastAsia="en-GB"/>
              </w:rPr>
            </w:pPr>
            <w:r w:rsidRPr="000C4743">
              <w:rPr>
                <w:rFonts w:ascii="Times New Roman" w:hAnsi="Times New Roman"/>
                <w:b/>
                <w:bCs/>
                <w:color w:val="000000"/>
                <w:sz w:val="18"/>
                <w:szCs w:val="18"/>
                <w:lang w:eastAsia="en-GB"/>
              </w:rPr>
              <w:t>TOTAL Outcome 3</w:t>
            </w:r>
          </w:p>
        </w:tc>
        <w:tc>
          <w:tcPr>
            <w:tcW w:w="1134" w:type="dxa"/>
            <w:tcBorders>
              <w:top w:val="nil"/>
              <w:left w:val="nil"/>
              <w:bottom w:val="single" w:sz="4" w:space="0" w:color="auto"/>
              <w:right w:val="single" w:sz="4" w:space="0" w:color="auto"/>
            </w:tcBorders>
            <w:shd w:val="clear" w:color="auto" w:fill="auto"/>
            <w:noWrap/>
            <w:vAlign w:val="bottom"/>
            <w:hideMark/>
          </w:tcPr>
          <w:p w14:paraId="788178F8" w14:textId="2CE061CD" w:rsidR="00C06B91" w:rsidRPr="000C4743" w:rsidRDefault="00C06B91" w:rsidP="007A2E9D">
            <w:pPr>
              <w:spacing w:after="0"/>
              <w:jc w:val="right"/>
              <w:rPr>
                <w:rFonts w:ascii="Times New Roman" w:hAnsi="Times New Roman"/>
                <w:b/>
                <w:bCs/>
                <w:sz w:val="18"/>
                <w:szCs w:val="18"/>
                <w:lang w:eastAsia="en-GB"/>
              </w:rPr>
            </w:pPr>
            <w:r>
              <w:rPr>
                <w:b/>
                <w:bCs/>
                <w:sz w:val="18"/>
                <w:szCs w:val="18"/>
              </w:rPr>
              <w:t>60,000</w:t>
            </w:r>
          </w:p>
        </w:tc>
        <w:tc>
          <w:tcPr>
            <w:tcW w:w="1134" w:type="dxa"/>
            <w:tcBorders>
              <w:top w:val="nil"/>
              <w:left w:val="nil"/>
              <w:bottom w:val="single" w:sz="4" w:space="0" w:color="auto"/>
              <w:right w:val="single" w:sz="4" w:space="0" w:color="auto"/>
            </w:tcBorders>
            <w:shd w:val="clear" w:color="auto" w:fill="auto"/>
            <w:noWrap/>
            <w:vAlign w:val="bottom"/>
            <w:hideMark/>
          </w:tcPr>
          <w:p w14:paraId="1A0AB51C" w14:textId="317F42F9" w:rsidR="00C06B91" w:rsidRPr="000C4743" w:rsidRDefault="00C06B91" w:rsidP="007A2E9D">
            <w:pPr>
              <w:spacing w:after="0"/>
              <w:jc w:val="right"/>
              <w:rPr>
                <w:rFonts w:ascii="Times New Roman" w:hAnsi="Times New Roman"/>
                <w:b/>
                <w:bCs/>
                <w:sz w:val="18"/>
                <w:szCs w:val="18"/>
                <w:lang w:eastAsia="en-GB"/>
              </w:rPr>
            </w:pPr>
            <w:r>
              <w:rPr>
                <w:b/>
                <w:bCs/>
                <w:sz w:val="18"/>
                <w:szCs w:val="18"/>
              </w:rPr>
              <w:t>1,560,000</w:t>
            </w:r>
          </w:p>
        </w:tc>
        <w:tc>
          <w:tcPr>
            <w:tcW w:w="1134" w:type="dxa"/>
            <w:tcBorders>
              <w:top w:val="nil"/>
              <w:left w:val="nil"/>
              <w:bottom w:val="single" w:sz="4" w:space="0" w:color="auto"/>
              <w:right w:val="single" w:sz="4" w:space="0" w:color="auto"/>
            </w:tcBorders>
            <w:shd w:val="clear" w:color="auto" w:fill="auto"/>
            <w:noWrap/>
            <w:vAlign w:val="bottom"/>
            <w:hideMark/>
          </w:tcPr>
          <w:p w14:paraId="27D2C61F" w14:textId="7ADF440C" w:rsidR="00C06B91" w:rsidRPr="000C4743" w:rsidRDefault="00C06B91" w:rsidP="007A2E9D">
            <w:pPr>
              <w:spacing w:after="0"/>
              <w:jc w:val="right"/>
              <w:rPr>
                <w:rFonts w:ascii="Times New Roman" w:hAnsi="Times New Roman"/>
                <w:b/>
                <w:bCs/>
                <w:sz w:val="18"/>
                <w:szCs w:val="18"/>
                <w:lang w:eastAsia="en-GB"/>
              </w:rPr>
            </w:pPr>
            <w:r>
              <w:rPr>
                <w:b/>
                <w:bCs/>
                <w:sz w:val="18"/>
                <w:szCs w:val="18"/>
              </w:rPr>
              <w:t>1,590,000</w:t>
            </w:r>
          </w:p>
        </w:tc>
        <w:tc>
          <w:tcPr>
            <w:tcW w:w="992" w:type="dxa"/>
            <w:tcBorders>
              <w:top w:val="nil"/>
              <w:left w:val="nil"/>
              <w:bottom w:val="single" w:sz="4" w:space="0" w:color="auto"/>
              <w:right w:val="single" w:sz="4" w:space="0" w:color="auto"/>
            </w:tcBorders>
            <w:shd w:val="clear" w:color="auto" w:fill="auto"/>
            <w:noWrap/>
            <w:vAlign w:val="bottom"/>
            <w:hideMark/>
          </w:tcPr>
          <w:p w14:paraId="5C0749A9" w14:textId="2D98570F" w:rsidR="00C06B91" w:rsidRPr="000C4743" w:rsidRDefault="00C06B91" w:rsidP="007A2E9D">
            <w:pPr>
              <w:spacing w:after="0"/>
              <w:jc w:val="right"/>
              <w:rPr>
                <w:rFonts w:ascii="Times New Roman" w:hAnsi="Times New Roman"/>
                <w:b/>
                <w:bCs/>
                <w:sz w:val="18"/>
                <w:szCs w:val="18"/>
                <w:lang w:eastAsia="en-GB"/>
              </w:rPr>
            </w:pPr>
            <w:r>
              <w:rPr>
                <w:b/>
                <w:bCs/>
                <w:sz w:val="18"/>
                <w:szCs w:val="18"/>
              </w:rPr>
              <w:t>60,000</w:t>
            </w:r>
          </w:p>
        </w:tc>
        <w:tc>
          <w:tcPr>
            <w:tcW w:w="992" w:type="dxa"/>
            <w:tcBorders>
              <w:top w:val="nil"/>
              <w:left w:val="nil"/>
              <w:bottom w:val="single" w:sz="4" w:space="0" w:color="auto"/>
              <w:right w:val="single" w:sz="4" w:space="0" w:color="auto"/>
            </w:tcBorders>
            <w:shd w:val="clear" w:color="auto" w:fill="auto"/>
            <w:noWrap/>
            <w:vAlign w:val="bottom"/>
            <w:hideMark/>
          </w:tcPr>
          <w:p w14:paraId="1EA1AD4A" w14:textId="5974FFD3" w:rsidR="00C06B91" w:rsidRPr="000C4743" w:rsidRDefault="00C06B91" w:rsidP="007A2E9D">
            <w:pPr>
              <w:spacing w:after="0"/>
              <w:jc w:val="right"/>
              <w:rPr>
                <w:rFonts w:ascii="Times New Roman" w:hAnsi="Times New Roman"/>
                <w:b/>
                <w:bCs/>
                <w:sz w:val="18"/>
                <w:szCs w:val="18"/>
                <w:lang w:eastAsia="en-GB"/>
              </w:rPr>
            </w:pPr>
            <w:r>
              <w:rPr>
                <w:b/>
                <w:bCs/>
                <w:sz w:val="18"/>
                <w:szCs w:val="18"/>
              </w:rPr>
              <w:t>30,000</w:t>
            </w:r>
          </w:p>
        </w:tc>
        <w:tc>
          <w:tcPr>
            <w:tcW w:w="1134" w:type="dxa"/>
            <w:tcBorders>
              <w:top w:val="nil"/>
              <w:left w:val="nil"/>
              <w:bottom w:val="single" w:sz="4" w:space="0" w:color="auto"/>
              <w:right w:val="single" w:sz="4" w:space="0" w:color="auto"/>
            </w:tcBorders>
            <w:shd w:val="clear" w:color="auto" w:fill="auto"/>
            <w:noWrap/>
            <w:vAlign w:val="bottom"/>
            <w:hideMark/>
          </w:tcPr>
          <w:p w14:paraId="3B81C201" w14:textId="722DE2D5" w:rsidR="00C06B91" w:rsidRPr="000C4743" w:rsidRDefault="00C06B91" w:rsidP="007A2E9D">
            <w:pPr>
              <w:spacing w:after="0"/>
              <w:jc w:val="right"/>
              <w:rPr>
                <w:rFonts w:ascii="Times New Roman" w:hAnsi="Times New Roman"/>
                <w:b/>
                <w:bCs/>
                <w:sz w:val="18"/>
                <w:szCs w:val="18"/>
                <w:lang w:eastAsia="en-GB"/>
              </w:rPr>
            </w:pPr>
            <w:r>
              <w:rPr>
                <w:b/>
                <w:bCs/>
                <w:sz w:val="18"/>
                <w:szCs w:val="18"/>
              </w:rPr>
              <w:t>3,300,000</w:t>
            </w:r>
          </w:p>
        </w:tc>
        <w:tc>
          <w:tcPr>
            <w:tcW w:w="851" w:type="dxa"/>
            <w:tcBorders>
              <w:top w:val="nil"/>
              <w:left w:val="nil"/>
              <w:bottom w:val="single" w:sz="4" w:space="0" w:color="auto"/>
              <w:right w:val="single" w:sz="4" w:space="0" w:color="auto"/>
            </w:tcBorders>
            <w:shd w:val="clear" w:color="auto" w:fill="auto"/>
            <w:noWrap/>
            <w:vAlign w:val="center"/>
            <w:hideMark/>
          </w:tcPr>
          <w:p w14:paraId="7BFC7D32"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p>
        </w:tc>
      </w:tr>
      <w:tr w:rsidR="00C06B91" w:rsidRPr="000C4743" w14:paraId="1D3792AC" w14:textId="77777777" w:rsidTr="006F7397">
        <w:trPr>
          <w:trHeight w:val="315"/>
        </w:trPr>
        <w:tc>
          <w:tcPr>
            <w:tcW w:w="1716" w:type="dxa"/>
            <w:vMerge w:val="restart"/>
            <w:tcBorders>
              <w:top w:val="nil"/>
              <w:left w:val="single" w:sz="4" w:space="0" w:color="auto"/>
              <w:bottom w:val="single" w:sz="4" w:space="0" w:color="000000"/>
              <w:right w:val="single" w:sz="4" w:space="0" w:color="auto"/>
            </w:tcBorders>
            <w:shd w:val="clear" w:color="auto" w:fill="auto"/>
            <w:vAlign w:val="center"/>
            <w:hideMark/>
          </w:tcPr>
          <w:p w14:paraId="01156F7C" w14:textId="77777777" w:rsidR="00C06B91" w:rsidRPr="000C4743" w:rsidRDefault="00C06B91" w:rsidP="000C4743">
            <w:pPr>
              <w:spacing w:after="0"/>
              <w:jc w:val="left"/>
              <w:rPr>
                <w:rFonts w:ascii="Times New Roman" w:hAnsi="Times New Roman"/>
                <w:b/>
                <w:bCs/>
                <w:sz w:val="18"/>
                <w:szCs w:val="18"/>
                <w:lang w:eastAsia="en-GB"/>
              </w:rPr>
            </w:pPr>
            <w:r w:rsidRPr="000C4743">
              <w:rPr>
                <w:rFonts w:ascii="Times New Roman" w:hAnsi="Times New Roman"/>
                <w:b/>
                <w:bCs/>
                <w:sz w:val="18"/>
                <w:szCs w:val="18"/>
                <w:lang w:eastAsia="en-GB"/>
              </w:rPr>
              <w:t xml:space="preserve">OUTCOME 4: </w:t>
            </w:r>
            <w:r w:rsidRPr="000C4743">
              <w:rPr>
                <w:rFonts w:ascii="Times New Roman" w:hAnsi="Times New Roman"/>
                <w:b/>
                <w:bCs/>
                <w:sz w:val="18"/>
                <w:szCs w:val="18"/>
                <w:lang w:eastAsia="en-GB"/>
              </w:rPr>
              <w:br/>
            </w:r>
            <w:r w:rsidRPr="000C4743">
              <w:rPr>
                <w:rFonts w:ascii="Times New Roman" w:hAnsi="Times New Roman"/>
                <w:sz w:val="18"/>
                <w:szCs w:val="18"/>
                <w:lang w:eastAsia="en-GB"/>
              </w:rPr>
              <w:t>Implementation of pilot urban NAMA</w:t>
            </w:r>
          </w:p>
        </w:tc>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E628678"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MRD</w:t>
            </w:r>
          </w:p>
        </w:tc>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4CD79B2"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62000</w:t>
            </w:r>
          </w:p>
        </w:tc>
        <w:tc>
          <w:tcPr>
            <w:tcW w:w="708" w:type="dxa"/>
            <w:vMerge w:val="restart"/>
            <w:tcBorders>
              <w:top w:val="nil"/>
              <w:left w:val="single" w:sz="4" w:space="0" w:color="auto"/>
              <w:bottom w:val="single" w:sz="4" w:space="0" w:color="000000"/>
              <w:right w:val="single" w:sz="4" w:space="0" w:color="auto"/>
            </w:tcBorders>
            <w:shd w:val="clear" w:color="auto" w:fill="auto"/>
            <w:vAlign w:val="center"/>
            <w:hideMark/>
          </w:tcPr>
          <w:p w14:paraId="29C26750"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GEF</w:t>
            </w:r>
          </w:p>
        </w:tc>
        <w:tc>
          <w:tcPr>
            <w:tcW w:w="993" w:type="dxa"/>
            <w:tcBorders>
              <w:top w:val="nil"/>
              <w:left w:val="nil"/>
              <w:bottom w:val="single" w:sz="4" w:space="0" w:color="auto"/>
              <w:right w:val="single" w:sz="4" w:space="0" w:color="auto"/>
            </w:tcBorders>
            <w:shd w:val="clear" w:color="auto" w:fill="auto"/>
            <w:noWrap/>
            <w:vAlign w:val="center"/>
            <w:hideMark/>
          </w:tcPr>
          <w:p w14:paraId="22022864"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72100</w:t>
            </w:r>
          </w:p>
        </w:tc>
        <w:tc>
          <w:tcPr>
            <w:tcW w:w="2126" w:type="dxa"/>
            <w:tcBorders>
              <w:top w:val="nil"/>
              <w:left w:val="nil"/>
              <w:bottom w:val="single" w:sz="4" w:space="0" w:color="auto"/>
              <w:right w:val="single" w:sz="4" w:space="0" w:color="auto"/>
            </w:tcBorders>
            <w:shd w:val="clear" w:color="auto" w:fill="auto"/>
            <w:noWrap/>
            <w:vAlign w:val="center"/>
            <w:hideMark/>
          </w:tcPr>
          <w:p w14:paraId="47D448A0"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Contractual Services - Companies</w:t>
            </w:r>
          </w:p>
        </w:tc>
        <w:tc>
          <w:tcPr>
            <w:tcW w:w="1134" w:type="dxa"/>
            <w:tcBorders>
              <w:top w:val="nil"/>
              <w:left w:val="nil"/>
              <w:bottom w:val="single" w:sz="4" w:space="0" w:color="auto"/>
              <w:right w:val="single" w:sz="4" w:space="0" w:color="auto"/>
            </w:tcBorders>
            <w:shd w:val="clear" w:color="auto" w:fill="auto"/>
            <w:noWrap/>
            <w:vAlign w:val="bottom"/>
            <w:hideMark/>
          </w:tcPr>
          <w:p w14:paraId="35F2FE7A" w14:textId="45432466"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4619501B" w14:textId="70A4E206"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54230814" w14:textId="4959643F" w:rsidR="00C06B91" w:rsidRPr="000C4743" w:rsidRDefault="00C06B91" w:rsidP="007A2E9D">
            <w:pPr>
              <w:spacing w:after="0"/>
              <w:jc w:val="right"/>
              <w:rPr>
                <w:rFonts w:ascii="Times New Roman" w:hAnsi="Times New Roman"/>
                <w:sz w:val="18"/>
                <w:szCs w:val="18"/>
                <w:lang w:eastAsia="en-GB"/>
              </w:rPr>
            </w:pPr>
            <w:r>
              <w:rPr>
                <w:sz w:val="18"/>
                <w:szCs w:val="18"/>
              </w:rPr>
              <w:t>140,000</w:t>
            </w:r>
          </w:p>
        </w:tc>
        <w:tc>
          <w:tcPr>
            <w:tcW w:w="992" w:type="dxa"/>
            <w:tcBorders>
              <w:top w:val="nil"/>
              <w:left w:val="nil"/>
              <w:bottom w:val="single" w:sz="4" w:space="0" w:color="auto"/>
              <w:right w:val="single" w:sz="4" w:space="0" w:color="auto"/>
            </w:tcBorders>
            <w:shd w:val="clear" w:color="auto" w:fill="auto"/>
            <w:noWrap/>
            <w:vAlign w:val="bottom"/>
            <w:hideMark/>
          </w:tcPr>
          <w:p w14:paraId="5EF9D329" w14:textId="75E4A450"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992" w:type="dxa"/>
            <w:tcBorders>
              <w:top w:val="nil"/>
              <w:left w:val="nil"/>
              <w:bottom w:val="single" w:sz="4" w:space="0" w:color="auto"/>
              <w:right w:val="single" w:sz="4" w:space="0" w:color="auto"/>
            </w:tcBorders>
            <w:shd w:val="clear" w:color="auto" w:fill="auto"/>
            <w:noWrap/>
            <w:vAlign w:val="bottom"/>
            <w:hideMark/>
          </w:tcPr>
          <w:p w14:paraId="3126BB50" w14:textId="5FA58E3A"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35ECC9B9" w14:textId="6D8D0B8F" w:rsidR="00C06B91" w:rsidRPr="000C4743" w:rsidRDefault="00C06B91" w:rsidP="007A2E9D">
            <w:pPr>
              <w:spacing w:after="0"/>
              <w:jc w:val="right"/>
              <w:rPr>
                <w:rFonts w:ascii="Times New Roman" w:hAnsi="Times New Roman"/>
                <w:sz w:val="18"/>
                <w:szCs w:val="18"/>
                <w:lang w:eastAsia="en-GB"/>
              </w:rPr>
            </w:pPr>
            <w:r>
              <w:rPr>
                <w:sz w:val="18"/>
                <w:szCs w:val="18"/>
              </w:rPr>
              <w:t>140,000</w:t>
            </w:r>
          </w:p>
        </w:tc>
        <w:tc>
          <w:tcPr>
            <w:tcW w:w="851" w:type="dxa"/>
            <w:tcBorders>
              <w:top w:val="nil"/>
              <w:left w:val="nil"/>
              <w:bottom w:val="single" w:sz="4" w:space="0" w:color="auto"/>
              <w:right w:val="single" w:sz="4" w:space="0" w:color="auto"/>
            </w:tcBorders>
            <w:shd w:val="clear" w:color="auto" w:fill="auto"/>
            <w:noWrap/>
            <w:vAlign w:val="center"/>
            <w:hideMark/>
          </w:tcPr>
          <w:p w14:paraId="580399FE"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4</w:t>
            </w:r>
          </w:p>
        </w:tc>
      </w:tr>
      <w:tr w:rsidR="00C06B91" w:rsidRPr="000C4743" w14:paraId="5B2147F4"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78028B73"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14ACB91C" w14:textId="77777777" w:rsidR="00C06B91" w:rsidRPr="000C4743" w:rsidRDefault="00C06B91" w:rsidP="000C4743">
            <w:pPr>
              <w:spacing w:after="0"/>
              <w:jc w:val="left"/>
              <w:rPr>
                <w:rFonts w:ascii="Times New Roman" w:hAnsi="Times New Roman"/>
                <w:color w:val="000000"/>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4146243D" w14:textId="77777777" w:rsidR="00C06B91" w:rsidRPr="000C4743" w:rsidRDefault="00C06B91" w:rsidP="000C4743">
            <w:pPr>
              <w:spacing w:after="0"/>
              <w:jc w:val="left"/>
              <w:rPr>
                <w:rFonts w:ascii="Times New Roman" w:hAnsi="Times New Roman"/>
                <w:color w:val="000000"/>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3AE9136C"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1A9AF938"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72600</w:t>
            </w:r>
          </w:p>
        </w:tc>
        <w:tc>
          <w:tcPr>
            <w:tcW w:w="2126" w:type="dxa"/>
            <w:tcBorders>
              <w:top w:val="nil"/>
              <w:left w:val="nil"/>
              <w:bottom w:val="single" w:sz="4" w:space="0" w:color="auto"/>
              <w:right w:val="single" w:sz="4" w:space="0" w:color="auto"/>
            </w:tcBorders>
            <w:shd w:val="clear" w:color="auto" w:fill="auto"/>
            <w:noWrap/>
            <w:vAlign w:val="center"/>
            <w:hideMark/>
          </w:tcPr>
          <w:p w14:paraId="46578ACC" w14:textId="77777777" w:rsidR="00C06B91" w:rsidRPr="000C4743" w:rsidRDefault="00C06B91" w:rsidP="000C4743">
            <w:pPr>
              <w:spacing w:after="0"/>
              <w:jc w:val="left"/>
              <w:rPr>
                <w:rFonts w:ascii="Times New Roman" w:hAnsi="Times New Roman"/>
                <w:sz w:val="18"/>
                <w:szCs w:val="18"/>
                <w:lang w:eastAsia="en-GB"/>
              </w:rPr>
            </w:pPr>
            <w:r w:rsidRPr="000C4743">
              <w:rPr>
                <w:rFonts w:ascii="Times New Roman" w:hAnsi="Times New Roman"/>
                <w:sz w:val="18"/>
                <w:szCs w:val="18"/>
                <w:lang w:eastAsia="en-GB"/>
              </w:rPr>
              <w:t>Grants</w:t>
            </w:r>
          </w:p>
        </w:tc>
        <w:tc>
          <w:tcPr>
            <w:tcW w:w="1134" w:type="dxa"/>
            <w:tcBorders>
              <w:top w:val="nil"/>
              <w:left w:val="nil"/>
              <w:bottom w:val="single" w:sz="4" w:space="0" w:color="auto"/>
              <w:right w:val="single" w:sz="4" w:space="0" w:color="auto"/>
            </w:tcBorders>
            <w:shd w:val="clear" w:color="auto" w:fill="auto"/>
            <w:noWrap/>
            <w:vAlign w:val="bottom"/>
            <w:hideMark/>
          </w:tcPr>
          <w:p w14:paraId="27748974" w14:textId="69D9E48A"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3CC9FCB6" w14:textId="0664CA89"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2BF0963B" w14:textId="0C1D89CF" w:rsidR="00C06B91" w:rsidRPr="000C4743" w:rsidRDefault="00C06B91" w:rsidP="007A2E9D">
            <w:pPr>
              <w:spacing w:after="0"/>
              <w:jc w:val="right"/>
              <w:rPr>
                <w:rFonts w:ascii="Times New Roman" w:hAnsi="Times New Roman"/>
                <w:sz w:val="18"/>
                <w:szCs w:val="18"/>
                <w:lang w:eastAsia="en-GB"/>
              </w:rPr>
            </w:pPr>
            <w:r>
              <w:rPr>
                <w:sz w:val="18"/>
                <w:szCs w:val="18"/>
              </w:rPr>
              <w:t>560,000</w:t>
            </w:r>
          </w:p>
        </w:tc>
        <w:tc>
          <w:tcPr>
            <w:tcW w:w="992" w:type="dxa"/>
            <w:tcBorders>
              <w:top w:val="nil"/>
              <w:left w:val="nil"/>
              <w:bottom w:val="single" w:sz="4" w:space="0" w:color="auto"/>
              <w:right w:val="single" w:sz="4" w:space="0" w:color="auto"/>
            </w:tcBorders>
            <w:shd w:val="clear" w:color="auto" w:fill="auto"/>
            <w:noWrap/>
            <w:vAlign w:val="bottom"/>
            <w:hideMark/>
          </w:tcPr>
          <w:p w14:paraId="47C00D2E" w14:textId="7F664AC0"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992" w:type="dxa"/>
            <w:tcBorders>
              <w:top w:val="nil"/>
              <w:left w:val="nil"/>
              <w:bottom w:val="single" w:sz="4" w:space="0" w:color="auto"/>
              <w:right w:val="single" w:sz="4" w:space="0" w:color="auto"/>
            </w:tcBorders>
            <w:shd w:val="clear" w:color="auto" w:fill="auto"/>
            <w:noWrap/>
            <w:vAlign w:val="bottom"/>
            <w:hideMark/>
          </w:tcPr>
          <w:p w14:paraId="2DC67CF2" w14:textId="6CAE02E8" w:rsidR="00C06B91" w:rsidRPr="000C4743" w:rsidRDefault="00C06B91" w:rsidP="007A2E9D">
            <w:pPr>
              <w:spacing w:after="0"/>
              <w:jc w:val="right"/>
              <w:rPr>
                <w:rFonts w:ascii="Times New Roman" w:hAnsi="Times New Roman"/>
                <w:sz w:val="18"/>
                <w:szCs w:val="18"/>
                <w:lang w:eastAsia="en-GB"/>
              </w:rPr>
            </w:pPr>
            <w:r>
              <w:rPr>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32B42496" w14:textId="5C40D181" w:rsidR="00C06B91" w:rsidRPr="000C4743" w:rsidRDefault="00C06B91" w:rsidP="007A2E9D">
            <w:pPr>
              <w:spacing w:after="0"/>
              <w:jc w:val="right"/>
              <w:rPr>
                <w:rFonts w:ascii="Times New Roman" w:hAnsi="Times New Roman"/>
                <w:sz w:val="18"/>
                <w:szCs w:val="18"/>
                <w:lang w:eastAsia="en-GB"/>
              </w:rPr>
            </w:pPr>
            <w:r>
              <w:rPr>
                <w:sz w:val="18"/>
                <w:szCs w:val="18"/>
              </w:rPr>
              <w:t>560,000</w:t>
            </w:r>
          </w:p>
        </w:tc>
        <w:tc>
          <w:tcPr>
            <w:tcW w:w="851" w:type="dxa"/>
            <w:tcBorders>
              <w:top w:val="nil"/>
              <w:left w:val="nil"/>
              <w:bottom w:val="single" w:sz="4" w:space="0" w:color="auto"/>
              <w:right w:val="single" w:sz="4" w:space="0" w:color="auto"/>
            </w:tcBorders>
            <w:shd w:val="clear" w:color="auto" w:fill="auto"/>
            <w:noWrap/>
            <w:vAlign w:val="center"/>
            <w:hideMark/>
          </w:tcPr>
          <w:p w14:paraId="43EC4BB5" w14:textId="77777777" w:rsidR="00C06B91" w:rsidRPr="000C4743" w:rsidRDefault="00C06B91" w:rsidP="000C4743">
            <w:pPr>
              <w:spacing w:after="0"/>
              <w:jc w:val="center"/>
              <w:rPr>
                <w:rFonts w:ascii="Times New Roman" w:hAnsi="Times New Roman"/>
                <w:color w:val="000000"/>
                <w:sz w:val="18"/>
                <w:szCs w:val="18"/>
                <w:lang w:eastAsia="en-GB"/>
              </w:rPr>
            </w:pPr>
            <w:r>
              <w:rPr>
                <w:rFonts w:ascii="Times New Roman" w:hAnsi="Times New Roman"/>
                <w:color w:val="000000"/>
                <w:sz w:val="18"/>
                <w:szCs w:val="18"/>
                <w:lang w:eastAsia="en-GB"/>
              </w:rPr>
              <w:t>7</w:t>
            </w:r>
            <w:r w:rsidRPr="000C4743">
              <w:rPr>
                <w:rFonts w:ascii="Times New Roman" w:hAnsi="Times New Roman"/>
                <w:color w:val="000000"/>
                <w:sz w:val="18"/>
                <w:szCs w:val="18"/>
                <w:lang w:eastAsia="en-GB"/>
              </w:rPr>
              <w:t> </w:t>
            </w:r>
          </w:p>
        </w:tc>
      </w:tr>
      <w:tr w:rsidR="00C06B91" w:rsidRPr="000C4743" w14:paraId="5EC81962"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26D23661" w14:textId="77777777" w:rsidR="00C06B91" w:rsidRPr="000C474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697CFFCD" w14:textId="77777777" w:rsidR="00C06B91" w:rsidRPr="000C4743" w:rsidRDefault="00C06B91" w:rsidP="000C4743">
            <w:pPr>
              <w:spacing w:after="0"/>
              <w:jc w:val="left"/>
              <w:rPr>
                <w:rFonts w:ascii="Times New Roman" w:hAnsi="Times New Roman"/>
                <w:color w:val="000000"/>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7B6E5022" w14:textId="77777777" w:rsidR="00C06B91" w:rsidRPr="000C4743" w:rsidRDefault="00C06B91" w:rsidP="000C4743">
            <w:pPr>
              <w:spacing w:after="0"/>
              <w:jc w:val="left"/>
              <w:rPr>
                <w:rFonts w:ascii="Times New Roman" w:hAnsi="Times New Roman"/>
                <w:color w:val="000000"/>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5205216F" w14:textId="77777777" w:rsidR="00C06B91" w:rsidRPr="000C474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vAlign w:val="center"/>
            <w:hideMark/>
          </w:tcPr>
          <w:p w14:paraId="29E08D8C" w14:textId="77777777" w:rsidR="00C06B91" w:rsidRPr="000C4743" w:rsidRDefault="00C06B91" w:rsidP="000C4743">
            <w:pPr>
              <w:spacing w:after="0"/>
              <w:jc w:val="center"/>
              <w:rPr>
                <w:rFonts w:ascii="Times New Roman" w:hAnsi="Times New Roman"/>
                <w:sz w:val="18"/>
                <w:szCs w:val="18"/>
                <w:lang w:eastAsia="en-GB"/>
              </w:rPr>
            </w:pPr>
            <w:r w:rsidRPr="000C4743">
              <w:rPr>
                <w:rFonts w:ascii="Times New Roman" w:hAnsi="Times New Roman"/>
                <w:sz w:val="18"/>
                <w:szCs w:val="18"/>
                <w:lang w:eastAsia="en-GB"/>
              </w:rPr>
              <w:t> </w:t>
            </w:r>
          </w:p>
        </w:tc>
        <w:tc>
          <w:tcPr>
            <w:tcW w:w="2126" w:type="dxa"/>
            <w:tcBorders>
              <w:top w:val="nil"/>
              <w:left w:val="nil"/>
              <w:bottom w:val="single" w:sz="4" w:space="0" w:color="auto"/>
              <w:right w:val="single" w:sz="4" w:space="0" w:color="auto"/>
            </w:tcBorders>
            <w:shd w:val="clear" w:color="auto" w:fill="auto"/>
            <w:noWrap/>
            <w:vAlign w:val="center"/>
            <w:hideMark/>
          </w:tcPr>
          <w:p w14:paraId="26A2EEC1" w14:textId="77777777" w:rsidR="00C06B91" w:rsidRPr="000C4743" w:rsidRDefault="00C06B91" w:rsidP="000C4743">
            <w:pPr>
              <w:spacing w:after="0"/>
              <w:jc w:val="left"/>
              <w:rPr>
                <w:rFonts w:ascii="Times New Roman" w:hAnsi="Times New Roman"/>
                <w:b/>
                <w:bCs/>
                <w:sz w:val="18"/>
                <w:szCs w:val="18"/>
                <w:lang w:eastAsia="en-GB"/>
              </w:rPr>
            </w:pPr>
            <w:r w:rsidRPr="000C4743">
              <w:rPr>
                <w:rFonts w:ascii="Times New Roman" w:hAnsi="Times New Roman"/>
                <w:b/>
                <w:bCs/>
                <w:sz w:val="18"/>
                <w:szCs w:val="18"/>
                <w:lang w:eastAsia="en-GB"/>
              </w:rPr>
              <w:t>TOTAL Outcome 4</w:t>
            </w:r>
          </w:p>
        </w:tc>
        <w:tc>
          <w:tcPr>
            <w:tcW w:w="1134" w:type="dxa"/>
            <w:tcBorders>
              <w:top w:val="nil"/>
              <w:left w:val="nil"/>
              <w:bottom w:val="single" w:sz="4" w:space="0" w:color="auto"/>
              <w:right w:val="single" w:sz="4" w:space="0" w:color="auto"/>
            </w:tcBorders>
            <w:shd w:val="clear" w:color="auto" w:fill="auto"/>
            <w:noWrap/>
            <w:vAlign w:val="bottom"/>
            <w:hideMark/>
          </w:tcPr>
          <w:p w14:paraId="53AE331C" w14:textId="74A6FC84" w:rsidR="00C06B91" w:rsidRPr="000C4743" w:rsidRDefault="00C06B91" w:rsidP="007A2E9D">
            <w:pPr>
              <w:spacing w:after="0"/>
              <w:jc w:val="right"/>
              <w:rPr>
                <w:rFonts w:ascii="Times New Roman" w:hAnsi="Times New Roman"/>
                <w:b/>
                <w:bCs/>
                <w:sz w:val="18"/>
                <w:szCs w:val="18"/>
                <w:lang w:eastAsia="en-GB"/>
              </w:rPr>
            </w:pPr>
            <w:r>
              <w:rPr>
                <w:b/>
                <w:bCs/>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5CEBA092" w14:textId="36FE7244" w:rsidR="00C06B91" w:rsidRPr="000C4743" w:rsidRDefault="00C06B91" w:rsidP="007A2E9D">
            <w:pPr>
              <w:spacing w:after="0"/>
              <w:jc w:val="right"/>
              <w:rPr>
                <w:rFonts w:ascii="Times New Roman" w:hAnsi="Times New Roman"/>
                <w:b/>
                <w:bCs/>
                <w:sz w:val="18"/>
                <w:szCs w:val="18"/>
                <w:lang w:eastAsia="en-GB"/>
              </w:rPr>
            </w:pPr>
            <w:r>
              <w:rPr>
                <w:b/>
                <w:bCs/>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567BF45A" w14:textId="7058D36C" w:rsidR="00C06B91" w:rsidRPr="000C4743" w:rsidRDefault="00C06B91" w:rsidP="007A2E9D">
            <w:pPr>
              <w:spacing w:after="0"/>
              <w:jc w:val="right"/>
              <w:rPr>
                <w:rFonts w:ascii="Times New Roman" w:hAnsi="Times New Roman"/>
                <w:b/>
                <w:bCs/>
                <w:sz w:val="18"/>
                <w:szCs w:val="18"/>
                <w:lang w:eastAsia="en-GB"/>
              </w:rPr>
            </w:pPr>
            <w:r>
              <w:rPr>
                <w:b/>
                <w:bCs/>
                <w:sz w:val="18"/>
                <w:szCs w:val="18"/>
              </w:rPr>
              <w:t>700,000</w:t>
            </w:r>
          </w:p>
        </w:tc>
        <w:tc>
          <w:tcPr>
            <w:tcW w:w="992" w:type="dxa"/>
            <w:tcBorders>
              <w:top w:val="nil"/>
              <w:left w:val="nil"/>
              <w:bottom w:val="single" w:sz="4" w:space="0" w:color="auto"/>
              <w:right w:val="single" w:sz="4" w:space="0" w:color="auto"/>
            </w:tcBorders>
            <w:shd w:val="clear" w:color="auto" w:fill="auto"/>
            <w:noWrap/>
            <w:vAlign w:val="bottom"/>
            <w:hideMark/>
          </w:tcPr>
          <w:p w14:paraId="6C5A0F70" w14:textId="7BEF29A1" w:rsidR="00C06B91" w:rsidRPr="000C4743" w:rsidRDefault="00C06B91" w:rsidP="007A2E9D">
            <w:pPr>
              <w:spacing w:after="0"/>
              <w:jc w:val="right"/>
              <w:rPr>
                <w:rFonts w:ascii="Times New Roman" w:hAnsi="Times New Roman"/>
                <w:b/>
                <w:bCs/>
                <w:sz w:val="18"/>
                <w:szCs w:val="18"/>
                <w:lang w:eastAsia="en-GB"/>
              </w:rPr>
            </w:pPr>
            <w:r>
              <w:rPr>
                <w:b/>
                <w:bCs/>
                <w:sz w:val="18"/>
                <w:szCs w:val="18"/>
              </w:rPr>
              <w:t>0</w:t>
            </w:r>
          </w:p>
        </w:tc>
        <w:tc>
          <w:tcPr>
            <w:tcW w:w="992" w:type="dxa"/>
            <w:tcBorders>
              <w:top w:val="nil"/>
              <w:left w:val="nil"/>
              <w:bottom w:val="single" w:sz="4" w:space="0" w:color="auto"/>
              <w:right w:val="single" w:sz="4" w:space="0" w:color="auto"/>
            </w:tcBorders>
            <w:shd w:val="clear" w:color="auto" w:fill="auto"/>
            <w:noWrap/>
            <w:vAlign w:val="bottom"/>
            <w:hideMark/>
          </w:tcPr>
          <w:p w14:paraId="560F275C" w14:textId="70F48E88" w:rsidR="00C06B91" w:rsidRPr="000C4743" w:rsidRDefault="00C06B91" w:rsidP="007A2E9D">
            <w:pPr>
              <w:spacing w:after="0"/>
              <w:jc w:val="right"/>
              <w:rPr>
                <w:rFonts w:ascii="Times New Roman" w:hAnsi="Times New Roman"/>
                <w:b/>
                <w:bCs/>
                <w:sz w:val="18"/>
                <w:szCs w:val="18"/>
                <w:lang w:eastAsia="en-GB"/>
              </w:rPr>
            </w:pPr>
            <w:r>
              <w:rPr>
                <w:b/>
                <w:bCs/>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1E65CF03" w14:textId="17422757" w:rsidR="00C06B91" w:rsidRPr="000C4743" w:rsidRDefault="00C06B91" w:rsidP="007A2E9D">
            <w:pPr>
              <w:spacing w:after="0"/>
              <w:jc w:val="right"/>
              <w:rPr>
                <w:rFonts w:ascii="Times New Roman" w:hAnsi="Times New Roman"/>
                <w:b/>
                <w:bCs/>
                <w:sz w:val="18"/>
                <w:szCs w:val="18"/>
                <w:lang w:eastAsia="en-GB"/>
              </w:rPr>
            </w:pPr>
            <w:r>
              <w:rPr>
                <w:b/>
                <w:bCs/>
                <w:sz w:val="18"/>
                <w:szCs w:val="18"/>
              </w:rPr>
              <w:t>700,000</w:t>
            </w:r>
          </w:p>
        </w:tc>
        <w:tc>
          <w:tcPr>
            <w:tcW w:w="851" w:type="dxa"/>
            <w:tcBorders>
              <w:top w:val="nil"/>
              <w:left w:val="nil"/>
              <w:bottom w:val="single" w:sz="4" w:space="0" w:color="auto"/>
              <w:right w:val="single" w:sz="4" w:space="0" w:color="auto"/>
            </w:tcBorders>
            <w:shd w:val="clear" w:color="auto" w:fill="auto"/>
            <w:noWrap/>
            <w:vAlign w:val="center"/>
            <w:hideMark/>
          </w:tcPr>
          <w:p w14:paraId="42C370B8" w14:textId="77777777" w:rsidR="00C06B91" w:rsidRPr="000C4743" w:rsidRDefault="00C06B91" w:rsidP="000C4743">
            <w:pPr>
              <w:spacing w:after="0"/>
              <w:jc w:val="center"/>
              <w:rPr>
                <w:rFonts w:ascii="Times New Roman" w:hAnsi="Times New Roman"/>
                <w:color w:val="000000"/>
                <w:sz w:val="18"/>
                <w:szCs w:val="18"/>
                <w:lang w:eastAsia="en-GB"/>
              </w:rPr>
            </w:pPr>
            <w:r w:rsidRPr="000C4743">
              <w:rPr>
                <w:rFonts w:ascii="Times New Roman" w:hAnsi="Times New Roman"/>
                <w:color w:val="000000"/>
                <w:sz w:val="18"/>
                <w:szCs w:val="18"/>
                <w:lang w:eastAsia="en-GB"/>
              </w:rPr>
              <w:t> </w:t>
            </w:r>
          </w:p>
        </w:tc>
      </w:tr>
      <w:tr w:rsidR="00C06B91" w:rsidRPr="000C4743" w14:paraId="6301809A" w14:textId="77777777" w:rsidTr="006F7397">
        <w:trPr>
          <w:trHeight w:val="315"/>
        </w:trPr>
        <w:tc>
          <w:tcPr>
            <w:tcW w:w="1716" w:type="dxa"/>
            <w:vMerge w:val="restart"/>
            <w:tcBorders>
              <w:top w:val="nil"/>
              <w:left w:val="single" w:sz="4" w:space="0" w:color="auto"/>
              <w:bottom w:val="single" w:sz="4" w:space="0" w:color="000000"/>
              <w:right w:val="single" w:sz="4" w:space="0" w:color="auto"/>
            </w:tcBorders>
            <w:shd w:val="clear" w:color="auto" w:fill="auto"/>
            <w:vAlign w:val="center"/>
            <w:hideMark/>
          </w:tcPr>
          <w:p w14:paraId="3D82BCF0" w14:textId="77777777" w:rsidR="00C06B91" w:rsidRPr="00AF19E3" w:rsidRDefault="00C06B91" w:rsidP="000C4743">
            <w:pPr>
              <w:spacing w:after="0"/>
              <w:jc w:val="left"/>
              <w:rPr>
                <w:rFonts w:ascii="Times New Roman" w:hAnsi="Times New Roman"/>
                <w:b/>
                <w:bCs/>
                <w:sz w:val="18"/>
                <w:szCs w:val="18"/>
                <w:lang w:eastAsia="en-GB"/>
              </w:rPr>
            </w:pPr>
            <w:r w:rsidRPr="00AF19E3">
              <w:rPr>
                <w:rFonts w:ascii="Times New Roman" w:hAnsi="Times New Roman"/>
                <w:b/>
                <w:bCs/>
                <w:sz w:val="18"/>
                <w:szCs w:val="18"/>
                <w:lang w:eastAsia="en-GB"/>
              </w:rPr>
              <w:t xml:space="preserve">OUTCOME 5: </w:t>
            </w:r>
            <w:r w:rsidRPr="00AF19E3">
              <w:rPr>
                <w:rFonts w:ascii="Times New Roman" w:hAnsi="Times New Roman"/>
                <w:b/>
                <w:bCs/>
                <w:sz w:val="18"/>
                <w:szCs w:val="18"/>
                <w:lang w:eastAsia="en-GB"/>
              </w:rPr>
              <w:br/>
            </w:r>
            <w:r w:rsidRPr="00AF19E3">
              <w:rPr>
                <w:rFonts w:ascii="Times New Roman" w:hAnsi="Times New Roman"/>
                <w:sz w:val="18"/>
                <w:szCs w:val="18"/>
                <w:lang w:eastAsia="en-GB"/>
              </w:rPr>
              <w:t>Monitoring, verification and knowledge management</w:t>
            </w:r>
          </w:p>
        </w:tc>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B971216" w14:textId="77777777" w:rsidR="00C06B91" w:rsidRPr="00AF19E3" w:rsidRDefault="00C06B91" w:rsidP="000C4743">
            <w:pPr>
              <w:spacing w:after="0"/>
              <w:jc w:val="center"/>
              <w:rPr>
                <w:rFonts w:ascii="Times New Roman" w:hAnsi="Times New Roman"/>
                <w:color w:val="000000"/>
                <w:sz w:val="18"/>
                <w:szCs w:val="18"/>
                <w:lang w:eastAsia="en-GB"/>
              </w:rPr>
            </w:pPr>
            <w:r w:rsidRPr="00AF19E3">
              <w:rPr>
                <w:rFonts w:ascii="Times New Roman" w:hAnsi="Times New Roman"/>
                <w:color w:val="000000"/>
                <w:sz w:val="18"/>
                <w:szCs w:val="18"/>
                <w:lang w:eastAsia="en-GB"/>
              </w:rPr>
              <w:t>MRD</w:t>
            </w:r>
          </w:p>
        </w:tc>
        <w:tc>
          <w:tcPr>
            <w:tcW w:w="85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D9DBA19" w14:textId="77777777" w:rsidR="00C06B91" w:rsidRPr="00AF19E3" w:rsidRDefault="00C06B91" w:rsidP="000C4743">
            <w:pPr>
              <w:spacing w:after="0"/>
              <w:jc w:val="center"/>
              <w:rPr>
                <w:rFonts w:ascii="Times New Roman" w:hAnsi="Times New Roman"/>
                <w:color w:val="000000"/>
                <w:sz w:val="18"/>
                <w:szCs w:val="18"/>
                <w:lang w:eastAsia="en-GB"/>
              </w:rPr>
            </w:pPr>
            <w:r w:rsidRPr="00AF19E3">
              <w:rPr>
                <w:rFonts w:ascii="Times New Roman" w:hAnsi="Times New Roman"/>
                <w:color w:val="000000"/>
                <w:sz w:val="18"/>
                <w:szCs w:val="18"/>
                <w:lang w:eastAsia="en-GB"/>
              </w:rPr>
              <w:t>62000</w:t>
            </w:r>
          </w:p>
        </w:tc>
        <w:tc>
          <w:tcPr>
            <w:tcW w:w="708" w:type="dxa"/>
            <w:vMerge w:val="restart"/>
            <w:tcBorders>
              <w:top w:val="nil"/>
              <w:left w:val="single" w:sz="4" w:space="0" w:color="auto"/>
              <w:bottom w:val="single" w:sz="4" w:space="0" w:color="000000"/>
              <w:right w:val="single" w:sz="4" w:space="0" w:color="auto"/>
            </w:tcBorders>
            <w:shd w:val="clear" w:color="auto" w:fill="auto"/>
            <w:vAlign w:val="center"/>
            <w:hideMark/>
          </w:tcPr>
          <w:p w14:paraId="36F91E55" w14:textId="77777777" w:rsidR="00C06B91" w:rsidRPr="00AF19E3" w:rsidRDefault="00C06B91" w:rsidP="000C4743">
            <w:pPr>
              <w:spacing w:after="0"/>
              <w:jc w:val="center"/>
              <w:rPr>
                <w:rFonts w:ascii="Times New Roman" w:hAnsi="Times New Roman"/>
                <w:sz w:val="18"/>
                <w:szCs w:val="18"/>
                <w:lang w:eastAsia="en-GB"/>
              </w:rPr>
            </w:pPr>
            <w:r w:rsidRPr="00AF19E3">
              <w:rPr>
                <w:rFonts w:ascii="Times New Roman" w:hAnsi="Times New Roman"/>
                <w:sz w:val="18"/>
                <w:szCs w:val="18"/>
                <w:lang w:eastAsia="en-GB"/>
              </w:rPr>
              <w:t>GEF</w:t>
            </w:r>
          </w:p>
        </w:tc>
        <w:tc>
          <w:tcPr>
            <w:tcW w:w="993" w:type="dxa"/>
            <w:tcBorders>
              <w:top w:val="nil"/>
              <w:left w:val="nil"/>
              <w:bottom w:val="single" w:sz="4" w:space="0" w:color="auto"/>
              <w:right w:val="single" w:sz="4" w:space="0" w:color="auto"/>
            </w:tcBorders>
            <w:shd w:val="clear" w:color="auto" w:fill="auto"/>
            <w:vAlign w:val="center"/>
            <w:hideMark/>
          </w:tcPr>
          <w:p w14:paraId="0E0D8723" w14:textId="77777777" w:rsidR="00C06B91" w:rsidRPr="00AF19E3" w:rsidRDefault="00C06B91" w:rsidP="000C4743">
            <w:pPr>
              <w:spacing w:after="0"/>
              <w:jc w:val="center"/>
              <w:rPr>
                <w:rFonts w:ascii="Times New Roman" w:hAnsi="Times New Roman"/>
                <w:sz w:val="18"/>
                <w:szCs w:val="18"/>
                <w:lang w:eastAsia="en-GB"/>
              </w:rPr>
            </w:pPr>
            <w:r w:rsidRPr="00AF19E3">
              <w:rPr>
                <w:rFonts w:ascii="Times New Roman" w:hAnsi="Times New Roman"/>
                <w:sz w:val="18"/>
                <w:szCs w:val="18"/>
                <w:lang w:eastAsia="en-GB"/>
              </w:rPr>
              <w:t>71400</w:t>
            </w:r>
          </w:p>
        </w:tc>
        <w:tc>
          <w:tcPr>
            <w:tcW w:w="2126" w:type="dxa"/>
            <w:tcBorders>
              <w:top w:val="nil"/>
              <w:left w:val="nil"/>
              <w:bottom w:val="single" w:sz="4" w:space="0" w:color="auto"/>
              <w:right w:val="single" w:sz="4" w:space="0" w:color="auto"/>
            </w:tcBorders>
            <w:shd w:val="clear" w:color="auto" w:fill="auto"/>
            <w:noWrap/>
            <w:vAlign w:val="center"/>
            <w:hideMark/>
          </w:tcPr>
          <w:p w14:paraId="3805FE8A" w14:textId="77777777" w:rsidR="00C06B91" w:rsidRPr="00AF19E3" w:rsidRDefault="00C06B91" w:rsidP="000C4743">
            <w:pPr>
              <w:spacing w:after="0"/>
              <w:jc w:val="left"/>
              <w:rPr>
                <w:rFonts w:ascii="Times New Roman" w:hAnsi="Times New Roman"/>
                <w:sz w:val="18"/>
                <w:szCs w:val="18"/>
                <w:lang w:eastAsia="en-GB"/>
              </w:rPr>
            </w:pPr>
            <w:r w:rsidRPr="00AF19E3">
              <w:rPr>
                <w:rFonts w:ascii="Times New Roman" w:hAnsi="Times New Roman"/>
                <w:sz w:val="18"/>
                <w:szCs w:val="18"/>
                <w:lang w:eastAsia="en-GB"/>
              </w:rPr>
              <w:t>Project manager</w:t>
            </w:r>
          </w:p>
        </w:tc>
        <w:tc>
          <w:tcPr>
            <w:tcW w:w="1134" w:type="dxa"/>
            <w:tcBorders>
              <w:top w:val="nil"/>
              <w:left w:val="nil"/>
              <w:bottom w:val="single" w:sz="4" w:space="0" w:color="auto"/>
              <w:right w:val="single" w:sz="4" w:space="0" w:color="auto"/>
            </w:tcBorders>
            <w:shd w:val="clear" w:color="auto" w:fill="auto"/>
            <w:noWrap/>
            <w:vAlign w:val="bottom"/>
            <w:hideMark/>
          </w:tcPr>
          <w:p w14:paraId="5902D025" w14:textId="7B8BD8C2"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10,260</w:t>
            </w:r>
          </w:p>
        </w:tc>
        <w:tc>
          <w:tcPr>
            <w:tcW w:w="1134" w:type="dxa"/>
            <w:tcBorders>
              <w:top w:val="nil"/>
              <w:left w:val="nil"/>
              <w:bottom w:val="single" w:sz="4" w:space="0" w:color="auto"/>
              <w:right w:val="single" w:sz="4" w:space="0" w:color="auto"/>
            </w:tcBorders>
            <w:shd w:val="clear" w:color="auto" w:fill="auto"/>
            <w:noWrap/>
            <w:vAlign w:val="bottom"/>
            <w:hideMark/>
          </w:tcPr>
          <w:p w14:paraId="5BF7F761" w14:textId="1F3D8883"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10,260</w:t>
            </w:r>
          </w:p>
        </w:tc>
        <w:tc>
          <w:tcPr>
            <w:tcW w:w="1134" w:type="dxa"/>
            <w:tcBorders>
              <w:top w:val="nil"/>
              <w:left w:val="nil"/>
              <w:bottom w:val="single" w:sz="4" w:space="0" w:color="auto"/>
              <w:right w:val="single" w:sz="4" w:space="0" w:color="auto"/>
            </w:tcBorders>
            <w:shd w:val="clear" w:color="auto" w:fill="auto"/>
            <w:noWrap/>
            <w:vAlign w:val="bottom"/>
            <w:hideMark/>
          </w:tcPr>
          <w:p w14:paraId="52DA1935" w14:textId="31C78875"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15,390</w:t>
            </w:r>
          </w:p>
        </w:tc>
        <w:tc>
          <w:tcPr>
            <w:tcW w:w="992" w:type="dxa"/>
            <w:tcBorders>
              <w:top w:val="nil"/>
              <w:left w:val="nil"/>
              <w:bottom w:val="single" w:sz="4" w:space="0" w:color="auto"/>
              <w:right w:val="single" w:sz="4" w:space="0" w:color="auto"/>
            </w:tcBorders>
            <w:shd w:val="clear" w:color="auto" w:fill="auto"/>
            <w:noWrap/>
            <w:vAlign w:val="bottom"/>
            <w:hideMark/>
          </w:tcPr>
          <w:p w14:paraId="1405DF59" w14:textId="5348D495"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10,260</w:t>
            </w:r>
          </w:p>
        </w:tc>
        <w:tc>
          <w:tcPr>
            <w:tcW w:w="992" w:type="dxa"/>
            <w:tcBorders>
              <w:top w:val="nil"/>
              <w:left w:val="nil"/>
              <w:bottom w:val="single" w:sz="4" w:space="0" w:color="auto"/>
              <w:right w:val="single" w:sz="4" w:space="0" w:color="auto"/>
            </w:tcBorders>
            <w:shd w:val="clear" w:color="auto" w:fill="auto"/>
            <w:noWrap/>
            <w:vAlign w:val="bottom"/>
            <w:hideMark/>
          </w:tcPr>
          <w:p w14:paraId="40560BAF" w14:textId="04B2E4C3"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5,130</w:t>
            </w:r>
          </w:p>
        </w:tc>
        <w:tc>
          <w:tcPr>
            <w:tcW w:w="1134" w:type="dxa"/>
            <w:tcBorders>
              <w:top w:val="nil"/>
              <w:left w:val="nil"/>
              <w:bottom w:val="single" w:sz="4" w:space="0" w:color="auto"/>
              <w:right w:val="single" w:sz="4" w:space="0" w:color="auto"/>
            </w:tcBorders>
            <w:shd w:val="clear" w:color="auto" w:fill="auto"/>
            <w:noWrap/>
            <w:vAlign w:val="bottom"/>
            <w:hideMark/>
          </w:tcPr>
          <w:p w14:paraId="400B14D0" w14:textId="0F2DABBC"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51,300</w:t>
            </w:r>
          </w:p>
        </w:tc>
        <w:tc>
          <w:tcPr>
            <w:tcW w:w="851" w:type="dxa"/>
            <w:tcBorders>
              <w:top w:val="nil"/>
              <w:left w:val="nil"/>
              <w:bottom w:val="single" w:sz="4" w:space="0" w:color="auto"/>
              <w:right w:val="single" w:sz="4" w:space="0" w:color="auto"/>
            </w:tcBorders>
            <w:shd w:val="clear" w:color="auto" w:fill="auto"/>
            <w:noWrap/>
            <w:vAlign w:val="center"/>
            <w:hideMark/>
          </w:tcPr>
          <w:p w14:paraId="042A3A0C" w14:textId="77777777" w:rsidR="00C06B91" w:rsidRPr="00AF19E3" w:rsidRDefault="00C06B91" w:rsidP="000C4743">
            <w:pPr>
              <w:spacing w:after="0"/>
              <w:jc w:val="center"/>
              <w:rPr>
                <w:rFonts w:ascii="Times New Roman" w:hAnsi="Times New Roman"/>
                <w:color w:val="000000"/>
                <w:sz w:val="18"/>
                <w:szCs w:val="18"/>
                <w:lang w:eastAsia="en-GB"/>
              </w:rPr>
            </w:pPr>
            <w:r w:rsidRPr="00AF19E3">
              <w:rPr>
                <w:rFonts w:ascii="Times New Roman" w:hAnsi="Times New Roman"/>
                <w:color w:val="000000"/>
                <w:sz w:val="18"/>
                <w:szCs w:val="18"/>
                <w:lang w:eastAsia="en-GB"/>
              </w:rPr>
              <w:t>1 </w:t>
            </w:r>
          </w:p>
        </w:tc>
      </w:tr>
      <w:tr w:rsidR="00C06B91" w:rsidRPr="000C4743" w14:paraId="6136C891"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4BAF6E29" w14:textId="77777777" w:rsidR="00C06B91" w:rsidRPr="00AF19E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2421E90C" w14:textId="77777777" w:rsidR="00C06B91" w:rsidRPr="00AF19E3" w:rsidRDefault="00C06B91" w:rsidP="000C4743">
            <w:pPr>
              <w:spacing w:after="0"/>
              <w:jc w:val="left"/>
              <w:rPr>
                <w:rFonts w:ascii="Times New Roman" w:hAnsi="Times New Roman"/>
                <w:color w:val="000000"/>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43F63625" w14:textId="77777777" w:rsidR="00C06B91" w:rsidRPr="00AF19E3" w:rsidRDefault="00C06B91" w:rsidP="000C4743">
            <w:pPr>
              <w:spacing w:after="0"/>
              <w:jc w:val="left"/>
              <w:rPr>
                <w:rFonts w:ascii="Times New Roman" w:hAnsi="Times New Roman"/>
                <w:color w:val="000000"/>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5787F98A" w14:textId="77777777" w:rsidR="00C06B91" w:rsidRPr="00AF19E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167D03A5" w14:textId="77777777" w:rsidR="00C06B91" w:rsidRPr="00AF19E3" w:rsidRDefault="00C06B91" w:rsidP="000C4743">
            <w:pPr>
              <w:spacing w:after="0"/>
              <w:jc w:val="center"/>
              <w:rPr>
                <w:rFonts w:ascii="Times New Roman" w:hAnsi="Times New Roman"/>
                <w:sz w:val="18"/>
                <w:szCs w:val="18"/>
                <w:lang w:eastAsia="en-GB"/>
              </w:rPr>
            </w:pPr>
            <w:r w:rsidRPr="00AF19E3">
              <w:rPr>
                <w:rFonts w:ascii="Times New Roman" w:hAnsi="Times New Roman"/>
                <w:sz w:val="18"/>
                <w:szCs w:val="18"/>
                <w:lang w:eastAsia="en-GB"/>
              </w:rPr>
              <w:t>71200</w:t>
            </w:r>
          </w:p>
        </w:tc>
        <w:tc>
          <w:tcPr>
            <w:tcW w:w="2126" w:type="dxa"/>
            <w:tcBorders>
              <w:top w:val="nil"/>
              <w:left w:val="nil"/>
              <w:bottom w:val="single" w:sz="4" w:space="0" w:color="auto"/>
              <w:right w:val="single" w:sz="4" w:space="0" w:color="auto"/>
            </w:tcBorders>
            <w:shd w:val="clear" w:color="auto" w:fill="auto"/>
            <w:noWrap/>
            <w:vAlign w:val="center"/>
            <w:hideMark/>
          </w:tcPr>
          <w:p w14:paraId="5501829E" w14:textId="77777777" w:rsidR="00C06B91" w:rsidRPr="00AF19E3" w:rsidRDefault="00C06B91" w:rsidP="000C4743">
            <w:pPr>
              <w:spacing w:after="0"/>
              <w:jc w:val="left"/>
              <w:rPr>
                <w:rFonts w:ascii="Times New Roman" w:hAnsi="Times New Roman"/>
                <w:sz w:val="18"/>
                <w:szCs w:val="18"/>
                <w:lang w:eastAsia="en-GB"/>
              </w:rPr>
            </w:pPr>
            <w:r w:rsidRPr="00AF19E3">
              <w:rPr>
                <w:rFonts w:ascii="Times New Roman" w:hAnsi="Times New Roman"/>
                <w:sz w:val="18"/>
                <w:szCs w:val="18"/>
                <w:lang w:eastAsia="en-GB"/>
              </w:rPr>
              <w:t>International Consultants</w:t>
            </w:r>
          </w:p>
        </w:tc>
        <w:tc>
          <w:tcPr>
            <w:tcW w:w="1134" w:type="dxa"/>
            <w:tcBorders>
              <w:top w:val="nil"/>
              <w:left w:val="nil"/>
              <w:bottom w:val="single" w:sz="4" w:space="0" w:color="auto"/>
              <w:right w:val="single" w:sz="4" w:space="0" w:color="auto"/>
            </w:tcBorders>
            <w:shd w:val="clear" w:color="auto" w:fill="auto"/>
            <w:noWrap/>
            <w:vAlign w:val="bottom"/>
            <w:hideMark/>
          </w:tcPr>
          <w:p w14:paraId="35FCD1A6" w14:textId="3FFE71B3"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20,300</w:t>
            </w:r>
          </w:p>
        </w:tc>
        <w:tc>
          <w:tcPr>
            <w:tcW w:w="1134" w:type="dxa"/>
            <w:tcBorders>
              <w:top w:val="nil"/>
              <w:left w:val="nil"/>
              <w:bottom w:val="single" w:sz="4" w:space="0" w:color="auto"/>
              <w:right w:val="single" w:sz="4" w:space="0" w:color="auto"/>
            </w:tcBorders>
            <w:shd w:val="clear" w:color="auto" w:fill="auto"/>
            <w:noWrap/>
            <w:vAlign w:val="bottom"/>
            <w:hideMark/>
          </w:tcPr>
          <w:p w14:paraId="3F039683" w14:textId="4195BF5E"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20,300</w:t>
            </w:r>
          </w:p>
        </w:tc>
        <w:tc>
          <w:tcPr>
            <w:tcW w:w="1134" w:type="dxa"/>
            <w:tcBorders>
              <w:top w:val="nil"/>
              <w:left w:val="nil"/>
              <w:bottom w:val="single" w:sz="4" w:space="0" w:color="auto"/>
              <w:right w:val="single" w:sz="4" w:space="0" w:color="auto"/>
            </w:tcBorders>
            <w:shd w:val="clear" w:color="auto" w:fill="auto"/>
            <w:noWrap/>
            <w:vAlign w:val="bottom"/>
            <w:hideMark/>
          </w:tcPr>
          <w:p w14:paraId="07B1E4D4" w14:textId="7EF7BD81"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30,450</w:t>
            </w:r>
          </w:p>
        </w:tc>
        <w:tc>
          <w:tcPr>
            <w:tcW w:w="992" w:type="dxa"/>
            <w:tcBorders>
              <w:top w:val="nil"/>
              <w:left w:val="nil"/>
              <w:bottom w:val="single" w:sz="4" w:space="0" w:color="auto"/>
              <w:right w:val="single" w:sz="4" w:space="0" w:color="auto"/>
            </w:tcBorders>
            <w:shd w:val="clear" w:color="auto" w:fill="auto"/>
            <w:noWrap/>
            <w:vAlign w:val="bottom"/>
            <w:hideMark/>
          </w:tcPr>
          <w:p w14:paraId="4EA44632" w14:textId="5BAC8D07"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20,300</w:t>
            </w:r>
          </w:p>
        </w:tc>
        <w:tc>
          <w:tcPr>
            <w:tcW w:w="992" w:type="dxa"/>
            <w:tcBorders>
              <w:top w:val="nil"/>
              <w:left w:val="nil"/>
              <w:bottom w:val="single" w:sz="4" w:space="0" w:color="auto"/>
              <w:right w:val="single" w:sz="4" w:space="0" w:color="auto"/>
            </w:tcBorders>
            <w:shd w:val="clear" w:color="auto" w:fill="auto"/>
            <w:noWrap/>
            <w:vAlign w:val="bottom"/>
            <w:hideMark/>
          </w:tcPr>
          <w:p w14:paraId="0F25DA50" w14:textId="14694701"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10,150</w:t>
            </w:r>
          </w:p>
        </w:tc>
        <w:tc>
          <w:tcPr>
            <w:tcW w:w="1134" w:type="dxa"/>
            <w:tcBorders>
              <w:top w:val="nil"/>
              <w:left w:val="nil"/>
              <w:bottom w:val="single" w:sz="4" w:space="0" w:color="auto"/>
              <w:right w:val="single" w:sz="4" w:space="0" w:color="auto"/>
            </w:tcBorders>
            <w:shd w:val="clear" w:color="auto" w:fill="auto"/>
            <w:noWrap/>
            <w:vAlign w:val="bottom"/>
            <w:hideMark/>
          </w:tcPr>
          <w:p w14:paraId="3A34E2FD" w14:textId="0FCB61A9"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101,500</w:t>
            </w:r>
          </w:p>
        </w:tc>
        <w:tc>
          <w:tcPr>
            <w:tcW w:w="851" w:type="dxa"/>
            <w:tcBorders>
              <w:top w:val="nil"/>
              <w:left w:val="nil"/>
              <w:bottom w:val="single" w:sz="4" w:space="0" w:color="auto"/>
              <w:right w:val="single" w:sz="4" w:space="0" w:color="auto"/>
            </w:tcBorders>
            <w:shd w:val="clear" w:color="auto" w:fill="auto"/>
            <w:noWrap/>
            <w:vAlign w:val="center"/>
            <w:hideMark/>
          </w:tcPr>
          <w:p w14:paraId="19F4D908" w14:textId="77777777" w:rsidR="00C06B91" w:rsidRPr="00AF19E3" w:rsidRDefault="00C06B91" w:rsidP="000C4743">
            <w:pPr>
              <w:spacing w:after="0"/>
              <w:jc w:val="center"/>
              <w:rPr>
                <w:rFonts w:ascii="Times New Roman" w:hAnsi="Times New Roman"/>
                <w:color w:val="000000"/>
                <w:sz w:val="18"/>
                <w:szCs w:val="18"/>
                <w:lang w:eastAsia="en-GB"/>
              </w:rPr>
            </w:pPr>
            <w:r w:rsidRPr="00AF19E3">
              <w:rPr>
                <w:rFonts w:ascii="Times New Roman" w:hAnsi="Times New Roman"/>
                <w:color w:val="000000"/>
                <w:sz w:val="18"/>
                <w:szCs w:val="18"/>
                <w:lang w:eastAsia="en-GB"/>
              </w:rPr>
              <w:t>2 </w:t>
            </w:r>
          </w:p>
        </w:tc>
      </w:tr>
      <w:tr w:rsidR="00C06B91" w:rsidRPr="000C4743" w14:paraId="53C7BF07"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0DB95984" w14:textId="77777777" w:rsidR="00C06B91" w:rsidRPr="00AF19E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1AABD394" w14:textId="77777777" w:rsidR="00C06B91" w:rsidRPr="00AF19E3" w:rsidRDefault="00C06B91" w:rsidP="000C4743">
            <w:pPr>
              <w:spacing w:after="0"/>
              <w:jc w:val="left"/>
              <w:rPr>
                <w:rFonts w:ascii="Times New Roman" w:hAnsi="Times New Roman"/>
                <w:color w:val="000000"/>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4CE09833" w14:textId="77777777" w:rsidR="00C06B91" w:rsidRPr="00AF19E3" w:rsidRDefault="00C06B91" w:rsidP="000C4743">
            <w:pPr>
              <w:spacing w:after="0"/>
              <w:jc w:val="left"/>
              <w:rPr>
                <w:rFonts w:ascii="Times New Roman" w:hAnsi="Times New Roman"/>
                <w:color w:val="000000"/>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5F3BC8A6" w14:textId="77777777" w:rsidR="00C06B91" w:rsidRPr="00AF19E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138D6645" w14:textId="77777777" w:rsidR="00C06B91" w:rsidRPr="00AF19E3" w:rsidRDefault="00C06B91" w:rsidP="000C4743">
            <w:pPr>
              <w:spacing w:after="0"/>
              <w:jc w:val="center"/>
              <w:rPr>
                <w:rFonts w:ascii="Times New Roman" w:hAnsi="Times New Roman"/>
                <w:sz w:val="18"/>
                <w:szCs w:val="18"/>
                <w:lang w:eastAsia="en-GB"/>
              </w:rPr>
            </w:pPr>
            <w:r w:rsidRPr="00AF19E3">
              <w:rPr>
                <w:rFonts w:ascii="Times New Roman" w:hAnsi="Times New Roman"/>
                <w:sz w:val="18"/>
                <w:szCs w:val="18"/>
                <w:lang w:eastAsia="en-GB"/>
              </w:rPr>
              <w:t>71300</w:t>
            </w:r>
          </w:p>
        </w:tc>
        <w:tc>
          <w:tcPr>
            <w:tcW w:w="2126" w:type="dxa"/>
            <w:tcBorders>
              <w:top w:val="nil"/>
              <w:left w:val="nil"/>
              <w:bottom w:val="single" w:sz="4" w:space="0" w:color="auto"/>
              <w:right w:val="single" w:sz="4" w:space="0" w:color="auto"/>
            </w:tcBorders>
            <w:shd w:val="clear" w:color="auto" w:fill="auto"/>
            <w:noWrap/>
            <w:vAlign w:val="center"/>
            <w:hideMark/>
          </w:tcPr>
          <w:p w14:paraId="32991000" w14:textId="77777777" w:rsidR="00C06B91" w:rsidRPr="00AF19E3" w:rsidRDefault="00C06B91" w:rsidP="000C4743">
            <w:pPr>
              <w:spacing w:after="0"/>
              <w:jc w:val="left"/>
              <w:rPr>
                <w:rFonts w:ascii="Times New Roman" w:hAnsi="Times New Roman"/>
                <w:sz w:val="18"/>
                <w:szCs w:val="18"/>
                <w:lang w:eastAsia="en-GB"/>
              </w:rPr>
            </w:pPr>
            <w:r w:rsidRPr="00AF19E3">
              <w:rPr>
                <w:rFonts w:ascii="Times New Roman" w:hAnsi="Times New Roman"/>
                <w:sz w:val="18"/>
                <w:szCs w:val="18"/>
                <w:lang w:eastAsia="en-GB"/>
              </w:rPr>
              <w:t>Local Consultants</w:t>
            </w:r>
          </w:p>
        </w:tc>
        <w:tc>
          <w:tcPr>
            <w:tcW w:w="1134" w:type="dxa"/>
            <w:tcBorders>
              <w:top w:val="nil"/>
              <w:left w:val="nil"/>
              <w:bottom w:val="single" w:sz="4" w:space="0" w:color="auto"/>
              <w:right w:val="single" w:sz="4" w:space="0" w:color="auto"/>
            </w:tcBorders>
            <w:shd w:val="clear" w:color="auto" w:fill="auto"/>
            <w:noWrap/>
            <w:vAlign w:val="bottom"/>
            <w:hideMark/>
          </w:tcPr>
          <w:p w14:paraId="3507ACE9" w14:textId="0A6505B8"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36,020</w:t>
            </w:r>
          </w:p>
        </w:tc>
        <w:tc>
          <w:tcPr>
            <w:tcW w:w="1134" w:type="dxa"/>
            <w:tcBorders>
              <w:top w:val="nil"/>
              <w:left w:val="nil"/>
              <w:bottom w:val="single" w:sz="4" w:space="0" w:color="auto"/>
              <w:right w:val="single" w:sz="4" w:space="0" w:color="auto"/>
            </w:tcBorders>
            <w:shd w:val="clear" w:color="auto" w:fill="auto"/>
            <w:noWrap/>
            <w:vAlign w:val="bottom"/>
            <w:hideMark/>
          </w:tcPr>
          <w:p w14:paraId="0281497B" w14:textId="6E599CDA"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36,020</w:t>
            </w:r>
          </w:p>
        </w:tc>
        <w:tc>
          <w:tcPr>
            <w:tcW w:w="1134" w:type="dxa"/>
            <w:tcBorders>
              <w:top w:val="nil"/>
              <w:left w:val="nil"/>
              <w:bottom w:val="single" w:sz="4" w:space="0" w:color="auto"/>
              <w:right w:val="single" w:sz="4" w:space="0" w:color="auto"/>
            </w:tcBorders>
            <w:shd w:val="clear" w:color="auto" w:fill="auto"/>
            <w:noWrap/>
            <w:vAlign w:val="bottom"/>
            <w:hideMark/>
          </w:tcPr>
          <w:p w14:paraId="34EC9733" w14:textId="70FEC86C"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54,030</w:t>
            </w:r>
          </w:p>
        </w:tc>
        <w:tc>
          <w:tcPr>
            <w:tcW w:w="992" w:type="dxa"/>
            <w:tcBorders>
              <w:top w:val="nil"/>
              <w:left w:val="nil"/>
              <w:bottom w:val="single" w:sz="4" w:space="0" w:color="auto"/>
              <w:right w:val="single" w:sz="4" w:space="0" w:color="auto"/>
            </w:tcBorders>
            <w:shd w:val="clear" w:color="auto" w:fill="auto"/>
            <w:noWrap/>
            <w:vAlign w:val="bottom"/>
            <w:hideMark/>
          </w:tcPr>
          <w:p w14:paraId="73715D1D" w14:textId="5153CD3B"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36,020</w:t>
            </w:r>
          </w:p>
        </w:tc>
        <w:tc>
          <w:tcPr>
            <w:tcW w:w="992" w:type="dxa"/>
            <w:tcBorders>
              <w:top w:val="nil"/>
              <w:left w:val="nil"/>
              <w:bottom w:val="single" w:sz="4" w:space="0" w:color="auto"/>
              <w:right w:val="single" w:sz="4" w:space="0" w:color="auto"/>
            </w:tcBorders>
            <w:shd w:val="clear" w:color="auto" w:fill="auto"/>
            <w:noWrap/>
            <w:vAlign w:val="bottom"/>
            <w:hideMark/>
          </w:tcPr>
          <w:p w14:paraId="5F0E0D5B" w14:textId="5607953D"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18,010</w:t>
            </w:r>
          </w:p>
        </w:tc>
        <w:tc>
          <w:tcPr>
            <w:tcW w:w="1134" w:type="dxa"/>
            <w:tcBorders>
              <w:top w:val="nil"/>
              <w:left w:val="nil"/>
              <w:bottom w:val="single" w:sz="4" w:space="0" w:color="auto"/>
              <w:right w:val="single" w:sz="4" w:space="0" w:color="auto"/>
            </w:tcBorders>
            <w:shd w:val="clear" w:color="auto" w:fill="auto"/>
            <w:noWrap/>
            <w:vAlign w:val="bottom"/>
            <w:hideMark/>
          </w:tcPr>
          <w:p w14:paraId="39234496" w14:textId="0825B87C"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180,100</w:t>
            </w:r>
          </w:p>
        </w:tc>
        <w:tc>
          <w:tcPr>
            <w:tcW w:w="851" w:type="dxa"/>
            <w:tcBorders>
              <w:top w:val="nil"/>
              <w:left w:val="nil"/>
              <w:bottom w:val="single" w:sz="4" w:space="0" w:color="auto"/>
              <w:right w:val="single" w:sz="4" w:space="0" w:color="auto"/>
            </w:tcBorders>
            <w:shd w:val="clear" w:color="auto" w:fill="auto"/>
            <w:noWrap/>
            <w:vAlign w:val="center"/>
            <w:hideMark/>
          </w:tcPr>
          <w:p w14:paraId="190AF0E2" w14:textId="77777777" w:rsidR="00C06B91" w:rsidRPr="00AF19E3" w:rsidRDefault="00C06B91" w:rsidP="000C4743">
            <w:pPr>
              <w:spacing w:after="0"/>
              <w:jc w:val="center"/>
              <w:rPr>
                <w:rFonts w:ascii="Times New Roman" w:hAnsi="Times New Roman"/>
                <w:color w:val="000000"/>
                <w:sz w:val="18"/>
                <w:szCs w:val="18"/>
                <w:lang w:eastAsia="en-GB"/>
              </w:rPr>
            </w:pPr>
            <w:r w:rsidRPr="00AF19E3">
              <w:rPr>
                <w:rFonts w:ascii="Times New Roman" w:hAnsi="Times New Roman"/>
                <w:color w:val="000000"/>
                <w:sz w:val="18"/>
                <w:szCs w:val="18"/>
                <w:lang w:eastAsia="en-GB"/>
              </w:rPr>
              <w:t>3</w:t>
            </w:r>
          </w:p>
        </w:tc>
      </w:tr>
      <w:tr w:rsidR="00C06B91" w:rsidRPr="000C4743" w14:paraId="0756375D"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30F860D6" w14:textId="77777777" w:rsidR="00C06B91" w:rsidRPr="00AF19E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43A7BDCB" w14:textId="77777777" w:rsidR="00C06B91" w:rsidRPr="00AF19E3" w:rsidRDefault="00C06B91" w:rsidP="000C4743">
            <w:pPr>
              <w:spacing w:after="0"/>
              <w:jc w:val="left"/>
              <w:rPr>
                <w:rFonts w:ascii="Times New Roman" w:hAnsi="Times New Roman"/>
                <w:color w:val="000000"/>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1528FC9A" w14:textId="77777777" w:rsidR="00C06B91" w:rsidRPr="00AF19E3" w:rsidRDefault="00C06B91" w:rsidP="000C4743">
            <w:pPr>
              <w:spacing w:after="0"/>
              <w:jc w:val="left"/>
              <w:rPr>
                <w:rFonts w:ascii="Times New Roman" w:hAnsi="Times New Roman"/>
                <w:color w:val="000000"/>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606F49FA" w14:textId="77777777" w:rsidR="00C06B91" w:rsidRPr="00AF19E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2875F834" w14:textId="77777777" w:rsidR="00C06B91" w:rsidRPr="00AF19E3" w:rsidRDefault="00C06B91" w:rsidP="000C4743">
            <w:pPr>
              <w:spacing w:after="0"/>
              <w:jc w:val="center"/>
              <w:rPr>
                <w:rFonts w:ascii="Times New Roman" w:hAnsi="Times New Roman"/>
                <w:sz w:val="18"/>
                <w:szCs w:val="18"/>
                <w:lang w:eastAsia="en-GB"/>
              </w:rPr>
            </w:pPr>
            <w:r w:rsidRPr="00AF19E3">
              <w:rPr>
                <w:rFonts w:ascii="Times New Roman" w:hAnsi="Times New Roman"/>
                <w:sz w:val="18"/>
                <w:szCs w:val="18"/>
                <w:lang w:eastAsia="en-GB"/>
              </w:rPr>
              <w:t>72100</w:t>
            </w:r>
          </w:p>
        </w:tc>
        <w:tc>
          <w:tcPr>
            <w:tcW w:w="2126" w:type="dxa"/>
            <w:tcBorders>
              <w:top w:val="nil"/>
              <w:left w:val="nil"/>
              <w:bottom w:val="single" w:sz="4" w:space="0" w:color="auto"/>
              <w:right w:val="single" w:sz="4" w:space="0" w:color="auto"/>
            </w:tcBorders>
            <w:shd w:val="clear" w:color="auto" w:fill="auto"/>
            <w:noWrap/>
            <w:vAlign w:val="center"/>
            <w:hideMark/>
          </w:tcPr>
          <w:p w14:paraId="50BFAA72" w14:textId="77777777" w:rsidR="00C06B91" w:rsidRPr="00AF19E3" w:rsidRDefault="00C06B91" w:rsidP="000C4743">
            <w:pPr>
              <w:spacing w:after="0"/>
              <w:jc w:val="left"/>
              <w:rPr>
                <w:rFonts w:ascii="Times New Roman" w:hAnsi="Times New Roman"/>
                <w:sz w:val="18"/>
                <w:szCs w:val="18"/>
                <w:lang w:eastAsia="en-GB"/>
              </w:rPr>
            </w:pPr>
            <w:r w:rsidRPr="00AF19E3">
              <w:rPr>
                <w:rFonts w:ascii="Times New Roman" w:hAnsi="Times New Roman"/>
                <w:sz w:val="18"/>
                <w:szCs w:val="18"/>
                <w:lang w:eastAsia="en-GB"/>
              </w:rPr>
              <w:t>Contractual Services - Companies</w:t>
            </w:r>
          </w:p>
        </w:tc>
        <w:tc>
          <w:tcPr>
            <w:tcW w:w="1134" w:type="dxa"/>
            <w:tcBorders>
              <w:top w:val="nil"/>
              <w:left w:val="nil"/>
              <w:bottom w:val="single" w:sz="4" w:space="0" w:color="auto"/>
              <w:right w:val="single" w:sz="4" w:space="0" w:color="auto"/>
            </w:tcBorders>
            <w:shd w:val="clear" w:color="auto" w:fill="auto"/>
            <w:noWrap/>
            <w:vAlign w:val="bottom"/>
            <w:hideMark/>
          </w:tcPr>
          <w:p w14:paraId="63FAC329" w14:textId="1E2B22CE"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15,000</w:t>
            </w:r>
          </w:p>
        </w:tc>
        <w:tc>
          <w:tcPr>
            <w:tcW w:w="1134" w:type="dxa"/>
            <w:tcBorders>
              <w:top w:val="nil"/>
              <w:left w:val="nil"/>
              <w:bottom w:val="single" w:sz="4" w:space="0" w:color="auto"/>
              <w:right w:val="single" w:sz="4" w:space="0" w:color="auto"/>
            </w:tcBorders>
            <w:shd w:val="clear" w:color="auto" w:fill="auto"/>
            <w:noWrap/>
            <w:vAlign w:val="bottom"/>
            <w:hideMark/>
          </w:tcPr>
          <w:p w14:paraId="261DDD61" w14:textId="5B22A19B"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15,000</w:t>
            </w:r>
          </w:p>
        </w:tc>
        <w:tc>
          <w:tcPr>
            <w:tcW w:w="1134" w:type="dxa"/>
            <w:tcBorders>
              <w:top w:val="nil"/>
              <w:left w:val="nil"/>
              <w:bottom w:val="single" w:sz="4" w:space="0" w:color="auto"/>
              <w:right w:val="single" w:sz="4" w:space="0" w:color="auto"/>
            </w:tcBorders>
            <w:shd w:val="clear" w:color="auto" w:fill="auto"/>
            <w:noWrap/>
            <w:vAlign w:val="bottom"/>
            <w:hideMark/>
          </w:tcPr>
          <w:p w14:paraId="62C291C7" w14:textId="14F5F9A5"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22,500</w:t>
            </w:r>
          </w:p>
        </w:tc>
        <w:tc>
          <w:tcPr>
            <w:tcW w:w="992" w:type="dxa"/>
            <w:tcBorders>
              <w:top w:val="nil"/>
              <w:left w:val="nil"/>
              <w:bottom w:val="single" w:sz="4" w:space="0" w:color="auto"/>
              <w:right w:val="single" w:sz="4" w:space="0" w:color="auto"/>
            </w:tcBorders>
            <w:shd w:val="clear" w:color="auto" w:fill="auto"/>
            <w:noWrap/>
            <w:vAlign w:val="bottom"/>
            <w:hideMark/>
          </w:tcPr>
          <w:p w14:paraId="5D5F5A54" w14:textId="5D629750"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15,000</w:t>
            </w:r>
          </w:p>
        </w:tc>
        <w:tc>
          <w:tcPr>
            <w:tcW w:w="992" w:type="dxa"/>
            <w:tcBorders>
              <w:top w:val="nil"/>
              <w:left w:val="nil"/>
              <w:bottom w:val="single" w:sz="4" w:space="0" w:color="auto"/>
              <w:right w:val="single" w:sz="4" w:space="0" w:color="auto"/>
            </w:tcBorders>
            <w:shd w:val="clear" w:color="auto" w:fill="auto"/>
            <w:noWrap/>
            <w:vAlign w:val="bottom"/>
            <w:hideMark/>
          </w:tcPr>
          <w:p w14:paraId="2E193CF5" w14:textId="6BF30D83"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7,500</w:t>
            </w:r>
          </w:p>
        </w:tc>
        <w:tc>
          <w:tcPr>
            <w:tcW w:w="1134" w:type="dxa"/>
            <w:tcBorders>
              <w:top w:val="nil"/>
              <w:left w:val="nil"/>
              <w:bottom w:val="single" w:sz="4" w:space="0" w:color="auto"/>
              <w:right w:val="single" w:sz="4" w:space="0" w:color="auto"/>
            </w:tcBorders>
            <w:shd w:val="clear" w:color="auto" w:fill="auto"/>
            <w:noWrap/>
            <w:vAlign w:val="bottom"/>
            <w:hideMark/>
          </w:tcPr>
          <w:p w14:paraId="194440D3" w14:textId="32B336FF"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75,000</w:t>
            </w:r>
          </w:p>
        </w:tc>
        <w:tc>
          <w:tcPr>
            <w:tcW w:w="851" w:type="dxa"/>
            <w:tcBorders>
              <w:top w:val="nil"/>
              <w:left w:val="nil"/>
              <w:bottom w:val="single" w:sz="4" w:space="0" w:color="auto"/>
              <w:right w:val="single" w:sz="4" w:space="0" w:color="auto"/>
            </w:tcBorders>
            <w:shd w:val="clear" w:color="auto" w:fill="auto"/>
            <w:noWrap/>
            <w:vAlign w:val="center"/>
            <w:hideMark/>
          </w:tcPr>
          <w:p w14:paraId="6A778C82" w14:textId="77777777" w:rsidR="00C06B91" w:rsidRPr="00AF19E3" w:rsidRDefault="00C06B91" w:rsidP="000C4743">
            <w:pPr>
              <w:spacing w:after="0"/>
              <w:jc w:val="center"/>
              <w:rPr>
                <w:rFonts w:ascii="Times New Roman" w:hAnsi="Times New Roman"/>
                <w:color w:val="000000"/>
                <w:sz w:val="18"/>
                <w:szCs w:val="18"/>
                <w:lang w:eastAsia="en-GB"/>
              </w:rPr>
            </w:pPr>
            <w:r w:rsidRPr="00AF19E3">
              <w:rPr>
                <w:rFonts w:ascii="Times New Roman" w:hAnsi="Times New Roman"/>
                <w:color w:val="000000"/>
                <w:sz w:val="18"/>
                <w:szCs w:val="18"/>
                <w:lang w:eastAsia="en-GB"/>
              </w:rPr>
              <w:t>4</w:t>
            </w:r>
          </w:p>
        </w:tc>
      </w:tr>
      <w:tr w:rsidR="00C06B91" w:rsidRPr="000C4743" w14:paraId="04E72962"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11969FFD" w14:textId="77777777" w:rsidR="00C06B91" w:rsidRPr="00AF19E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5A845F09" w14:textId="77777777" w:rsidR="00C06B91" w:rsidRPr="00AF19E3" w:rsidRDefault="00C06B91" w:rsidP="000C4743">
            <w:pPr>
              <w:spacing w:after="0"/>
              <w:jc w:val="left"/>
              <w:rPr>
                <w:rFonts w:ascii="Times New Roman" w:hAnsi="Times New Roman"/>
                <w:color w:val="000000"/>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233EC9F7" w14:textId="77777777" w:rsidR="00C06B91" w:rsidRPr="00AF19E3" w:rsidRDefault="00C06B91" w:rsidP="000C4743">
            <w:pPr>
              <w:spacing w:after="0"/>
              <w:jc w:val="left"/>
              <w:rPr>
                <w:rFonts w:ascii="Times New Roman" w:hAnsi="Times New Roman"/>
                <w:color w:val="000000"/>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3AD6DF93" w14:textId="77777777" w:rsidR="00C06B91" w:rsidRPr="00AF19E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604BD1E2" w14:textId="77777777" w:rsidR="00C06B91" w:rsidRPr="00AF19E3" w:rsidRDefault="00C06B91" w:rsidP="000C4743">
            <w:pPr>
              <w:spacing w:after="0"/>
              <w:jc w:val="center"/>
              <w:rPr>
                <w:rFonts w:ascii="Times New Roman" w:hAnsi="Times New Roman"/>
                <w:sz w:val="18"/>
                <w:szCs w:val="18"/>
                <w:lang w:eastAsia="en-GB"/>
              </w:rPr>
            </w:pPr>
            <w:r w:rsidRPr="00AF19E3">
              <w:rPr>
                <w:rFonts w:ascii="Times New Roman" w:hAnsi="Times New Roman"/>
                <w:sz w:val="18"/>
                <w:szCs w:val="18"/>
                <w:lang w:eastAsia="en-GB"/>
              </w:rPr>
              <w:t>71600</w:t>
            </w:r>
          </w:p>
        </w:tc>
        <w:tc>
          <w:tcPr>
            <w:tcW w:w="2126" w:type="dxa"/>
            <w:tcBorders>
              <w:top w:val="nil"/>
              <w:left w:val="nil"/>
              <w:bottom w:val="single" w:sz="4" w:space="0" w:color="auto"/>
              <w:right w:val="single" w:sz="4" w:space="0" w:color="auto"/>
            </w:tcBorders>
            <w:shd w:val="clear" w:color="auto" w:fill="auto"/>
            <w:noWrap/>
            <w:vAlign w:val="center"/>
            <w:hideMark/>
          </w:tcPr>
          <w:p w14:paraId="57BFAFE1" w14:textId="77777777" w:rsidR="00C06B91" w:rsidRPr="00AF19E3" w:rsidRDefault="00C06B91" w:rsidP="000C4743">
            <w:pPr>
              <w:spacing w:after="0"/>
              <w:jc w:val="left"/>
              <w:rPr>
                <w:rFonts w:ascii="Times New Roman" w:hAnsi="Times New Roman"/>
                <w:sz w:val="18"/>
                <w:szCs w:val="18"/>
                <w:lang w:eastAsia="en-GB"/>
              </w:rPr>
            </w:pPr>
            <w:r w:rsidRPr="00AF19E3">
              <w:rPr>
                <w:rFonts w:ascii="Times New Roman" w:hAnsi="Times New Roman"/>
                <w:sz w:val="18"/>
                <w:szCs w:val="18"/>
                <w:lang w:eastAsia="en-GB"/>
              </w:rPr>
              <w:t>Travel</w:t>
            </w:r>
          </w:p>
        </w:tc>
        <w:tc>
          <w:tcPr>
            <w:tcW w:w="1134" w:type="dxa"/>
            <w:tcBorders>
              <w:top w:val="nil"/>
              <w:left w:val="nil"/>
              <w:bottom w:val="single" w:sz="4" w:space="0" w:color="auto"/>
              <w:right w:val="single" w:sz="4" w:space="0" w:color="auto"/>
            </w:tcBorders>
            <w:shd w:val="clear" w:color="auto" w:fill="auto"/>
            <w:noWrap/>
            <w:vAlign w:val="bottom"/>
            <w:hideMark/>
          </w:tcPr>
          <w:p w14:paraId="6FCB3057" w14:textId="752CD7B1"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19,768</w:t>
            </w:r>
          </w:p>
        </w:tc>
        <w:tc>
          <w:tcPr>
            <w:tcW w:w="1134" w:type="dxa"/>
            <w:tcBorders>
              <w:top w:val="nil"/>
              <w:left w:val="nil"/>
              <w:bottom w:val="single" w:sz="4" w:space="0" w:color="auto"/>
              <w:right w:val="single" w:sz="4" w:space="0" w:color="auto"/>
            </w:tcBorders>
            <w:shd w:val="clear" w:color="auto" w:fill="auto"/>
            <w:noWrap/>
            <w:vAlign w:val="bottom"/>
            <w:hideMark/>
          </w:tcPr>
          <w:p w14:paraId="610A5F22" w14:textId="5A1EC5BB"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19,768</w:t>
            </w:r>
          </w:p>
        </w:tc>
        <w:tc>
          <w:tcPr>
            <w:tcW w:w="1134" w:type="dxa"/>
            <w:tcBorders>
              <w:top w:val="nil"/>
              <w:left w:val="nil"/>
              <w:bottom w:val="single" w:sz="4" w:space="0" w:color="auto"/>
              <w:right w:val="single" w:sz="4" w:space="0" w:color="auto"/>
            </w:tcBorders>
            <w:shd w:val="clear" w:color="auto" w:fill="auto"/>
            <w:noWrap/>
            <w:vAlign w:val="bottom"/>
            <w:hideMark/>
          </w:tcPr>
          <w:p w14:paraId="65F079FC" w14:textId="0365D7AD"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29,652</w:t>
            </w:r>
          </w:p>
        </w:tc>
        <w:tc>
          <w:tcPr>
            <w:tcW w:w="992" w:type="dxa"/>
            <w:tcBorders>
              <w:top w:val="nil"/>
              <w:left w:val="nil"/>
              <w:bottom w:val="single" w:sz="4" w:space="0" w:color="auto"/>
              <w:right w:val="single" w:sz="4" w:space="0" w:color="auto"/>
            </w:tcBorders>
            <w:shd w:val="clear" w:color="auto" w:fill="auto"/>
            <w:noWrap/>
            <w:vAlign w:val="bottom"/>
            <w:hideMark/>
          </w:tcPr>
          <w:p w14:paraId="5584A232" w14:textId="78AEC405"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19,768</w:t>
            </w:r>
          </w:p>
        </w:tc>
        <w:tc>
          <w:tcPr>
            <w:tcW w:w="992" w:type="dxa"/>
            <w:tcBorders>
              <w:top w:val="nil"/>
              <w:left w:val="nil"/>
              <w:bottom w:val="single" w:sz="4" w:space="0" w:color="auto"/>
              <w:right w:val="single" w:sz="4" w:space="0" w:color="auto"/>
            </w:tcBorders>
            <w:shd w:val="clear" w:color="auto" w:fill="auto"/>
            <w:noWrap/>
            <w:vAlign w:val="bottom"/>
            <w:hideMark/>
          </w:tcPr>
          <w:p w14:paraId="5C4F3659" w14:textId="79C3A03D"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9,884</w:t>
            </w:r>
          </w:p>
        </w:tc>
        <w:tc>
          <w:tcPr>
            <w:tcW w:w="1134" w:type="dxa"/>
            <w:tcBorders>
              <w:top w:val="nil"/>
              <w:left w:val="nil"/>
              <w:bottom w:val="single" w:sz="4" w:space="0" w:color="auto"/>
              <w:right w:val="single" w:sz="4" w:space="0" w:color="auto"/>
            </w:tcBorders>
            <w:shd w:val="clear" w:color="auto" w:fill="auto"/>
            <w:noWrap/>
            <w:vAlign w:val="bottom"/>
            <w:hideMark/>
          </w:tcPr>
          <w:p w14:paraId="65E4DA88" w14:textId="2105EEAE"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98,840</w:t>
            </w:r>
          </w:p>
        </w:tc>
        <w:tc>
          <w:tcPr>
            <w:tcW w:w="851" w:type="dxa"/>
            <w:tcBorders>
              <w:top w:val="nil"/>
              <w:left w:val="nil"/>
              <w:bottom w:val="single" w:sz="4" w:space="0" w:color="auto"/>
              <w:right w:val="single" w:sz="4" w:space="0" w:color="auto"/>
            </w:tcBorders>
            <w:shd w:val="clear" w:color="auto" w:fill="auto"/>
            <w:noWrap/>
            <w:vAlign w:val="center"/>
            <w:hideMark/>
          </w:tcPr>
          <w:p w14:paraId="17A08A52" w14:textId="77777777" w:rsidR="00C06B91" w:rsidRPr="00AF19E3" w:rsidRDefault="00C06B91" w:rsidP="000C4743">
            <w:pPr>
              <w:spacing w:after="0"/>
              <w:jc w:val="center"/>
              <w:rPr>
                <w:rFonts w:ascii="Times New Roman" w:hAnsi="Times New Roman"/>
                <w:color w:val="000000"/>
                <w:sz w:val="18"/>
                <w:szCs w:val="18"/>
                <w:lang w:eastAsia="en-GB"/>
              </w:rPr>
            </w:pPr>
            <w:r w:rsidRPr="00AF19E3">
              <w:rPr>
                <w:rFonts w:ascii="Times New Roman" w:hAnsi="Times New Roman"/>
                <w:color w:val="000000"/>
                <w:sz w:val="18"/>
                <w:szCs w:val="18"/>
                <w:lang w:eastAsia="en-GB"/>
              </w:rPr>
              <w:t>5</w:t>
            </w:r>
          </w:p>
        </w:tc>
      </w:tr>
      <w:tr w:rsidR="00C06B91" w:rsidRPr="000C4743" w14:paraId="6309F546"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332B53EB" w14:textId="77777777" w:rsidR="00C06B91" w:rsidRPr="00AF19E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203F2482" w14:textId="77777777" w:rsidR="00C06B91" w:rsidRPr="00AF19E3" w:rsidRDefault="00C06B91" w:rsidP="000C4743">
            <w:pPr>
              <w:spacing w:after="0"/>
              <w:jc w:val="left"/>
              <w:rPr>
                <w:rFonts w:ascii="Times New Roman" w:hAnsi="Times New Roman"/>
                <w:color w:val="000000"/>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3168434E" w14:textId="77777777" w:rsidR="00C06B91" w:rsidRPr="00AF19E3" w:rsidRDefault="00C06B91" w:rsidP="000C4743">
            <w:pPr>
              <w:spacing w:after="0"/>
              <w:jc w:val="left"/>
              <w:rPr>
                <w:rFonts w:ascii="Times New Roman" w:hAnsi="Times New Roman"/>
                <w:color w:val="000000"/>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07EAC408" w14:textId="77777777" w:rsidR="00C06B91" w:rsidRPr="00AF19E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546F1F54" w14:textId="77777777" w:rsidR="00C06B91" w:rsidRPr="00AF19E3" w:rsidRDefault="00C06B91" w:rsidP="000C4743">
            <w:pPr>
              <w:spacing w:after="0"/>
              <w:jc w:val="center"/>
              <w:rPr>
                <w:rFonts w:ascii="Times New Roman" w:hAnsi="Times New Roman"/>
                <w:sz w:val="18"/>
                <w:szCs w:val="18"/>
                <w:lang w:eastAsia="en-GB"/>
              </w:rPr>
            </w:pPr>
            <w:r w:rsidRPr="00AF19E3">
              <w:rPr>
                <w:rFonts w:ascii="Times New Roman" w:hAnsi="Times New Roman"/>
                <w:sz w:val="18"/>
                <w:szCs w:val="18"/>
                <w:lang w:eastAsia="en-GB"/>
              </w:rPr>
              <w:t>72400</w:t>
            </w:r>
          </w:p>
        </w:tc>
        <w:tc>
          <w:tcPr>
            <w:tcW w:w="2126" w:type="dxa"/>
            <w:tcBorders>
              <w:top w:val="nil"/>
              <w:left w:val="nil"/>
              <w:bottom w:val="single" w:sz="4" w:space="0" w:color="auto"/>
              <w:right w:val="single" w:sz="4" w:space="0" w:color="auto"/>
            </w:tcBorders>
            <w:shd w:val="clear" w:color="auto" w:fill="auto"/>
            <w:noWrap/>
            <w:vAlign w:val="center"/>
            <w:hideMark/>
          </w:tcPr>
          <w:p w14:paraId="4611AABD" w14:textId="77777777" w:rsidR="00C06B91" w:rsidRPr="00AF19E3" w:rsidRDefault="00C06B91" w:rsidP="000C4743">
            <w:pPr>
              <w:spacing w:after="0"/>
              <w:jc w:val="left"/>
              <w:rPr>
                <w:rFonts w:ascii="Times New Roman" w:hAnsi="Times New Roman"/>
                <w:sz w:val="18"/>
                <w:szCs w:val="18"/>
                <w:lang w:eastAsia="en-GB"/>
              </w:rPr>
            </w:pPr>
            <w:r w:rsidRPr="00AF19E3">
              <w:rPr>
                <w:rFonts w:ascii="Times New Roman" w:hAnsi="Times New Roman"/>
                <w:sz w:val="18"/>
                <w:szCs w:val="18"/>
                <w:lang w:eastAsia="en-GB"/>
              </w:rPr>
              <w:t>Communications &amp; Publications</w:t>
            </w:r>
          </w:p>
        </w:tc>
        <w:tc>
          <w:tcPr>
            <w:tcW w:w="1134" w:type="dxa"/>
            <w:tcBorders>
              <w:top w:val="nil"/>
              <w:left w:val="nil"/>
              <w:bottom w:val="single" w:sz="4" w:space="0" w:color="auto"/>
              <w:right w:val="single" w:sz="4" w:space="0" w:color="auto"/>
            </w:tcBorders>
            <w:shd w:val="clear" w:color="auto" w:fill="auto"/>
            <w:noWrap/>
            <w:vAlign w:val="bottom"/>
            <w:hideMark/>
          </w:tcPr>
          <w:p w14:paraId="2ECFEA9B" w14:textId="19A021E1"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1,600</w:t>
            </w:r>
          </w:p>
        </w:tc>
        <w:tc>
          <w:tcPr>
            <w:tcW w:w="1134" w:type="dxa"/>
            <w:tcBorders>
              <w:top w:val="nil"/>
              <w:left w:val="nil"/>
              <w:bottom w:val="single" w:sz="4" w:space="0" w:color="auto"/>
              <w:right w:val="single" w:sz="4" w:space="0" w:color="auto"/>
            </w:tcBorders>
            <w:shd w:val="clear" w:color="auto" w:fill="auto"/>
            <w:noWrap/>
            <w:vAlign w:val="bottom"/>
            <w:hideMark/>
          </w:tcPr>
          <w:p w14:paraId="7967FCE5" w14:textId="57FE7437"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1,600</w:t>
            </w:r>
          </w:p>
        </w:tc>
        <w:tc>
          <w:tcPr>
            <w:tcW w:w="1134" w:type="dxa"/>
            <w:tcBorders>
              <w:top w:val="nil"/>
              <w:left w:val="nil"/>
              <w:bottom w:val="single" w:sz="4" w:space="0" w:color="auto"/>
              <w:right w:val="single" w:sz="4" w:space="0" w:color="auto"/>
            </w:tcBorders>
            <w:shd w:val="clear" w:color="auto" w:fill="auto"/>
            <w:noWrap/>
            <w:vAlign w:val="bottom"/>
            <w:hideMark/>
          </w:tcPr>
          <w:p w14:paraId="255DCD10" w14:textId="14DD143C"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2,400</w:t>
            </w:r>
          </w:p>
        </w:tc>
        <w:tc>
          <w:tcPr>
            <w:tcW w:w="992" w:type="dxa"/>
            <w:tcBorders>
              <w:top w:val="nil"/>
              <w:left w:val="nil"/>
              <w:bottom w:val="single" w:sz="4" w:space="0" w:color="auto"/>
              <w:right w:val="single" w:sz="4" w:space="0" w:color="auto"/>
            </w:tcBorders>
            <w:shd w:val="clear" w:color="auto" w:fill="auto"/>
            <w:noWrap/>
            <w:vAlign w:val="bottom"/>
            <w:hideMark/>
          </w:tcPr>
          <w:p w14:paraId="1A9099A2" w14:textId="325A704A"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1,600</w:t>
            </w:r>
          </w:p>
        </w:tc>
        <w:tc>
          <w:tcPr>
            <w:tcW w:w="992" w:type="dxa"/>
            <w:tcBorders>
              <w:top w:val="nil"/>
              <w:left w:val="nil"/>
              <w:bottom w:val="single" w:sz="4" w:space="0" w:color="auto"/>
              <w:right w:val="single" w:sz="4" w:space="0" w:color="auto"/>
            </w:tcBorders>
            <w:shd w:val="clear" w:color="auto" w:fill="auto"/>
            <w:noWrap/>
            <w:vAlign w:val="bottom"/>
            <w:hideMark/>
          </w:tcPr>
          <w:p w14:paraId="3862A5E2" w14:textId="5BA8D63C"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800</w:t>
            </w:r>
          </w:p>
        </w:tc>
        <w:tc>
          <w:tcPr>
            <w:tcW w:w="1134" w:type="dxa"/>
            <w:tcBorders>
              <w:top w:val="nil"/>
              <w:left w:val="nil"/>
              <w:bottom w:val="single" w:sz="4" w:space="0" w:color="auto"/>
              <w:right w:val="single" w:sz="4" w:space="0" w:color="auto"/>
            </w:tcBorders>
            <w:shd w:val="clear" w:color="auto" w:fill="auto"/>
            <w:noWrap/>
            <w:vAlign w:val="bottom"/>
            <w:hideMark/>
          </w:tcPr>
          <w:p w14:paraId="3B829443" w14:textId="771F24CC"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8,000</w:t>
            </w:r>
          </w:p>
        </w:tc>
        <w:tc>
          <w:tcPr>
            <w:tcW w:w="851" w:type="dxa"/>
            <w:tcBorders>
              <w:top w:val="nil"/>
              <w:left w:val="nil"/>
              <w:bottom w:val="single" w:sz="4" w:space="0" w:color="auto"/>
              <w:right w:val="single" w:sz="4" w:space="0" w:color="auto"/>
            </w:tcBorders>
            <w:shd w:val="clear" w:color="auto" w:fill="auto"/>
            <w:noWrap/>
            <w:vAlign w:val="center"/>
            <w:hideMark/>
          </w:tcPr>
          <w:p w14:paraId="1B7E9AEB" w14:textId="77777777" w:rsidR="00C06B91" w:rsidRPr="00AF19E3" w:rsidRDefault="00C06B91" w:rsidP="000C4743">
            <w:pPr>
              <w:spacing w:after="0"/>
              <w:jc w:val="center"/>
              <w:rPr>
                <w:rFonts w:ascii="Times New Roman" w:hAnsi="Times New Roman"/>
                <w:color w:val="000000"/>
                <w:sz w:val="18"/>
                <w:szCs w:val="18"/>
                <w:lang w:eastAsia="en-GB"/>
              </w:rPr>
            </w:pPr>
            <w:r w:rsidRPr="00AF19E3">
              <w:rPr>
                <w:rFonts w:ascii="Times New Roman" w:hAnsi="Times New Roman"/>
                <w:color w:val="000000"/>
                <w:sz w:val="18"/>
                <w:szCs w:val="18"/>
                <w:lang w:eastAsia="en-GB"/>
              </w:rPr>
              <w:t> </w:t>
            </w:r>
          </w:p>
        </w:tc>
      </w:tr>
      <w:tr w:rsidR="00C06B91" w:rsidRPr="000C4743" w14:paraId="72F25B89"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10135859" w14:textId="77777777" w:rsidR="00C06B91" w:rsidRPr="00AF19E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5131009C" w14:textId="77777777" w:rsidR="00C06B91" w:rsidRPr="00AF19E3" w:rsidRDefault="00C06B91" w:rsidP="000C4743">
            <w:pPr>
              <w:spacing w:after="0"/>
              <w:jc w:val="left"/>
              <w:rPr>
                <w:rFonts w:ascii="Times New Roman" w:hAnsi="Times New Roman"/>
                <w:color w:val="000000"/>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5FF135F0" w14:textId="77777777" w:rsidR="00C06B91" w:rsidRPr="00AF19E3" w:rsidRDefault="00C06B91" w:rsidP="000C4743">
            <w:pPr>
              <w:spacing w:after="0"/>
              <w:jc w:val="left"/>
              <w:rPr>
                <w:rFonts w:ascii="Times New Roman" w:hAnsi="Times New Roman"/>
                <w:color w:val="000000"/>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43AF2D27" w14:textId="77777777" w:rsidR="00C06B91" w:rsidRPr="00AF19E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noWrap/>
            <w:vAlign w:val="center"/>
            <w:hideMark/>
          </w:tcPr>
          <w:p w14:paraId="3263F966" w14:textId="77777777" w:rsidR="00C06B91" w:rsidRPr="00AF19E3" w:rsidRDefault="00C06B91" w:rsidP="000C4743">
            <w:pPr>
              <w:spacing w:after="0"/>
              <w:jc w:val="center"/>
              <w:rPr>
                <w:rFonts w:ascii="Times New Roman" w:hAnsi="Times New Roman"/>
                <w:sz w:val="18"/>
                <w:szCs w:val="18"/>
                <w:lang w:eastAsia="en-GB"/>
              </w:rPr>
            </w:pPr>
            <w:r w:rsidRPr="00AF19E3">
              <w:rPr>
                <w:rFonts w:ascii="Times New Roman" w:hAnsi="Times New Roman"/>
                <w:sz w:val="18"/>
                <w:szCs w:val="18"/>
                <w:lang w:eastAsia="en-GB"/>
              </w:rPr>
              <w:t>75700</w:t>
            </w:r>
          </w:p>
        </w:tc>
        <w:tc>
          <w:tcPr>
            <w:tcW w:w="2126" w:type="dxa"/>
            <w:tcBorders>
              <w:top w:val="nil"/>
              <w:left w:val="nil"/>
              <w:bottom w:val="single" w:sz="4" w:space="0" w:color="auto"/>
              <w:right w:val="single" w:sz="4" w:space="0" w:color="auto"/>
            </w:tcBorders>
            <w:shd w:val="clear" w:color="auto" w:fill="auto"/>
            <w:noWrap/>
            <w:vAlign w:val="center"/>
            <w:hideMark/>
          </w:tcPr>
          <w:p w14:paraId="40639BCA" w14:textId="77777777" w:rsidR="00C06B91" w:rsidRPr="00AF19E3" w:rsidRDefault="00C06B91" w:rsidP="000C4743">
            <w:pPr>
              <w:spacing w:after="0"/>
              <w:jc w:val="left"/>
              <w:rPr>
                <w:rFonts w:ascii="Times New Roman" w:hAnsi="Times New Roman"/>
                <w:sz w:val="18"/>
                <w:szCs w:val="18"/>
                <w:lang w:eastAsia="en-GB"/>
              </w:rPr>
            </w:pPr>
            <w:r w:rsidRPr="00AF19E3">
              <w:rPr>
                <w:rFonts w:ascii="Times New Roman" w:hAnsi="Times New Roman"/>
                <w:sz w:val="18"/>
                <w:szCs w:val="18"/>
                <w:lang w:eastAsia="en-GB"/>
              </w:rPr>
              <w:t>Training, Workshops and Conferences</w:t>
            </w:r>
          </w:p>
        </w:tc>
        <w:tc>
          <w:tcPr>
            <w:tcW w:w="1134" w:type="dxa"/>
            <w:tcBorders>
              <w:top w:val="nil"/>
              <w:left w:val="nil"/>
              <w:bottom w:val="single" w:sz="4" w:space="0" w:color="auto"/>
              <w:right w:val="single" w:sz="4" w:space="0" w:color="auto"/>
            </w:tcBorders>
            <w:shd w:val="clear" w:color="auto" w:fill="auto"/>
            <w:noWrap/>
            <w:vAlign w:val="bottom"/>
            <w:hideMark/>
          </w:tcPr>
          <w:p w14:paraId="485C7723" w14:textId="53079827"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7,052</w:t>
            </w:r>
          </w:p>
        </w:tc>
        <w:tc>
          <w:tcPr>
            <w:tcW w:w="1134" w:type="dxa"/>
            <w:tcBorders>
              <w:top w:val="nil"/>
              <w:left w:val="nil"/>
              <w:bottom w:val="single" w:sz="4" w:space="0" w:color="auto"/>
              <w:right w:val="single" w:sz="4" w:space="0" w:color="auto"/>
            </w:tcBorders>
            <w:shd w:val="clear" w:color="auto" w:fill="auto"/>
            <w:noWrap/>
            <w:vAlign w:val="bottom"/>
            <w:hideMark/>
          </w:tcPr>
          <w:p w14:paraId="1E5362FE" w14:textId="6D2FB7D1"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7,052</w:t>
            </w:r>
          </w:p>
        </w:tc>
        <w:tc>
          <w:tcPr>
            <w:tcW w:w="1134" w:type="dxa"/>
            <w:tcBorders>
              <w:top w:val="nil"/>
              <w:left w:val="nil"/>
              <w:bottom w:val="single" w:sz="4" w:space="0" w:color="auto"/>
              <w:right w:val="single" w:sz="4" w:space="0" w:color="auto"/>
            </w:tcBorders>
            <w:shd w:val="clear" w:color="auto" w:fill="auto"/>
            <w:noWrap/>
            <w:vAlign w:val="bottom"/>
            <w:hideMark/>
          </w:tcPr>
          <w:p w14:paraId="0009659F" w14:textId="06E7366B"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10,578</w:t>
            </w:r>
          </w:p>
        </w:tc>
        <w:tc>
          <w:tcPr>
            <w:tcW w:w="992" w:type="dxa"/>
            <w:tcBorders>
              <w:top w:val="nil"/>
              <w:left w:val="nil"/>
              <w:bottom w:val="single" w:sz="4" w:space="0" w:color="auto"/>
              <w:right w:val="single" w:sz="4" w:space="0" w:color="auto"/>
            </w:tcBorders>
            <w:shd w:val="clear" w:color="auto" w:fill="auto"/>
            <w:noWrap/>
            <w:vAlign w:val="bottom"/>
            <w:hideMark/>
          </w:tcPr>
          <w:p w14:paraId="038C32D9" w14:textId="214FB4B4"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7,052</w:t>
            </w:r>
          </w:p>
        </w:tc>
        <w:tc>
          <w:tcPr>
            <w:tcW w:w="992" w:type="dxa"/>
            <w:tcBorders>
              <w:top w:val="nil"/>
              <w:left w:val="nil"/>
              <w:bottom w:val="single" w:sz="4" w:space="0" w:color="auto"/>
              <w:right w:val="single" w:sz="4" w:space="0" w:color="auto"/>
            </w:tcBorders>
            <w:shd w:val="clear" w:color="auto" w:fill="auto"/>
            <w:noWrap/>
            <w:vAlign w:val="bottom"/>
            <w:hideMark/>
          </w:tcPr>
          <w:p w14:paraId="34875725" w14:textId="2AF63F86"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3,526</w:t>
            </w:r>
          </w:p>
        </w:tc>
        <w:tc>
          <w:tcPr>
            <w:tcW w:w="1134" w:type="dxa"/>
            <w:tcBorders>
              <w:top w:val="nil"/>
              <w:left w:val="nil"/>
              <w:bottom w:val="single" w:sz="4" w:space="0" w:color="auto"/>
              <w:right w:val="single" w:sz="4" w:space="0" w:color="auto"/>
            </w:tcBorders>
            <w:shd w:val="clear" w:color="auto" w:fill="auto"/>
            <w:noWrap/>
            <w:vAlign w:val="bottom"/>
            <w:hideMark/>
          </w:tcPr>
          <w:p w14:paraId="4727034C" w14:textId="60E6FCC4" w:rsidR="00C06B91" w:rsidRPr="00AF19E3" w:rsidRDefault="00C06B91" w:rsidP="007A2E9D">
            <w:pPr>
              <w:spacing w:after="0"/>
              <w:jc w:val="right"/>
              <w:rPr>
                <w:rFonts w:ascii="Times New Roman" w:hAnsi="Times New Roman"/>
                <w:sz w:val="18"/>
                <w:szCs w:val="18"/>
                <w:lang w:eastAsia="en-GB"/>
              </w:rPr>
            </w:pPr>
            <w:r w:rsidRPr="00AF19E3">
              <w:rPr>
                <w:rFonts w:ascii="Times New Roman" w:hAnsi="Times New Roman"/>
                <w:sz w:val="18"/>
                <w:szCs w:val="18"/>
              </w:rPr>
              <w:t>35,260</w:t>
            </w:r>
          </w:p>
        </w:tc>
        <w:tc>
          <w:tcPr>
            <w:tcW w:w="851" w:type="dxa"/>
            <w:tcBorders>
              <w:top w:val="nil"/>
              <w:left w:val="nil"/>
              <w:bottom w:val="single" w:sz="4" w:space="0" w:color="auto"/>
              <w:right w:val="single" w:sz="4" w:space="0" w:color="auto"/>
            </w:tcBorders>
            <w:shd w:val="clear" w:color="auto" w:fill="auto"/>
            <w:noWrap/>
            <w:vAlign w:val="center"/>
            <w:hideMark/>
          </w:tcPr>
          <w:p w14:paraId="3EB64E9B" w14:textId="77777777" w:rsidR="00C06B91" w:rsidRPr="00AF19E3" w:rsidRDefault="00C06B91" w:rsidP="000C4743">
            <w:pPr>
              <w:spacing w:after="0"/>
              <w:jc w:val="center"/>
              <w:rPr>
                <w:rFonts w:ascii="Times New Roman" w:hAnsi="Times New Roman"/>
                <w:color w:val="000000"/>
                <w:sz w:val="18"/>
                <w:szCs w:val="18"/>
                <w:lang w:eastAsia="en-GB"/>
              </w:rPr>
            </w:pPr>
            <w:r w:rsidRPr="00AF19E3">
              <w:rPr>
                <w:rFonts w:ascii="Times New Roman" w:hAnsi="Times New Roman"/>
                <w:color w:val="000000"/>
                <w:sz w:val="18"/>
                <w:szCs w:val="18"/>
                <w:lang w:eastAsia="en-GB"/>
              </w:rPr>
              <w:t> </w:t>
            </w:r>
          </w:p>
        </w:tc>
      </w:tr>
      <w:tr w:rsidR="00C06B91" w:rsidRPr="000C4743" w14:paraId="32A711F6" w14:textId="77777777" w:rsidTr="006F7397">
        <w:trPr>
          <w:trHeight w:val="315"/>
        </w:trPr>
        <w:tc>
          <w:tcPr>
            <w:tcW w:w="1716" w:type="dxa"/>
            <w:vMerge/>
            <w:tcBorders>
              <w:top w:val="nil"/>
              <w:left w:val="single" w:sz="4" w:space="0" w:color="auto"/>
              <w:bottom w:val="single" w:sz="4" w:space="0" w:color="000000"/>
              <w:right w:val="single" w:sz="4" w:space="0" w:color="auto"/>
            </w:tcBorders>
            <w:vAlign w:val="center"/>
            <w:hideMark/>
          </w:tcPr>
          <w:p w14:paraId="56AE7EB2" w14:textId="77777777" w:rsidR="00C06B91" w:rsidRPr="00AF19E3" w:rsidRDefault="00C06B91" w:rsidP="000C4743">
            <w:pPr>
              <w:spacing w:after="0"/>
              <w:jc w:val="left"/>
              <w:rPr>
                <w:rFonts w:ascii="Times New Roman" w:hAnsi="Times New Roman"/>
                <w:b/>
                <w:bCs/>
                <w:sz w:val="18"/>
                <w:szCs w:val="18"/>
                <w:lang w:eastAsia="en-GB"/>
              </w:rPr>
            </w:pPr>
          </w:p>
        </w:tc>
        <w:tc>
          <w:tcPr>
            <w:tcW w:w="709" w:type="dxa"/>
            <w:vMerge/>
            <w:tcBorders>
              <w:top w:val="nil"/>
              <w:left w:val="single" w:sz="4" w:space="0" w:color="auto"/>
              <w:bottom w:val="single" w:sz="4" w:space="0" w:color="000000"/>
              <w:right w:val="single" w:sz="4" w:space="0" w:color="auto"/>
            </w:tcBorders>
            <w:vAlign w:val="center"/>
            <w:hideMark/>
          </w:tcPr>
          <w:p w14:paraId="7F3F4A1A" w14:textId="77777777" w:rsidR="00C06B91" w:rsidRPr="00AF19E3" w:rsidRDefault="00C06B91" w:rsidP="000C4743">
            <w:pPr>
              <w:spacing w:after="0"/>
              <w:jc w:val="left"/>
              <w:rPr>
                <w:rFonts w:ascii="Times New Roman" w:hAnsi="Times New Roman"/>
                <w:color w:val="000000"/>
                <w:sz w:val="18"/>
                <w:szCs w:val="18"/>
                <w:lang w:eastAsia="en-GB"/>
              </w:rPr>
            </w:pPr>
          </w:p>
        </w:tc>
        <w:tc>
          <w:tcPr>
            <w:tcW w:w="851" w:type="dxa"/>
            <w:vMerge/>
            <w:tcBorders>
              <w:top w:val="nil"/>
              <w:left w:val="single" w:sz="4" w:space="0" w:color="auto"/>
              <w:bottom w:val="single" w:sz="4" w:space="0" w:color="000000"/>
              <w:right w:val="single" w:sz="4" w:space="0" w:color="auto"/>
            </w:tcBorders>
            <w:vAlign w:val="center"/>
            <w:hideMark/>
          </w:tcPr>
          <w:p w14:paraId="3A0AC6AD" w14:textId="77777777" w:rsidR="00C06B91" w:rsidRPr="00AF19E3" w:rsidRDefault="00C06B91" w:rsidP="000C4743">
            <w:pPr>
              <w:spacing w:after="0"/>
              <w:jc w:val="left"/>
              <w:rPr>
                <w:rFonts w:ascii="Times New Roman" w:hAnsi="Times New Roman"/>
                <w:color w:val="000000"/>
                <w:sz w:val="18"/>
                <w:szCs w:val="18"/>
                <w:lang w:eastAsia="en-GB"/>
              </w:rPr>
            </w:pPr>
          </w:p>
        </w:tc>
        <w:tc>
          <w:tcPr>
            <w:tcW w:w="708" w:type="dxa"/>
            <w:vMerge/>
            <w:tcBorders>
              <w:top w:val="nil"/>
              <w:left w:val="single" w:sz="4" w:space="0" w:color="auto"/>
              <w:bottom w:val="single" w:sz="4" w:space="0" w:color="000000"/>
              <w:right w:val="single" w:sz="4" w:space="0" w:color="auto"/>
            </w:tcBorders>
            <w:vAlign w:val="center"/>
            <w:hideMark/>
          </w:tcPr>
          <w:p w14:paraId="4A749ECF" w14:textId="77777777" w:rsidR="00C06B91" w:rsidRPr="00AF19E3" w:rsidRDefault="00C06B91" w:rsidP="000C4743">
            <w:pPr>
              <w:spacing w:after="0"/>
              <w:jc w:val="left"/>
              <w:rPr>
                <w:rFonts w:ascii="Times New Roman" w:hAnsi="Times New Roman"/>
                <w:sz w:val="18"/>
                <w:szCs w:val="18"/>
                <w:lang w:eastAsia="en-GB"/>
              </w:rPr>
            </w:pPr>
          </w:p>
        </w:tc>
        <w:tc>
          <w:tcPr>
            <w:tcW w:w="993" w:type="dxa"/>
            <w:tcBorders>
              <w:top w:val="nil"/>
              <w:left w:val="nil"/>
              <w:bottom w:val="single" w:sz="4" w:space="0" w:color="auto"/>
              <w:right w:val="single" w:sz="4" w:space="0" w:color="auto"/>
            </w:tcBorders>
            <w:shd w:val="clear" w:color="auto" w:fill="auto"/>
            <w:vAlign w:val="center"/>
            <w:hideMark/>
          </w:tcPr>
          <w:p w14:paraId="76FD3B5F" w14:textId="77777777" w:rsidR="00C06B91" w:rsidRPr="00AF19E3" w:rsidRDefault="00C06B91" w:rsidP="000C4743">
            <w:pPr>
              <w:spacing w:after="0"/>
              <w:jc w:val="center"/>
              <w:rPr>
                <w:rFonts w:ascii="Times New Roman" w:hAnsi="Times New Roman"/>
                <w:sz w:val="18"/>
                <w:szCs w:val="18"/>
                <w:lang w:eastAsia="en-GB"/>
              </w:rPr>
            </w:pPr>
            <w:r w:rsidRPr="00AF19E3">
              <w:rPr>
                <w:rFonts w:ascii="Times New Roman" w:hAnsi="Times New Roman"/>
                <w:sz w:val="18"/>
                <w:szCs w:val="18"/>
                <w:lang w:eastAsia="en-GB"/>
              </w:rPr>
              <w:t> </w:t>
            </w:r>
          </w:p>
        </w:tc>
        <w:tc>
          <w:tcPr>
            <w:tcW w:w="2126" w:type="dxa"/>
            <w:tcBorders>
              <w:top w:val="nil"/>
              <w:left w:val="nil"/>
              <w:bottom w:val="single" w:sz="4" w:space="0" w:color="auto"/>
              <w:right w:val="single" w:sz="4" w:space="0" w:color="auto"/>
            </w:tcBorders>
            <w:shd w:val="clear" w:color="auto" w:fill="auto"/>
            <w:noWrap/>
            <w:vAlign w:val="center"/>
            <w:hideMark/>
          </w:tcPr>
          <w:p w14:paraId="6BDB92FC" w14:textId="77777777" w:rsidR="00C06B91" w:rsidRPr="00AF19E3" w:rsidRDefault="00C06B91" w:rsidP="000C4743">
            <w:pPr>
              <w:spacing w:after="0"/>
              <w:jc w:val="left"/>
              <w:rPr>
                <w:rFonts w:ascii="Times New Roman" w:hAnsi="Times New Roman"/>
                <w:b/>
                <w:bCs/>
                <w:sz w:val="18"/>
                <w:szCs w:val="18"/>
                <w:lang w:eastAsia="en-GB"/>
              </w:rPr>
            </w:pPr>
            <w:r w:rsidRPr="00AF19E3">
              <w:rPr>
                <w:rFonts w:ascii="Times New Roman" w:hAnsi="Times New Roman"/>
                <w:b/>
                <w:bCs/>
                <w:sz w:val="18"/>
                <w:szCs w:val="18"/>
                <w:lang w:eastAsia="en-GB"/>
              </w:rPr>
              <w:t>TOTAL Outcome 5</w:t>
            </w:r>
          </w:p>
        </w:tc>
        <w:tc>
          <w:tcPr>
            <w:tcW w:w="1134" w:type="dxa"/>
            <w:tcBorders>
              <w:top w:val="nil"/>
              <w:left w:val="nil"/>
              <w:bottom w:val="single" w:sz="4" w:space="0" w:color="auto"/>
              <w:right w:val="single" w:sz="4" w:space="0" w:color="auto"/>
            </w:tcBorders>
            <w:shd w:val="clear" w:color="auto" w:fill="auto"/>
            <w:noWrap/>
            <w:vAlign w:val="bottom"/>
            <w:hideMark/>
          </w:tcPr>
          <w:p w14:paraId="61A2C7E7" w14:textId="5FCD0275" w:rsidR="00C06B91" w:rsidRPr="00AF19E3" w:rsidRDefault="00C06B91" w:rsidP="007A2E9D">
            <w:pPr>
              <w:spacing w:after="0"/>
              <w:jc w:val="right"/>
              <w:rPr>
                <w:rFonts w:ascii="Times New Roman" w:hAnsi="Times New Roman"/>
                <w:b/>
                <w:bCs/>
                <w:sz w:val="18"/>
                <w:szCs w:val="18"/>
                <w:lang w:eastAsia="en-GB"/>
              </w:rPr>
            </w:pPr>
            <w:r w:rsidRPr="00AF19E3">
              <w:rPr>
                <w:rFonts w:ascii="Times New Roman" w:hAnsi="Times New Roman"/>
                <w:b/>
                <w:bCs/>
                <w:sz w:val="18"/>
                <w:szCs w:val="18"/>
              </w:rPr>
              <w:t>110,000</w:t>
            </w:r>
          </w:p>
        </w:tc>
        <w:tc>
          <w:tcPr>
            <w:tcW w:w="1134" w:type="dxa"/>
            <w:tcBorders>
              <w:top w:val="nil"/>
              <w:left w:val="nil"/>
              <w:bottom w:val="single" w:sz="4" w:space="0" w:color="auto"/>
              <w:right w:val="single" w:sz="4" w:space="0" w:color="auto"/>
            </w:tcBorders>
            <w:shd w:val="clear" w:color="auto" w:fill="auto"/>
            <w:noWrap/>
            <w:vAlign w:val="bottom"/>
            <w:hideMark/>
          </w:tcPr>
          <w:p w14:paraId="3CDBDA96" w14:textId="0CE8B68D" w:rsidR="00C06B91" w:rsidRPr="00AF19E3" w:rsidRDefault="00C06B91" w:rsidP="007A2E9D">
            <w:pPr>
              <w:spacing w:after="0"/>
              <w:jc w:val="right"/>
              <w:rPr>
                <w:rFonts w:ascii="Times New Roman" w:hAnsi="Times New Roman"/>
                <w:b/>
                <w:bCs/>
                <w:sz w:val="18"/>
                <w:szCs w:val="18"/>
                <w:lang w:eastAsia="en-GB"/>
              </w:rPr>
            </w:pPr>
            <w:r w:rsidRPr="00AF19E3">
              <w:rPr>
                <w:rFonts w:ascii="Times New Roman" w:hAnsi="Times New Roman"/>
                <w:b/>
                <w:bCs/>
                <w:sz w:val="18"/>
                <w:szCs w:val="18"/>
              </w:rPr>
              <w:t>110,000</w:t>
            </w:r>
          </w:p>
        </w:tc>
        <w:tc>
          <w:tcPr>
            <w:tcW w:w="1134" w:type="dxa"/>
            <w:tcBorders>
              <w:top w:val="nil"/>
              <w:left w:val="nil"/>
              <w:bottom w:val="single" w:sz="4" w:space="0" w:color="auto"/>
              <w:right w:val="single" w:sz="4" w:space="0" w:color="auto"/>
            </w:tcBorders>
            <w:shd w:val="clear" w:color="auto" w:fill="auto"/>
            <w:noWrap/>
            <w:vAlign w:val="bottom"/>
            <w:hideMark/>
          </w:tcPr>
          <w:p w14:paraId="595D7506" w14:textId="384BFFB3" w:rsidR="00C06B91" w:rsidRPr="00AF19E3" w:rsidRDefault="00C06B91" w:rsidP="007A2E9D">
            <w:pPr>
              <w:spacing w:after="0"/>
              <w:jc w:val="right"/>
              <w:rPr>
                <w:rFonts w:ascii="Times New Roman" w:hAnsi="Times New Roman"/>
                <w:b/>
                <w:bCs/>
                <w:sz w:val="18"/>
                <w:szCs w:val="18"/>
                <w:lang w:eastAsia="en-GB"/>
              </w:rPr>
            </w:pPr>
            <w:r w:rsidRPr="00AF19E3">
              <w:rPr>
                <w:rFonts w:ascii="Times New Roman" w:hAnsi="Times New Roman"/>
                <w:b/>
                <w:bCs/>
                <w:sz w:val="18"/>
                <w:szCs w:val="18"/>
              </w:rPr>
              <w:t>165,000</w:t>
            </w:r>
          </w:p>
        </w:tc>
        <w:tc>
          <w:tcPr>
            <w:tcW w:w="992" w:type="dxa"/>
            <w:tcBorders>
              <w:top w:val="nil"/>
              <w:left w:val="nil"/>
              <w:bottom w:val="single" w:sz="4" w:space="0" w:color="auto"/>
              <w:right w:val="single" w:sz="4" w:space="0" w:color="auto"/>
            </w:tcBorders>
            <w:shd w:val="clear" w:color="auto" w:fill="auto"/>
            <w:noWrap/>
            <w:vAlign w:val="bottom"/>
            <w:hideMark/>
          </w:tcPr>
          <w:p w14:paraId="715F3A6C" w14:textId="6956289D" w:rsidR="00C06B91" w:rsidRPr="00AF19E3" w:rsidRDefault="00C06B91" w:rsidP="007A2E9D">
            <w:pPr>
              <w:spacing w:after="0"/>
              <w:jc w:val="right"/>
              <w:rPr>
                <w:rFonts w:ascii="Times New Roman" w:hAnsi="Times New Roman"/>
                <w:b/>
                <w:bCs/>
                <w:sz w:val="18"/>
                <w:szCs w:val="18"/>
                <w:lang w:eastAsia="en-GB"/>
              </w:rPr>
            </w:pPr>
            <w:r w:rsidRPr="00AF19E3">
              <w:rPr>
                <w:rFonts w:ascii="Times New Roman" w:hAnsi="Times New Roman"/>
                <w:b/>
                <w:bCs/>
                <w:sz w:val="18"/>
                <w:szCs w:val="18"/>
              </w:rPr>
              <w:t>110,000</w:t>
            </w:r>
          </w:p>
        </w:tc>
        <w:tc>
          <w:tcPr>
            <w:tcW w:w="992" w:type="dxa"/>
            <w:tcBorders>
              <w:top w:val="nil"/>
              <w:left w:val="nil"/>
              <w:bottom w:val="single" w:sz="4" w:space="0" w:color="auto"/>
              <w:right w:val="single" w:sz="4" w:space="0" w:color="auto"/>
            </w:tcBorders>
            <w:shd w:val="clear" w:color="auto" w:fill="auto"/>
            <w:noWrap/>
            <w:vAlign w:val="bottom"/>
            <w:hideMark/>
          </w:tcPr>
          <w:p w14:paraId="6D5139DE" w14:textId="0B7B69DF" w:rsidR="00C06B91" w:rsidRPr="00AF19E3" w:rsidRDefault="00C06B91" w:rsidP="007A2E9D">
            <w:pPr>
              <w:spacing w:after="0"/>
              <w:jc w:val="right"/>
              <w:rPr>
                <w:rFonts w:ascii="Times New Roman" w:hAnsi="Times New Roman"/>
                <w:b/>
                <w:bCs/>
                <w:sz w:val="18"/>
                <w:szCs w:val="18"/>
                <w:lang w:eastAsia="en-GB"/>
              </w:rPr>
            </w:pPr>
            <w:r w:rsidRPr="00AF19E3">
              <w:rPr>
                <w:rFonts w:ascii="Times New Roman" w:hAnsi="Times New Roman"/>
                <w:b/>
                <w:bCs/>
                <w:sz w:val="18"/>
                <w:szCs w:val="18"/>
              </w:rPr>
              <w:t>55,000</w:t>
            </w:r>
          </w:p>
        </w:tc>
        <w:tc>
          <w:tcPr>
            <w:tcW w:w="1134" w:type="dxa"/>
            <w:tcBorders>
              <w:top w:val="nil"/>
              <w:left w:val="nil"/>
              <w:bottom w:val="single" w:sz="4" w:space="0" w:color="auto"/>
              <w:right w:val="single" w:sz="4" w:space="0" w:color="auto"/>
            </w:tcBorders>
            <w:shd w:val="clear" w:color="auto" w:fill="auto"/>
            <w:noWrap/>
            <w:vAlign w:val="bottom"/>
            <w:hideMark/>
          </w:tcPr>
          <w:p w14:paraId="6025E492" w14:textId="49DEAE2B" w:rsidR="00C06B91" w:rsidRPr="00AF19E3" w:rsidRDefault="00C06B91" w:rsidP="007A2E9D">
            <w:pPr>
              <w:spacing w:after="0"/>
              <w:jc w:val="right"/>
              <w:rPr>
                <w:rFonts w:ascii="Times New Roman" w:hAnsi="Times New Roman"/>
                <w:b/>
                <w:bCs/>
                <w:sz w:val="18"/>
                <w:szCs w:val="18"/>
                <w:lang w:eastAsia="en-GB"/>
              </w:rPr>
            </w:pPr>
            <w:r w:rsidRPr="00AF19E3">
              <w:rPr>
                <w:rFonts w:ascii="Times New Roman" w:hAnsi="Times New Roman"/>
                <w:b/>
                <w:bCs/>
                <w:sz w:val="18"/>
                <w:szCs w:val="18"/>
              </w:rPr>
              <w:t>550,000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8BE96AC" w14:textId="77777777" w:rsidR="00C06B91" w:rsidRPr="00AF19E3" w:rsidRDefault="00C06B91" w:rsidP="000C4743">
            <w:pPr>
              <w:spacing w:after="0"/>
              <w:jc w:val="center"/>
              <w:rPr>
                <w:rFonts w:ascii="Times New Roman" w:hAnsi="Times New Roman"/>
                <w:color w:val="000000"/>
                <w:sz w:val="18"/>
                <w:szCs w:val="18"/>
                <w:lang w:eastAsia="en-GB"/>
              </w:rPr>
            </w:pPr>
            <w:r w:rsidRPr="00AF19E3">
              <w:rPr>
                <w:rFonts w:ascii="Times New Roman" w:hAnsi="Times New Roman"/>
                <w:color w:val="000000"/>
                <w:sz w:val="18"/>
                <w:szCs w:val="18"/>
                <w:lang w:eastAsia="en-GB"/>
              </w:rPr>
              <w:t> </w:t>
            </w:r>
          </w:p>
        </w:tc>
      </w:tr>
      <w:tr w:rsidR="006F7397" w14:paraId="6979AB2E" w14:textId="492B4F4D" w:rsidTr="006F7397">
        <w:trPr>
          <w:trHeight w:val="315"/>
        </w:trPr>
        <w:tc>
          <w:tcPr>
            <w:tcW w:w="171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E1A6302" w14:textId="77777777" w:rsidR="006F7397" w:rsidRPr="00AF19E3" w:rsidRDefault="006F7397">
            <w:pPr>
              <w:rPr>
                <w:rFonts w:ascii="Times New Roman" w:hAnsi="Times New Roman"/>
                <w:b/>
                <w:bCs/>
                <w:sz w:val="18"/>
                <w:szCs w:val="18"/>
              </w:rPr>
            </w:pPr>
            <w:r w:rsidRPr="00AF19E3">
              <w:rPr>
                <w:rFonts w:ascii="Times New Roman" w:hAnsi="Times New Roman"/>
                <w:b/>
                <w:bCs/>
                <w:sz w:val="18"/>
                <w:szCs w:val="18"/>
              </w:rPr>
              <w:t>Project Management</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5554DBE" w14:textId="77777777" w:rsidR="006F7397" w:rsidRPr="00AF19E3" w:rsidRDefault="006F7397">
            <w:pPr>
              <w:jc w:val="center"/>
              <w:rPr>
                <w:rFonts w:ascii="Times New Roman" w:hAnsi="Times New Roman"/>
                <w:color w:val="000000"/>
                <w:sz w:val="18"/>
                <w:szCs w:val="18"/>
              </w:rPr>
            </w:pPr>
            <w:r w:rsidRPr="00AF19E3">
              <w:rPr>
                <w:rFonts w:ascii="Times New Roman" w:hAnsi="Times New Roman"/>
                <w:color w:val="000000"/>
                <w:sz w:val="18"/>
                <w:szCs w:val="18"/>
              </w:rPr>
              <w:t>MRD</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946231" w14:textId="77777777" w:rsidR="006F7397" w:rsidRPr="00AF19E3" w:rsidRDefault="006F7397">
            <w:pPr>
              <w:jc w:val="center"/>
              <w:rPr>
                <w:rFonts w:ascii="Times New Roman" w:hAnsi="Times New Roman"/>
                <w:color w:val="000000"/>
                <w:sz w:val="18"/>
                <w:szCs w:val="18"/>
              </w:rPr>
            </w:pPr>
            <w:r w:rsidRPr="00AF19E3">
              <w:rPr>
                <w:rFonts w:ascii="Times New Roman" w:hAnsi="Times New Roman"/>
                <w:color w:val="000000"/>
                <w:sz w:val="18"/>
                <w:szCs w:val="18"/>
              </w:rPr>
              <w:t>62000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87C86C"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GEF</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732089CF"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71400</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14:paraId="4253BB57" w14:textId="77777777" w:rsidR="006F7397" w:rsidRPr="00AF19E3" w:rsidRDefault="006F7397">
            <w:pPr>
              <w:rPr>
                <w:rFonts w:ascii="Times New Roman" w:hAnsi="Times New Roman"/>
                <w:sz w:val="18"/>
                <w:szCs w:val="18"/>
              </w:rPr>
            </w:pPr>
            <w:r w:rsidRPr="00AF19E3">
              <w:rPr>
                <w:rFonts w:ascii="Times New Roman" w:hAnsi="Times New Roman"/>
                <w:sz w:val="18"/>
                <w:szCs w:val="18"/>
              </w:rPr>
              <w:t>Project manager</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2146DD16"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7,020</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369C5EB9"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7,020</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27EAAEDC"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7,020</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7142E49E"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7,020</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2E49722B"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7,020</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14:paraId="52AD9D55"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35,100</w:t>
            </w:r>
          </w:p>
        </w:tc>
        <w:tc>
          <w:tcPr>
            <w:tcW w:w="851" w:type="dxa"/>
            <w:tcBorders>
              <w:top w:val="single" w:sz="4" w:space="0" w:color="auto"/>
              <w:bottom w:val="single" w:sz="4" w:space="0" w:color="auto"/>
              <w:right w:val="single" w:sz="4" w:space="0" w:color="auto"/>
            </w:tcBorders>
            <w:vAlign w:val="center"/>
          </w:tcPr>
          <w:p w14:paraId="1D8E2846" w14:textId="12C8C852" w:rsidR="006F7397" w:rsidRPr="00AF19E3" w:rsidRDefault="006F7397" w:rsidP="006F7397">
            <w:pPr>
              <w:spacing w:after="0"/>
              <w:jc w:val="center"/>
              <w:rPr>
                <w:rFonts w:ascii="Times New Roman" w:hAnsi="Times New Roman"/>
                <w:sz w:val="18"/>
                <w:szCs w:val="18"/>
              </w:rPr>
            </w:pPr>
            <w:r w:rsidRPr="00AF19E3">
              <w:rPr>
                <w:rFonts w:ascii="Times New Roman" w:hAnsi="Times New Roman"/>
                <w:color w:val="000000"/>
                <w:sz w:val="18"/>
                <w:szCs w:val="18"/>
                <w:lang w:eastAsia="en-GB"/>
              </w:rPr>
              <w:t>1</w:t>
            </w:r>
          </w:p>
        </w:tc>
      </w:tr>
      <w:tr w:rsidR="006F7397" w14:paraId="4C816F1C" w14:textId="648266B5"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7BA8F3BA"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1B9B159E" w14:textId="77777777" w:rsidR="006F7397" w:rsidRPr="00AF19E3" w:rsidRDefault="006F7397">
            <w:pPr>
              <w:rPr>
                <w:rFonts w:ascii="Times New Roman" w:hAnsi="Times New Roman"/>
                <w:color w:val="00000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27990938" w14:textId="77777777" w:rsidR="006F7397" w:rsidRPr="00AF19E3" w:rsidRDefault="006F7397">
            <w:pPr>
              <w:rPr>
                <w:rFonts w:ascii="Times New Roman" w:hAnsi="Times New Roman"/>
                <w:color w:val="000000"/>
                <w:sz w:val="18"/>
                <w:szCs w:val="18"/>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35037360"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606DEF08"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71400</w:t>
            </w:r>
          </w:p>
        </w:tc>
        <w:tc>
          <w:tcPr>
            <w:tcW w:w="2126" w:type="dxa"/>
            <w:tcBorders>
              <w:top w:val="nil"/>
              <w:left w:val="nil"/>
              <w:bottom w:val="single" w:sz="4" w:space="0" w:color="auto"/>
              <w:right w:val="single" w:sz="4" w:space="0" w:color="auto"/>
            </w:tcBorders>
            <w:shd w:val="clear" w:color="auto" w:fill="auto"/>
            <w:noWrap/>
            <w:vAlign w:val="bottom"/>
            <w:hideMark/>
          </w:tcPr>
          <w:p w14:paraId="7477F8D8" w14:textId="77777777" w:rsidR="006F7397" w:rsidRPr="00AF19E3" w:rsidRDefault="006F7397">
            <w:pPr>
              <w:rPr>
                <w:rFonts w:ascii="Times New Roman" w:hAnsi="Times New Roman"/>
                <w:sz w:val="18"/>
                <w:szCs w:val="18"/>
              </w:rPr>
            </w:pPr>
            <w:r w:rsidRPr="00AF19E3">
              <w:rPr>
                <w:rFonts w:ascii="Times New Roman" w:hAnsi="Times New Roman"/>
                <w:sz w:val="18"/>
                <w:szCs w:val="18"/>
              </w:rPr>
              <w:t>Project assistant</w:t>
            </w:r>
          </w:p>
        </w:tc>
        <w:tc>
          <w:tcPr>
            <w:tcW w:w="1134" w:type="dxa"/>
            <w:tcBorders>
              <w:top w:val="nil"/>
              <w:left w:val="nil"/>
              <w:bottom w:val="single" w:sz="4" w:space="0" w:color="auto"/>
              <w:right w:val="single" w:sz="4" w:space="0" w:color="auto"/>
            </w:tcBorders>
            <w:shd w:val="clear" w:color="auto" w:fill="auto"/>
            <w:noWrap/>
            <w:vAlign w:val="bottom"/>
            <w:hideMark/>
          </w:tcPr>
          <w:p w14:paraId="399268BC"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22,880</w:t>
            </w:r>
          </w:p>
        </w:tc>
        <w:tc>
          <w:tcPr>
            <w:tcW w:w="1134" w:type="dxa"/>
            <w:tcBorders>
              <w:top w:val="nil"/>
              <w:left w:val="nil"/>
              <w:bottom w:val="single" w:sz="4" w:space="0" w:color="auto"/>
              <w:right w:val="single" w:sz="4" w:space="0" w:color="auto"/>
            </w:tcBorders>
            <w:shd w:val="clear" w:color="auto" w:fill="auto"/>
            <w:noWrap/>
            <w:vAlign w:val="bottom"/>
            <w:hideMark/>
          </w:tcPr>
          <w:p w14:paraId="40C8CE49"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22,880</w:t>
            </w:r>
          </w:p>
        </w:tc>
        <w:tc>
          <w:tcPr>
            <w:tcW w:w="1134" w:type="dxa"/>
            <w:tcBorders>
              <w:top w:val="nil"/>
              <w:left w:val="nil"/>
              <w:bottom w:val="single" w:sz="4" w:space="0" w:color="auto"/>
              <w:right w:val="single" w:sz="4" w:space="0" w:color="auto"/>
            </w:tcBorders>
            <w:shd w:val="clear" w:color="auto" w:fill="auto"/>
            <w:noWrap/>
            <w:vAlign w:val="bottom"/>
            <w:hideMark/>
          </w:tcPr>
          <w:p w14:paraId="729EA620"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22,880</w:t>
            </w:r>
          </w:p>
        </w:tc>
        <w:tc>
          <w:tcPr>
            <w:tcW w:w="992" w:type="dxa"/>
            <w:tcBorders>
              <w:top w:val="nil"/>
              <w:left w:val="nil"/>
              <w:bottom w:val="single" w:sz="4" w:space="0" w:color="auto"/>
              <w:right w:val="single" w:sz="4" w:space="0" w:color="auto"/>
            </w:tcBorders>
            <w:shd w:val="clear" w:color="auto" w:fill="auto"/>
            <w:noWrap/>
            <w:vAlign w:val="bottom"/>
            <w:hideMark/>
          </w:tcPr>
          <w:p w14:paraId="4B581123"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22,880</w:t>
            </w:r>
          </w:p>
        </w:tc>
        <w:tc>
          <w:tcPr>
            <w:tcW w:w="992" w:type="dxa"/>
            <w:tcBorders>
              <w:top w:val="nil"/>
              <w:left w:val="nil"/>
              <w:bottom w:val="single" w:sz="4" w:space="0" w:color="auto"/>
              <w:right w:val="single" w:sz="4" w:space="0" w:color="auto"/>
            </w:tcBorders>
            <w:shd w:val="clear" w:color="auto" w:fill="auto"/>
            <w:noWrap/>
            <w:vAlign w:val="bottom"/>
            <w:hideMark/>
          </w:tcPr>
          <w:p w14:paraId="0C963AC5"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22,880</w:t>
            </w:r>
          </w:p>
        </w:tc>
        <w:tc>
          <w:tcPr>
            <w:tcW w:w="1134" w:type="dxa"/>
            <w:tcBorders>
              <w:top w:val="nil"/>
              <w:left w:val="nil"/>
              <w:bottom w:val="single" w:sz="4" w:space="0" w:color="auto"/>
              <w:right w:val="single" w:sz="4" w:space="0" w:color="auto"/>
            </w:tcBorders>
            <w:shd w:val="clear" w:color="auto" w:fill="auto"/>
            <w:noWrap/>
            <w:vAlign w:val="bottom"/>
            <w:hideMark/>
          </w:tcPr>
          <w:p w14:paraId="7A593CE1"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114,400</w:t>
            </w:r>
          </w:p>
        </w:tc>
        <w:tc>
          <w:tcPr>
            <w:tcW w:w="851" w:type="dxa"/>
            <w:tcBorders>
              <w:top w:val="single" w:sz="4" w:space="0" w:color="auto"/>
              <w:bottom w:val="single" w:sz="4" w:space="0" w:color="auto"/>
              <w:right w:val="single" w:sz="4" w:space="0" w:color="auto"/>
            </w:tcBorders>
            <w:vAlign w:val="center"/>
          </w:tcPr>
          <w:p w14:paraId="79AB2CE7" w14:textId="3BB99A40" w:rsidR="006F7397" w:rsidRPr="00AF19E3" w:rsidRDefault="006F7397" w:rsidP="006F7397">
            <w:pPr>
              <w:spacing w:after="0"/>
              <w:jc w:val="center"/>
              <w:rPr>
                <w:rFonts w:ascii="Times New Roman" w:hAnsi="Times New Roman"/>
                <w:sz w:val="18"/>
                <w:szCs w:val="18"/>
              </w:rPr>
            </w:pPr>
            <w:r w:rsidRPr="00AF19E3">
              <w:rPr>
                <w:rFonts w:ascii="Times New Roman" w:hAnsi="Times New Roman"/>
                <w:color w:val="000000"/>
                <w:sz w:val="18"/>
                <w:szCs w:val="18"/>
                <w:lang w:eastAsia="en-GB"/>
              </w:rPr>
              <w:t>8</w:t>
            </w:r>
          </w:p>
        </w:tc>
      </w:tr>
      <w:tr w:rsidR="006F7397" w14:paraId="5A6FAD9E" w14:textId="491AB8C5"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1C906A41"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6B48F45C" w14:textId="77777777" w:rsidR="006F7397" w:rsidRPr="00AF19E3" w:rsidRDefault="006F7397">
            <w:pPr>
              <w:rPr>
                <w:rFonts w:ascii="Times New Roman" w:hAnsi="Times New Roman"/>
                <w:color w:val="00000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68D368D4" w14:textId="77777777" w:rsidR="006F7397" w:rsidRPr="00AF19E3" w:rsidRDefault="006F7397">
            <w:pPr>
              <w:rPr>
                <w:rFonts w:ascii="Times New Roman" w:hAnsi="Times New Roman"/>
                <w:color w:val="000000"/>
                <w:sz w:val="18"/>
                <w:szCs w:val="18"/>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11696D27"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148D265F"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72100</w:t>
            </w:r>
          </w:p>
        </w:tc>
        <w:tc>
          <w:tcPr>
            <w:tcW w:w="2126" w:type="dxa"/>
            <w:tcBorders>
              <w:top w:val="nil"/>
              <w:left w:val="nil"/>
              <w:bottom w:val="single" w:sz="4" w:space="0" w:color="auto"/>
              <w:right w:val="single" w:sz="4" w:space="0" w:color="auto"/>
            </w:tcBorders>
            <w:shd w:val="clear" w:color="auto" w:fill="auto"/>
            <w:noWrap/>
            <w:vAlign w:val="bottom"/>
            <w:hideMark/>
          </w:tcPr>
          <w:p w14:paraId="0605BCA5" w14:textId="77777777" w:rsidR="006F7397" w:rsidRPr="00AF19E3" w:rsidRDefault="006F7397">
            <w:pPr>
              <w:rPr>
                <w:rFonts w:ascii="Times New Roman" w:hAnsi="Times New Roman"/>
                <w:sz w:val="18"/>
                <w:szCs w:val="18"/>
              </w:rPr>
            </w:pPr>
            <w:r w:rsidRPr="00AF19E3">
              <w:rPr>
                <w:rFonts w:ascii="Times New Roman" w:hAnsi="Times New Roman"/>
                <w:sz w:val="18"/>
                <w:szCs w:val="18"/>
              </w:rPr>
              <w:t>Contractual Services</w:t>
            </w:r>
          </w:p>
        </w:tc>
        <w:tc>
          <w:tcPr>
            <w:tcW w:w="1134" w:type="dxa"/>
            <w:tcBorders>
              <w:top w:val="nil"/>
              <w:left w:val="nil"/>
              <w:bottom w:val="single" w:sz="4" w:space="0" w:color="auto"/>
              <w:right w:val="single" w:sz="4" w:space="0" w:color="auto"/>
            </w:tcBorders>
            <w:shd w:val="clear" w:color="auto" w:fill="auto"/>
            <w:noWrap/>
            <w:vAlign w:val="bottom"/>
            <w:hideMark/>
          </w:tcPr>
          <w:p w14:paraId="2522A6E9"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4,000</w:t>
            </w:r>
          </w:p>
        </w:tc>
        <w:tc>
          <w:tcPr>
            <w:tcW w:w="1134" w:type="dxa"/>
            <w:tcBorders>
              <w:top w:val="nil"/>
              <w:left w:val="nil"/>
              <w:bottom w:val="single" w:sz="4" w:space="0" w:color="auto"/>
              <w:right w:val="single" w:sz="4" w:space="0" w:color="auto"/>
            </w:tcBorders>
            <w:shd w:val="clear" w:color="auto" w:fill="auto"/>
            <w:noWrap/>
            <w:vAlign w:val="bottom"/>
            <w:hideMark/>
          </w:tcPr>
          <w:p w14:paraId="3D6A0F7D"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4,000</w:t>
            </w:r>
          </w:p>
        </w:tc>
        <w:tc>
          <w:tcPr>
            <w:tcW w:w="1134" w:type="dxa"/>
            <w:tcBorders>
              <w:top w:val="nil"/>
              <w:left w:val="nil"/>
              <w:bottom w:val="single" w:sz="4" w:space="0" w:color="auto"/>
              <w:right w:val="single" w:sz="4" w:space="0" w:color="auto"/>
            </w:tcBorders>
            <w:shd w:val="clear" w:color="auto" w:fill="auto"/>
            <w:noWrap/>
            <w:vAlign w:val="bottom"/>
            <w:hideMark/>
          </w:tcPr>
          <w:p w14:paraId="28E0F5E5"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4,000</w:t>
            </w:r>
          </w:p>
        </w:tc>
        <w:tc>
          <w:tcPr>
            <w:tcW w:w="992" w:type="dxa"/>
            <w:tcBorders>
              <w:top w:val="nil"/>
              <w:left w:val="nil"/>
              <w:bottom w:val="single" w:sz="4" w:space="0" w:color="auto"/>
              <w:right w:val="single" w:sz="4" w:space="0" w:color="auto"/>
            </w:tcBorders>
            <w:shd w:val="clear" w:color="auto" w:fill="auto"/>
            <w:noWrap/>
            <w:vAlign w:val="bottom"/>
            <w:hideMark/>
          </w:tcPr>
          <w:p w14:paraId="5946109B"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4,000</w:t>
            </w:r>
          </w:p>
        </w:tc>
        <w:tc>
          <w:tcPr>
            <w:tcW w:w="992" w:type="dxa"/>
            <w:tcBorders>
              <w:top w:val="nil"/>
              <w:left w:val="nil"/>
              <w:bottom w:val="single" w:sz="4" w:space="0" w:color="auto"/>
              <w:right w:val="single" w:sz="4" w:space="0" w:color="auto"/>
            </w:tcBorders>
            <w:shd w:val="clear" w:color="auto" w:fill="auto"/>
            <w:noWrap/>
            <w:vAlign w:val="bottom"/>
            <w:hideMark/>
          </w:tcPr>
          <w:p w14:paraId="6FF7EFE9"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4,000</w:t>
            </w:r>
          </w:p>
        </w:tc>
        <w:tc>
          <w:tcPr>
            <w:tcW w:w="1134" w:type="dxa"/>
            <w:tcBorders>
              <w:top w:val="nil"/>
              <w:left w:val="nil"/>
              <w:bottom w:val="single" w:sz="4" w:space="0" w:color="auto"/>
              <w:right w:val="single" w:sz="4" w:space="0" w:color="auto"/>
            </w:tcBorders>
            <w:shd w:val="clear" w:color="auto" w:fill="auto"/>
            <w:noWrap/>
            <w:vAlign w:val="bottom"/>
            <w:hideMark/>
          </w:tcPr>
          <w:p w14:paraId="15BBA32D"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20,000</w:t>
            </w:r>
          </w:p>
        </w:tc>
        <w:tc>
          <w:tcPr>
            <w:tcW w:w="851" w:type="dxa"/>
            <w:tcBorders>
              <w:top w:val="single" w:sz="4" w:space="0" w:color="auto"/>
              <w:bottom w:val="single" w:sz="4" w:space="0" w:color="auto"/>
              <w:right w:val="single" w:sz="4" w:space="0" w:color="auto"/>
            </w:tcBorders>
            <w:vAlign w:val="center"/>
          </w:tcPr>
          <w:p w14:paraId="212F268C" w14:textId="5A5F6662" w:rsidR="006F7397" w:rsidRPr="00AF19E3" w:rsidRDefault="006F7397" w:rsidP="006F7397">
            <w:pPr>
              <w:spacing w:after="0"/>
              <w:jc w:val="center"/>
              <w:rPr>
                <w:rFonts w:ascii="Times New Roman" w:hAnsi="Times New Roman"/>
                <w:sz w:val="18"/>
                <w:szCs w:val="18"/>
              </w:rPr>
            </w:pPr>
            <w:r w:rsidRPr="00AF19E3">
              <w:rPr>
                <w:rFonts w:ascii="Times New Roman" w:hAnsi="Times New Roman"/>
                <w:color w:val="000000"/>
                <w:sz w:val="18"/>
                <w:szCs w:val="18"/>
                <w:lang w:eastAsia="en-GB"/>
              </w:rPr>
              <w:t>4</w:t>
            </w:r>
          </w:p>
        </w:tc>
      </w:tr>
      <w:tr w:rsidR="006F7397" w14:paraId="670C0A66" w14:textId="3283C422"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0964700D"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6D2B5A8B" w14:textId="77777777" w:rsidR="006F7397" w:rsidRPr="00AF19E3" w:rsidRDefault="006F7397">
            <w:pPr>
              <w:rPr>
                <w:rFonts w:ascii="Times New Roman" w:hAnsi="Times New Roman"/>
                <w:color w:val="00000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33D6CB3" w14:textId="77777777" w:rsidR="006F7397" w:rsidRPr="00AF19E3" w:rsidRDefault="006F7397">
            <w:pPr>
              <w:rPr>
                <w:rFonts w:ascii="Times New Roman" w:hAnsi="Times New Roman"/>
                <w:color w:val="000000"/>
                <w:sz w:val="18"/>
                <w:szCs w:val="18"/>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67FDF93"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02B0EE5C"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72200</w:t>
            </w:r>
          </w:p>
        </w:tc>
        <w:tc>
          <w:tcPr>
            <w:tcW w:w="2126" w:type="dxa"/>
            <w:tcBorders>
              <w:top w:val="nil"/>
              <w:left w:val="nil"/>
              <w:bottom w:val="single" w:sz="4" w:space="0" w:color="auto"/>
              <w:right w:val="single" w:sz="4" w:space="0" w:color="auto"/>
            </w:tcBorders>
            <w:shd w:val="clear" w:color="auto" w:fill="auto"/>
            <w:noWrap/>
            <w:vAlign w:val="bottom"/>
            <w:hideMark/>
          </w:tcPr>
          <w:p w14:paraId="58B4FEBC" w14:textId="77777777" w:rsidR="006F7397" w:rsidRPr="00AF19E3" w:rsidRDefault="006F7397">
            <w:pPr>
              <w:rPr>
                <w:rFonts w:ascii="Times New Roman" w:hAnsi="Times New Roman"/>
                <w:sz w:val="18"/>
                <w:szCs w:val="18"/>
              </w:rPr>
            </w:pPr>
            <w:r w:rsidRPr="00AF19E3">
              <w:rPr>
                <w:rFonts w:ascii="Times New Roman" w:hAnsi="Times New Roman"/>
                <w:sz w:val="18"/>
                <w:szCs w:val="18"/>
              </w:rPr>
              <w:t>Equipment and Furniture</w:t>
            </w:r>
          </w:p>
        </w:tc>
        <w:tc>
          <w:tcPr>
            <w:tcW w:w="1134" w:type="dxa"/>
            <w:tcBorders>
              <w:top w:val="nil"/>
              <w:left w:val="nil"/>
              <w:bottom w:val="single" w:sz="4" w:space="0" w:color="auto"/>
              <w:right w:val="single" w:sz="4" w:space="0" w:color="auto"/>
            </w:tcBorders>
            <w:shd w:val="clear" w:color="auto" w:fill="auto"/>
            <w:noWrap/>
            <w:vAlign w:val="bottom"/>
            <w:hideMark/>
          </w:tcPr>
          <w:p w14:paraId="329D5ECC"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600</w:t>
            </w:r>
          </w:p>
        </w:tc>
        <w:tc>
          <w:tcPr>
            <w:tcW w:w="1134" w:type="dxa"/>
            <w:tcBorders>
              <w:top w:val="nil"/>
              <w:left w:val="nil"/>
              <w:bottom w:val="single" w:sz="4" w:space="0" w:color="auto"/>
              <w:right w:val="single" w:sz="4" w:space="0" w:color="auto"/>
            </w:tcBorders>
            <w:shd w:val="clear" w:color="auto" w:fill="auto"/>
            <w:noWrap/>
            <w:vAlign w:val="bottom"/>
            <w:hideMark/>
          </w:tcPr>
          <w:p w14:paraId="5A4A8330"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600</w:t>
            </w:r>
          </w:p>
        </w:tc>
        <w:tc>
          <w:tcPr>
            <w:tcW w:w="1134" w:type="dxa"/>
            <w:tcBorders>
              <w:top w:val="nil"/>
              <w:left w:val="nil"/>
              <w:bottom w:val="single" w:sz="4" w:space="0" w:color="auto"/>
              <w:right w:val="single" w:sz="4" w:space="0" w:color="auto"/>
            </w:tcBorders>
            <w:shd w:val="clear" w:color="auto" w:fill="auto"/>
            <w:noWrap/>
            <w:vAlign w:val="bottom"/>
            <w:hideMark/>
          </w:tcPr>
          <w:p w14:paraId="7797A26C"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600</w:t>
            </w:r>
          </w:p>
        </w:tc>
        <w:tc>
          <w:tcPr>
            <w:tcW w:w="992" w:type="dxa"/>
            <w:tcBorders>
              <w:top w:val="nil"/>
              <w:left w:val="nil"/>
              <w:bottom w:val="single" w:sz="4" w:space="0" w:color="auto"/>
              <w:right w:val="single" w:sz="4" w:space="0" w:color="auto"/>
            </w:tcBorders>
            <w:shd w:val="clear" w:color="auto" w:fill="auto"/>
            <w:noWrap/>
            <w:vAlign w:val="bottom"/>
            <w:hideMark/>
          </w:tcPr>
          <w:p w14:paraId="0F3F0F36"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600</w:t>
            </w:r>
          </w:p>
        </w:tc>
        <w:tc>
          <w:tcPr>
            <w:tcW w:w="992" w:type="dxa"/>
            <w:tcBorders>
              <w:top w:val="nil"/>
              <w:left w:val="nil"/>
              <w:bottom w:val="single" w:sz="4" w:space="0" w:color="auto"/>
              <w:right w:val="single" w:sz="4" w:space="0" w:color="auto"/>
            </w:tcBorders>
            <w:shd w:val="clear" w:color="auto" w:fill="auto"/>
            <w:noWrap/>
            <w:vAlign w:val="bottom"/>
            <w:hideMark/>
          </w:tcPr>
          <w:p w14:paraId="01373568"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600</w:t>
            </w:r>
          </w:p>
        </w:tc>
        <w:tc>
          <w:tcPr>
            <w:tcW w:w="1134" w:type="dxa"/>
            <w:tcBorders>
              <w:top w:val="nil"/>
              <w:left w:val="nil"/>
              <w:bottom w:val="single" w:sz="4" w:space="0" w:color="auto"/>
              <w:right w:val="single" w:sz="4" w:space="0" w:color="auto"/>
            </w:tcBorders>
            <w:shd w:val="clear" w:color="auto" w:fill="auto"/>
            <w:noWrap/>
            <w:vAlign w:val="bottom"/>
            <w:hideMark/>
          </w:tcPr>
          <w:p w14:paraId="3E087F65"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3,000</w:t>
            </w:r>
          </w:p>
        </w:tc>
        <w:tc>
          <w:tcPr>
            <w:tcW w:w="851" w:type="dxa"/>
            <w:tcBorders>
              <w:top w:val="single" w:sz="4" w:space="0" w:color="auto"/>
              <w:bottom w:val="single" w:sz="4" w:space="0" w:color="auto"/>
              <w:right w:val="single" w:sz="4" w:space="0" w:color="auto"/>
            </w:tcBorders>
            <w:vAlign w:val="center"/>
          </w:tcPr>
          <w:p w14:paraId="04081303" w14:textId="18E7B557" w:rsidR="006F7397" w:rsidRPr="00AF19E3" w:rsidRDefault="006F7397" w:rsidP="006F7397">
            <w:pPr>
              <w:spacing w:after="0"/>
              <w:jc w:val="center"/>
              <w:rPr>
                <w:rFonts w:ascii="Times New Roman" w:hAnsi="Times New Roman"/>
                <w:sz w:val="18"/>
                <w:szCs w:val="18"/>
              </w:rPr>
            </w:pPr>
            <w:r w:rsidRPr="00AF19E3">
              <w:rPr>
                <w:rFonts w:ascii="Times New Roman" w:hAnsi="Times New Roman"/>
                <w:color w:val="000000"/>
                <w:sz w:val="18"/>
                <w:szCs w:val="18"/>
                <w:lang w:eastAsia="en-GB"/>
              </w:rPr>
              <w:t>9</w:t>
            </w:r>
          </w:p>
        </w:tc>
      </w:tr>
      <w:tr w:rsidR="006F7397" w14:paraId="4D1492B1" w14:textId="3191D257"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53F7E603"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683FDDB3" w14:textId="77777777" w:rsidR="006F7397" w:rsidRPr="00AF19E3" w:rsidRDefault="006F7397">
            <w:pPr>
              <w:rPr>
                <w:rFonts w:ascii="Times New Roman" w:hAnsi="Times New Roman"/>
                <w:color w:val="00000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5290958" w14:textId="77777777" w:rsidR="006F7397" w:rsidRPr="00AF19E3" w:rsidRDefault="006F7397">
            <w:pPr>
              <w:rPr>
                <w:rFonts w:ascii="Times New Roman" w:hAnsi="Times New Roman"/>
                <w:color w:val="000000"/>
                <w:sz w:val="18"/>
                <w:szCs w:val="18"/>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425875B2"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56A809C0"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71600</w:t>
            </w:r>
          </w:p>
        </w:tc>
        <w:tc>
          <w:tcPr>
            <w:tcW w:w="2126" w:type="dxa"/>
            <w:tcBorders>
              <w:top w:val="nil"/>
              <w:left w:val="nil"/>
              <w:bottom w:val="single" w:sz="4" w:space="0" w:color="auto"/>
              <w:right w:val="single" w:sz="4" w:space="0" w:color="auto"/>
            </w:tcBorders>
            <w:shd w:val="clear" w:color="auto" w:fill="auto"/>
            <w:noWrap/>
            <w:vAlign w:val="bottom"/>
            <w:hideMark/>
          </w:tcPr>
          <w:p w14:paraId="078AEDA9" w14:textId="77777777" w:rsidR="006F7397" w:rsidRPr="00AF19E3" w:rsidRDefault="006F7397">
            <w:pPr>
              <w:rPr>
                <w:rFonts w:ascii="Times New Roman" w:hAnsi="Times New Roman"/>
                <w:sz w:val="18"/>
                <w:szCs w:val="18"/>
              </w:rPr>
            </w:pPr>
            <w:r w:rsidRPr="00AF19E3">
              <w:rPr>
                <w:rFonts w:ascii="Times New Roman" w:hAnsi="Times New Roman"/>
                <w:sz w:val="18"/>
                <w:szCs w:val="18"/>
              </w:rPr>
              <w:t>Travel</w:t>
            </w:r>
          </w:p>
        </w:tc>
        <w:tc>
          <w:tcPr>
            <w:tcW w:w="1134" w:type="dxa"/>
            <w:tcBorders>
              <w:top w:val="nil"/>
              <w:left w:val="nil"/>
              <w:bottom w:val="single" w:sz="4" w:space="0" w:color="auto"/>
              <w:right w:val="single" w:sz="4" w:space="0" w:color="auto"/>
            </w:tcBorders>
            <w:shd w:val="clear" w:color="auto" w:fill="auto"/>
            <w:noWrap/>
            <w:vAlign w:val="bottom"/>
            <w:hideMark/>
          </w:tcPr>
          <w:p w14:paraId="77CC16E0"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1134" w:type="dxa"/>
            <w:tcBorders>
              <w:top w:val="nil"/>
              <w:left w:val="nil"/>
              <w:bottom w:val="single" w:sz="4" w:space="0" w:color="auto"/>
              <w:right w:val="single" w:sz="4" w:space="0" w:color="auto"/>
            </w:tcBorders>
            <w:shd w:val="clear" w:color="auto" w:fill="auto"/>
            <w:noWrap/>
            <w:vAlign w:val="bottom"/>
            <w:hideMark/>
          </w:tcPr>
          <w:p w14:paraId="6B968F33"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1134" w:type="dxa"/>
            <w:tcBorders>
              <w:top w:val="nil"/>
              <w:left w:val="nil"/>
              <w:bottom w:val="single" w:sz="4" w:space="0" w:color="auto"/>
              <w:right w:val="single" w:sz="4" w:space="0" w:color="auto"/>
            </w:tcBorders>
            <w:shd w:val="clear" w:color="auto" w:fill="auto"/>
            <w:noWrap/>
            <w:vAlign w:val="bottom"/>
            <w:hideMark/>
          </w:tcPr>
          <w:p w14:paraId="0A009316"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992" w:type="dxa"/>
            <w:tcBorders>
              <w:top w:val="nil"/>
              <w:left w:val="nil"/>
              <w:bottom w:val="single" w:sz="4" w:space="0" w:color="auto"/>
              <w:right w:val="single" w:sz="4" w:space="0" w:color="auto"/>
            </w:tcBorders>
            <w:shd w:val="clear" w:color="auto" w:fill="auto"/>
            <w:noWrap/>
            <w:vAlign w:val="bottom"/>
            <w:hideMark/>
          </w:tcPr>
          <w:p w14:paraId="53177AB3"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992" w:type="dxa"/>
            <w:tcBorders>
              <w:top w:val="nil"/>
              <w:left w:val="nil"/>
              <w:bottom w:val="single" w:sz="4" w:space="0" w:color="auto"/>
              <w:right w:val="single" w:sz="4" w:space="0" w:color="auto"/>
            </w:tcBorders>
            <w:shd w:val="clear" w:color="auto" w:fill="auto"/>
            <w:noWrap/>
            <w:vAlign w:val="bottom"/>
            <w:hideMark/>
          </w:tcPr>
          <w:p w14:paraId="46CAF859"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1134" w:type="dxa"/>
            <w:tcBorders>
              <w:top w:val="nil"/>
              <w:left w:val="nil"/>
              <w:bottom w:val="single" w:sz="4" w:space="0" w:color="auto"/>
              <w:right w:val="single" w:sz="4" w:space="0" w:color="auto"/>
            </w:tcBorders>
            <w:shd w:val="clear" w:color="auto" w:fill="auto"/>
            <w:noWrap/>
            <w:vAlign w:val="bottom"/>
            <w:hideMark/>
          </w:tcPr>
          <w:p w14:paraId="73A64792"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2,500</w:t>
            </w:r>
          </w:p>
        </w:tc>
        <w:tc>
          <w:tcPr>
            <w:tcW w:w="851" w:type="dxa"/>
            <w:tcBorders>
              <w:top w:val="single" w:sz="4" w:space="0" w:color="auto"/>
              <w:bottom w:val="single" w:sz="4" w:space="0" w:color="auto"/>
              <w:right w:val="single" w:sz="4" w:space="0" w:color="auto"/>
            </w:tcBorders>
            <w:vAlign w:val="center"/>
          </w:tcPr>
          <w:p w14:paraId="423F0EA6" w14:textId="0821D53E" w:rsidR="006F7397" w:rsidRPr="00AF19E3" w:rsidRDefault="006F7397" w:rsidP="006F7397">
            <w:pPr>
              <w:spacing w:after="0"/>
              <w:jc w:val="center"/>
              <w:rPr>
                <w:rFonts w:ascii="Times New Roman" w:hAnsi="Times New Roman"/>
                <w:sz w:val="18"/>
                <w:szCs w:val="18"/>
              </w:rPr>
            </w:pPr>
            <w:r w:rsidRPr="00AF19E3">
              <w:rPr>
                <w:rFonts w:ascii="Times New Roman" w:hAnsi="Times New Roman"/>
                <w:color w:val="000000"/>
                <w:sz w:val="18"/>
                <w:szCs w:val="18"/>
                <w:lang w:eastAsia="en-GB"/>
              </w:rPr>
              <w:t>10</w:t>
            </w:r>
          </w:p>
        </w:tc>
      </w:tr>
      <w:tr w:rsidR="006F7397" w14:paraId="31FFA2CC" w14:textId="14FE6452"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294C644C"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72B082D6" w14:textId="77777777" w:rsidR="006F7397" w:rsidRPr="00AF19E3" w:rsidRDefault="006F7397">
            <w:pPr>
              <w:rPr>
                <w:rFonts w:ascii="Times New Roman" w:hAnsi="Times New Roman"/>
                <w:color w:val="00000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89833AA" w14:textId="77777777" w:rsidR="006F7397" w:rsidRPr="00AF19E3" w:rsidRDefault="006F7397">
            <w:pPr>
              <w:rPr>
                <w:rFonts w:ascii="Times New Roman" w:hAnsi="Times New Roman"/>
                <w:color w:val="000000"/>
                <w:sz w:val="18"/>
                <w:szCs w:val="18"/>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0202FE91"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47ECB341"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72400</w:t>
            </w:r>
          </w:p>
        </w:tc>
        <w:tc>
          <w:tcPr>
            <w:tcW w:w="2126" w:type="dxa"/>
            <w:tcBorders>
              <w:top w:val="nil"/>
              <w:left w:val="nil"/>
              <w:bottom w:val="single" w:sz="4" w:space="0" w:color="auto"/>
              <w:right w:val="single" w:sz="4" w:space="0" w:color="auto"/>
            </w:tcBorders>
            <w:shd w:val="clear" w:color="auto" w:fill="auto"/>
            <w:noWrap/>
            <w:vAlign w:val="bottom"/>
            <w:hideMark/>
          </w:tcPr>
          <w:p w14:paraId="5EA58F64" w14:textId="2044014D" w:rsidR="006F7397" w:rsidRPr="00AF19E3" w:rsidRDefault="006F7397" w:rsidP="00AF19E3">
            <w:pPr>
              <w:jc w:val="left"/>
              <w:rPr>
                <w:rFonts w:ascii="Times New Roman" w:hAnsi="Times New Roman"/>
                <w:sz w:val="18"/>
                <w:szCs w:val="18"/>
              </w:rPr>
            </w:pPr>
            <w:r w:rsidRPr="00AF19E3">
              <w:rPr>
                <w:rFonts w:ascii="Times New Roman" w:hAnsi="Times New Roman"/>
                <w:sz w:val="18"/>
                <w:szCs w:val="18"/>
              </w:rPr>
              <w:t>Communic</w:t>
            </w:r>
            <w:r w:rsidR="00AF19E3">
              <w:rPr>
                <w:rFonts w:ascii="Times New Roman" w:hAnsi="Times New Roman"/>
                <w:sz w:val="18"/>
                <w:szCs w:val="18"/>
              </w:rPr>
              <w:t xml:space="preserve">ation </w:t>
            </w:r>
            <w:r w:rsidRPr="00AF19E3">
              <w:rPr>
                <w:rFonts w:ascii="Times New Roman" w:hAnsi="Times New Roman"/>
                <w:sz w:val="18"/>
                <w:szCs w:val="18"/>
              </w:rPr>
              <w:t>&amp;</w:t>
            </w:r>
            <w:r w:rsidR="00AF19E3">
              <w:rPr>
                <w:rFonts w:ascii="Times New Roman" w:hAnsi="Times New Roman"/>
                <w:sz w:val="18"/>
                <w:szCs w:val="18"/>
              </w:rPr>
              <w:t xml:space="preserve"> </w:t>
            </w:r>
            <w:r w:rsidRPr="00AF19E3">
              <w:rPr>
                <w:rFonts w:ascii="Times New Roman" w:hAnsi="Times New Roman"/>
                <w:sz w:val="18"/>
                <w:szCs w:val="18"/>
              </w:rPr>
              <w:t>Audio</w:t>
            </w:r>
            <w:r w:rsidR="00AF19E3">
              <w:rPr>
                <w:rFonts w:ascii="Times New Roman" w:hAnsi="Times New Roman"/>
                <w:sz w:val="18"/>
                <w:szCs w:val="18"/>
              </w:rPr>
              <w:t xml:space="preserve"> </w:t>
            </w:r>
            <w:r w:rsidRPr="00AF19E3">
              <w:rPr>
                <w:rFonts w:ascii="Times New Roman" w:hAnsi="Times New Roman"/>
                <w:sz w:val="18"/>
                <w:szCs w:val="18"/>
              </w:rPr>
              <w:t>Visual Equip</w:t>
            </w:r>
          </w:p>
        </w:tc>
        <w:tc>
          <w:tcPr>
            <w:tcW w:w="1134" w:type="dxa"/>
            <w:tcBorders>
              <w:top w:val="nil"/>
              <w:left w:val="nil"/>
              <w:bottom w:val="single" w:sz="4" w:space="0" w:color="auto"/>
              <w:right w:val="single" w:sz="4" w:space="0" w:color="auto"/>
            </w:tcBorders>
            <w:shd w:val="clear" w:color="auto" w:fill="auto"/>
            <w:noWrap/>
            <w:vAlign w:val="bottom"/>
            <w:hideMark/>
          </w:tcPr>
          <w:p w14:paraId="107AEAD0"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1134" w:type="dxa"/>
            <w:tcBorders>
              <w:top w:val="nil"/>
              <w:left w:val="nil"/>
              <w:bottom w:val="single" w:sz="4" w:space="0" w:color="auto"/>
              <w:right w:val="single" w:sz="4" w:space="0" w:color="auto"/>
            </w:tcBorders>
            <w:shd w:val="clear" w:color="auto" w:fill="auto"/>
            <w:noWrap/>
            <w:vAlign w:val="bottom"/>
            <w:hideMark/>
          </w:tcPr>
          <w:p w14:paraId="568EEE39"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1134" w:type="dxa"/>
            <w:tcBorders>
              <w:top w:val="nil"/>
              <w:left w:val="nil"/>
              <w:bottom w:val="single" w:sz="4" w:space="0" w:color="auto"/>
              <w:right w:val="single" w:sz="4" w:space="0" w:color="auto"/>
            </w:tcBorders>
            <w:shd w:val="clear" w:color="auto" w:fill="auto"/>
            <w:noWrap/>
            <w:vAlign w:val="bottom"/>
            <w:hideMark/>
          </w:tcPr>
          <w:p w14:paraId="4455F78B"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992" w:type="dxa"/>
            <w:tcBorders>
              <w:top w:val="nil"/>
              <w:left w:val="nil"/>
              <w:bottom w:val="single" w:sz="4" w:space="0" w:color="auto"/>
              <w:right w:val="single" w:sz="4" w:space="0" w:color="auto"/>
            </w:tcBorders>
            <w:shd w:val="clear" w:color="auto" w:fill="auto"/>
            <w:noWrap/>
            <w:vAlign w:val="bottom"/>
            <w:hideMark/>
          </w:tcPr>
          <w:p w14:paraId="31066C7C"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992" w:type="dxa"/>
            <w:tcBorders>
              <w:top w:val="nil"/>
              <w:left w:val="nil"/>
              <w:bottom w:val="single" w:sz="4" w:space="0" w:color="auto"/>
              <w:right w:val="single" w:sz="4" w:space="0" w:color="auto"/>
            </w:tcBorders>
            <w:shd w:val="clear" w:color="auto" w:fill="auto"/>
            <w:noWrap/>
            <w:vAlign w:val="bottom"/>
            <w:hideMark/>
          </w:tcPr>
          <w:p w14:paraId="5E7C947B"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1134" w:type="dxa"/>
            <w:tcBorders>
              <w:top w:val="nil"/>
              <w:left w:val="nil"/>
              <w:bottom w:val="single" w:sz="4" w:space="0" w:color="auto"/>
              <w:right w:val="single" w:sz="4" w:space="0" w:color="auto"/>
            </w:tcBorders>
            <w:shd w:val="clear" w:color="auto" w:fill="auto"/>
            <w:noWrap/>
            <w:vAlign w:val="bottom"/>
            <w:hideMark/>
          </w:tcPr>
          <w:p w14:paraId="6C591ECE"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2,500</w:t>
            </w:r>
          </w:p>
        </w:tc>
        <w:tc>
          <w:tcPr>
            <w:tcW w:w="851" w:type="dxa"/>
            <w:tcBorders>
              <w:top w:val="single" w:sz="4" w:space="0" w:color="auto"/>
              <w:bottom w:val="single" w:sz="4" w:space="0" w:color="auto"/>
              <w:right w:val="single" w:sz="4" w:space="0" w:color="auto"/>
            </w:tcBorders>
            <w:vAlign w:val="center"/>
          </w:tcPr>
          <w:p w14:paraId="7E5B6B7C" w14:textId="0C248820" w:rsidR="006F7397" w:rsidRPr="00AF19E3" w:rsidRDefault="006F7397" w:rsidP="006F7397">
            <w:pPr>
              <w:spacing w:after="0"/>
              <w:jc w:val="center"/>
              <w:rPr>
                <w:rFonts w:ascii="Times New Roman" w:hAnsi="Times New Roman"/>
                <w:sz w:val="18"/>
                <w:szCs w:val="18"/>
              </w:rPr>
            </w:pPr>
            <w:r w:rsidRPr="00AF19E3">
              <w:rPr>
                <w:rFonts w:ascii="Times New Roman" w:hAnsi="Times New Roman"/>
                <w:color w:val="000000"/>
                <w:sz w:val="18"/>
                <w:szCs w:val="18"/>
                <w:lang w:eastAsia="en-GB"/>
              </w:rPr>
              <w:t>11</w:t>
            </w:r>
          </w:p>
        </w:tc>
      </w:tr>
      <w:tr w:rsidR="006F7397" w14:paraId="2DD4767F" w14:textId="308754FF"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37153D68"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44E19BB1" w14:textId="77777777" w:rsidR="006F7397" w:rsidRPr="00AF19E3" w:rsidRDefault="006F7397">
            <w:pPr>
              <w:rPr>
                <w:rFonts w:ascii="Times New Roman" w:hAnsi="Times New Roman"/>
                <w:color w:val="00000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1E1EB822" w14:textId="77777777" w:rsidR="006F7397" w:rsidRPr="00AF19E3" w:rsidRDefault="006F7397">
            <w:pPr>
              <w:rPr>
                <w:rFonts w:ascii="Times New Roman" w:hAnsi="Times New Roman"/>
                <w:color w:val="000000"/>
                <w:sz w:val="18"/>
                <w:szCs w:val="18"/>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1B8ABA3C"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34174705"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74500</w:t>
            </w:r>
          </w:p>
        </w:tc>
        <w:tc>
          <w:tcPr>
            <w:tcW w:w="2126" w:type="dxa"/>
            <w:tcBorders>
              <w:top w:val="nil"/>
              <w:left w:val="nil"/>
              <w:bottom w:val="single" w:sz="4" w:space="0" w:color="auto"/>
              <w:right w:val="single" w:sz="4" w:space="0" w:color="auto"/>
            </w:tcBorders>
            <w:shd w:val="clear" w:color="auto" w:fill="auto"/>
            <w:noWrap/>
            <w:vAlign w:val="bottom"/>
            <w:hideMark/>
          </w:tcPr>
          <w:p w14:paraId="7C0C5FA2" w14:textId="26F7FC74" w:rsidR="006F7397" w:rsidRPr="00AF19E3" w:rsidRDefault="006F7397" w:rsidP="00AF19E3">
            <w:pPr>
              <w:jc w:val="left"/>
              <w:rPr>
                <w:rFonts w:ascii="Times New Roman" w:hAnsi="Times New Roman"/>
                <w:sz w:val="18"/>
                <w:szCs w:val="18"/>
              </w:rPr>
            </w:pPr>
            <w:r w:rsidRPr="00AF19E3">
              <w:rPr>
                <w:rFonts w:ascii="Times New Roman" w:hAnsi="Times New Roman"/>
                <w:sz w:val="18"/>
                <w:szCs w:val="18"/>
              </w:rPr>
              <w:t>Misce</w:t>
            </w:r>
            <w:r w:rsidR="00AF19E3">
              <w:rPr>
                <w:rFonts w:ascii="Times New Roman" w:hAnsi="Times New Roman"/>
                <w:sz w:val="18"/>
                <w:szCs w:val="18"/>
              </w:rPr>
              <w:t>l</w:t>
            </w:r>
            <w:r w:rsidRPr="00AF19E3">
              <w:rPr>
                <w:rFonts w:ascii="Times New Roman" w:hAnsi="Times New Roman"/>
                <w:sz w:val="18"/>
                <w:szCs w:val="18"/>
              </w:rPr>
              <w:t>laneous Expenses</w:t>
            </w:r>
          </w:p>
        </w:tc>
        <w:tc>
          <w:tcPr>
            <w:tcW w:w="1134" w:type="dxa"/>
            <w:tcBorders>
              <w:top w:val="nil"/>
              <w:left w:val="nil"/>
              <w:bottom w:val="single" w:sz="4" w:space="0" w:color="auto"/>
              <w:right w:val="single" w:sz="4" w:space="0" w:color="auto"/>
            </w:tcBorders>
            <w:shd w:val="clear" w:color="auto" w:fill="auto"/>
            <w:noWrap/>
            <w:vAlign w:val="bottom"/>
            <w:hideMark/>
          </w:tcPr>
          <w:p w14:paraId="01BDBB5F"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1134" w:type="dxa"/>
            <w:tcBorders>
              <w:top w:val="nil"/>
              <w:left w:val="nil"/>
              <w:bottom w:val="single" w:sz="4" w:space="0" w:color="auto"/>
              <w:right w:val="single" w:sz="4" w:space="0" w:color="auto"/>
            </w:tcBorders>
            <w:shd w:val="clear" w:color="auto" w:fill="auto"/>
            <w:noWrap/>
            <w:vAlign w:val="bottom"/>
            <w:hideMark/>
          </w:tcPr>
          <w:p w14:paraId="66C9E62E"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1134" w:type="dxa"/>
            <w:tcBorders>
              <w:top w:val="nil"/>
              <w:left w:val="nil"/>
              <w:bottom w:val="single" w:sz="4" w:space="0" w:color="auto"/>
              <w:right w:val="single" w:sz="4" w:space="0" w:color="auto"/>
            </w:tcBorders>
            <w:shd w:val="clear" w:color="auto" w:fill="auto"/>
            <w:noWrap/>
            <w:vAlign w:val="bottom"/>
            <w:hideMark/>
          </w:tcPr>
          <w:p w14:paraId="6A90552B"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992" w:type="dxa"/>
            <w:tcBorders>
              <w:top w:val="nil"/>
              <w:left w:val="nil"/>
              <w:bottom w:val="single" w:sz="4" w:space="0" w:color="auto"/>
              <w:right w:val="single" w:sz="4" w:space="0" w:color="auto"/>
            </w:tcBorders>
            <w:shd w:val="clear" w:color="auto" w:fill="auto"/>
            <w:noWrap/>
            <w:vAlign w:val="bottom"/>
            <w:hideMark/>
          </w:tcPr>
          <w:p w14:paraId="3E203707"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992" w:type="dxa"/>
            <w:tcBorders>
              <w:top w:val="nil"/>
              <w:left w:val="nil"/>
              <w:bottom w:val="single" w:sz="4" w:space="0" w:color="auto"/>
              <w:right w:val="single" w:sz="4" w:space="0" w:color="auto"/>
            </w:tcBorders>
            <w:shd w:val="clear" w:color="auto" w:fill="auto"/>
            <w:noWrap/>
            <w:vAlign w:val="bottom"/>
            <w:hideMark/>
          </w:tcPr>
          <w:p w14:paraId="74EBCA4D"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500</w:t>
            </w:r>
          </w:p>
        </w:tc>
        <w:tc>
          <w:tcPr>
            <w:tcW w:w="1134" w:type="dxa"/>
            <w:tcBorders>
              <w:top w:val="nil"/>
              <w:left w:val="nil"/>
              <w:bottom w:val="single" w:sz="4" w:space="0" w:color="auto"/>
              <w:right w:val="single" w:sz="4" w:space="0" w:color="auto"/>
            </w:tcBorders>
            <w:shd w:val="clear" w:color="auto" w:fill="auto"/>
            <w:noWrap/>
            <w:vAlign w:val="bottom"/>
            <w:hideMark/>
          </w:tcPr>
          <w:p w14:paraId="14BCE61C"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2,500</w:t>
            </w:r>
          </w:p>
        </w:tc>
        <w:tc>
          <w:tcPr>
            <w:tcW w:w="851" w:type="dxa"/>
            <w:tcBorders>
              <w:top w:val="single" w:sz="4" w:space="0" w:color="auto"/>
              <w:bottom w:val="single" w:sz="4" w:space="0" w:color="auto"/>
              <w:right w:val="single" w:sz="4" w:space="0" w:color="auto"/>
            </w:tcBorders>
            <w:vAlign w:val="center"/>
          </w:tcPr>
          <w:p w14:paraId="52D498E5" w14:textId="40FA765D" w:rsidR="006F7397" w:rsidRPr="00AF19E3" w:rsidRDefault="006F7397" w:rsidP="006F7397">
            <w:pPr>
              <w:spacing w:after="0"/>
              <w:jc w:val="center"/>
              <w:rPr>
                <w:rFonts w:ascii="Times New Roman" w:hAnsi="Times New Roman"/>
                <w:sz w:val="18"/>
                <w:szCs w:val="18"/>
              </w:rPr>
            </w:pPr>
            <w:r w:rsidRPr="00AF19E3">
              <w:rPr>
                <w:rFonts w:ascii="Times New Roman" w:hAnsi="Times New Roman"/>
                <w:color w:val="000000"/>
                <w:sz w:val="18"/>
                <w:szCs w:val="18"/>
                <w:lang w:eastAsia="en-GB"/>
              </w:rPr>
              <w:t>12</w:t>
            </w:r>
          </w:p>
        </w:tc>
      </w:tr>
      <w:tr w:rsidR="006F7397" w14:paraId="3DEA3055" w14:textId="639B9A36" w:rsidTr="00AF19E3">
        <w:trPr>
          <w:trHeight w:val="510"/>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4AD2B410"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1052A00F" w14:textId="77777777" w:rsidR="006F7397" w:rsidRPr="00AF19E3" w:rsidRDefault="006F7397">
            <w:pPr>
              <w:rPr>
                <w:rFonts w:ascii="Times New Roman" w:hAnsi="Times New Roman"/>
                <w:color w:val="000000"/>
                <w:sz w:val="18"/>
                <w:szCs w:val="1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4CD3158C" w14:textId="77777777" w:rsidR="006F7397" w:rsidRPr="00AF19E3" w:rsidRDefault="006F7397">
            <w:pPr>
              <w:rPr>
                <w:rFonts w:ascii="Times New Roman" w:hAnsi="Times New Roman"/>
                <w:color w:val="000000"/>
                <w:sz w:val="18"/>
                <w:szCs w:val="18"/>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14:paraId="58EE7B3E"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4FFADC21"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74599</w:t>
            </w:r>
          </w:p>
        </w:tc>
        <w:tc>
          <w:tcPr>
            <w:tcW w:w="2126" w:type="dxa"/>
            <w:tcBorders>
              <w:top w:val="nil"/>
              <w:left w:val="nil"/>
              <w:bottom w:val="single" w:sz="4" w:space="0" w:color="auto"/>
              <w:right w:val="single" w:sz="4" w:space="0" w:color="auto"/>
            </w:tcBorders>
            <w:shd w:val="clear" w:color="auto" w:fill="auto"/>
            <w:vAlign w:val="bottom"/>
            <w:hideMark/>
          </w:tcPr>
          <w:p w14:paraId="65DBB953" w14:textId="129CB121" w:rsidR="006F7397" w:rsidRPr="00AF19E3" w:rsidRDefault="006F7397" w:rsidP="00AF19E3">
            <w:pPr>
              <w:jc w:val="left"/>
              <w:rPr>
                <w:rFonts w:ascii="Times New Roman" w:hAnsi="Times New Roman"/>
                <w:sz w:val="18"/>
                <w:szCs w:val="18"/>
              </w:rPr>
            </w:pPr>
            <w:r w:rsidRPr="00AF19E3">
              <w:rPr>
                <w:rFonts w:ascii="Times New Roman" w:hAnsi="Times New Roman"/>
                <w:sz w:val="18"/>
                <w:szCs w:val="18"/>
              </w:rPr>
              <w:t>Miscel</w:t>
            </w:r>
            <w:r w:rsidR="00AF19E3">
              <w:rPr>
                <w:rFonts w:ascii="Times New Roman" w:hAnsi="Times New Roman"/>
                <w:sz w:val="18"/>
                <w:szCs w:val="18"/>
              </w:rPr>
              <w:t>l</w:t>
            </w:r>
            <w:r w:rsidRPr="00AF19E3">
              <w:rPr>
                <w:rFonts w:ascii="Times New Roman" w:hAnsi="Times New Roman"/>
                <w:sz w:val="18"/>
                <w:szCs w:val="18"/>
              </w:rPr>
              <w:t>aneous</w:t>
            </w:r>
            <w:r w:rsidR="00AF19E3">
              <w:rPr>
                <w:rFonts w:ascii="Times New Roman" w:hAnsi="Times New Roman"/>
                <w:sz w:val="18"/>
                <w:szCs w:val="18"/>
              </w:rPr>
              <w:t xml:space="preserve"> </w:t>
            </w:r>
            <w:r w:rsidRPr="00AF19E3">
              <w:rPr>
                <w:rFonts w:ascii="Times New Roman" w:hAnsi="Times New Roman"/>
                <w:sz w:val="18"/>
                <w:szCs w:val="18"/>
              </w:rPr>
              <w:t xml:space="preserve">Expenses </w:t>
            </w:r>
            <w:r w:rsidRPr="00AF19E3">
              <w:rPr>
                <w:rFonts w:ascii="Times New Roman" w:hAnsi="Times New Roman"/>
                <w:sz w:val="18"/>
                <w:szCs w:val="18"/>
              </w:rPr>
              <w:br/>
              <w:t>(Project Direct Costs)</w:t>
            </w:r>
          </w:p>
        </w:tc>
        <w:tc>
          <w:tcPr>
            <w:tcW w:w="1134" w:type="dxa"/>
            <w:tcBorders>
              <w:top w:val="nil"/>
              <w:left w:val="nil"/>
              <w:bottom w:val="single" w:sz="4" w:space="0" w:color="auto"/>
              <w:right w:val="single" w:sz="4" w:space="0" w:color="auto"/>
            </w:tcBorders>
            <w:shd w:val="clear" w:color="auto" w:fill="auto"/>
            <w:noWrap/>
            <w:vAlign w:val="bottom"/>
            <w:hideMark/>
          </w:tcPr>
          <w:p w14:paraId="39618F1A"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20,000</w:t>
            </w:r>
          </w:p>
        </w:tc>
        <w:tc>
          <w:tcPr>
            <w:tcW w:w="1134" w:type="dxa"/>
            <w:tcBorders>
              <w:top w:val="nil"/>
              <w:left w:val="nil"/>
              <w:bottom w:val="single" w:sz="4" w:space="0" w:color="auto"/>
              <w:right w:val="single" w:sz="4" w:space="0" w:color="auto"/>
            </w:tcBorders>
            <w:shd w:val="clear" w:color="auto" w:fill="auto"/>
            <w:noWrap/>
            <w:vAlign w:val="bottom"/>
            <w:hideMark/>
          </w:tcPr>
          <w:p w14:paraId="6EBBAC23"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20,000</w:t>
            </w:r>
          </w:p>
        </w:tc>
        <w:tc>
          <w:tcPr>
            <w:tcW w:w="1134" w:type="dxa"/>
            <w:tcBorders>
              <w:top w:val="nil"/>
              <w:left w:val="nil"/>
              <w:bottom w:val="single" w:sz="4" w:space="0" w:color="auto"/>
              <w:right w:val="single" w:sz="4" w:space="0" w:color="auto"/>
            </w:tcBorders>
            <w:shd w:val="clear" w:color="auto" w:fill="auto"/>
            <w:noWrap/>
            <w:vAlign w:val="bottom"/>
            <w:hideMark/>
          </w:tcPr>
          <w:p w14:paraId="30C7B6CC"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20,000</w:t>
            </w:r>
          </w:p>
        </w:tc>
        <w:tc>
          <w:tcPr>
            <w:tcW w:w="992" w:type="dxa"/>
            <w:tcBorders>
              <w:top w:val="nil"/>
              <w:left w:val="nil"/>
              <w:bottom w:val="single" w:sz="4" w:space="0" w:color="auto"/>
              <w:right w:val="single" w:sz="4" w:space="0" w:color="auto"/>
            </w:tcBorders>
            <w:shd w:val="clear" w:color="auto" w:fill="auto"/>
            <w:noWrap/>
            <w:vAlign w:val="bottom"/>
            <w:hideMark/>
          </w:tcPr>
          <w:p w14:paraId="78BC8227"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20,000</w:t>
            </w:r>
          </w:p>
        </w:tc>
        <w:tc>
          <w:tcPr>
            <w:tcW w:w="992" w:type="dxa"/>
            <w:tcBorders>
              <w:top w:val="nil"/>
              <w:left w:val="nil"/>
              <w:bottom w:val="single" w:sz="4" w:space="0" w:color="auto"/>
              <w:right w:val="single" w:sz="4" w:space="0" w:color="auto"/>
            </w:tcBorders>
            <w:shd w:val="clear" w:color="auto" w:fill="auto"/>
            <w:noWrap/>
            <w:vAlign w:val="bottom"/>
            <w:hideMark/>
          </w:tcPr>
          <w:p w14:paraId="72DA0E65"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20,000</w:t>
            </w:r>
          </w:p>
        </w:tc>
        <w:tc>
          <w:tcPr>
            <w:tcW w:w="1134" w:type="dxa"/>
            <w:tcBorders>
              <w:top w:val="nil"/>
              <w:left w:val="nil"/>
              <w:bottom w:val="single" w:sz="4" w:space="0" w:color="auto"/>
              <w:right w:val="single" w:sz="4" w:space="0" w:color="auto"/>
            </w:tcBorders>
            <w:shd w:val="clear" w:color="auto" w:fill="auto"/>
            <w:noWrap/>
            <w:vAlign w:val="bottom"/>
            <w:hideMark/>
          </w:tcPr>
          <w:p w14:paraId="32673F0A"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100,000</w:t>
            </w:r>
          </w:p>
        </w:tc>
        <w:tc>
          <w:tcPr>
            <w:tcW w:w="851" w:type="dxa"/>
            <w:tcBorders>
              <w:top w:val="single" w:sz="4" w:space="0" w:color="auto"/>
              <w:bottom w:val="single" w:sz="4" w:space="0" w:color="auto"/>
              <w:right w:val="single" w:sz="4" w:space="0" w:color="auto"/>
            </w:tcBorders>
            <w:vAlign w:val="center"/>
          </w:tcPr>
          <w:p w14:paraId="6377EDF2" w14:textId="7086EBF8" w:rsidR="006F7397" w:rsidRPr="00AF19E3" w:rsidRDefault="006F7397" w:rsidP="006F7397">
            <w:pPr>
              <w:spacing w:after="0"/>
              <w:jc w:val="center"/>
              <w:rPr>
                <w:rFonts w:ascii="Times New Roman" w:hAnsi="Times New Roman"/>
                <w:sz w:val="18"/>
                <w:szCs w:val="18"/>
              </w:rPr>
            </w:pPr>
            <w:r w:rsidRPr="00AF19E3">
              <w:rPr>
                <w:rFonts w:ascii="Times New Roman" w:hAnsi="Times New Roman"/>
                <w:color w:val="000000"/>
                <w:sz w:val="18"/>
                <w:szCs w:val="18"/>
                <w:lang w:eastAsia="en-GB"/>
              </w:rPr>
              <w:t>13</w:t>
            </w:r>
          </w:p>
        </w:tc>
      </w:tr>
      <w:tr w:rsidR="006F7397" w14:paraId="7AF241E8" w14:textId="158D08BC" w:rsidTr="00AF19E3">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5C4D1494"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141B5A98" w14:textId="77777777" w:rsidR="006F7397" w:rsidRPr="00AF19E3" w:rsidRDefault="006F7397">
            <w:pPr>
              <w:rPr>
                <w:rFonts w:ascii="Times New Roman" w:hAnsi="Times New Roman"/>
                <w:color w:val="000000"/>
                <w:sz w:val="18"/>
                <w:szCs w:val="18"/>
              </w:rPr>
            </w:pPr>
          </w:p>
        </w:tc>
        <w:tc>
          <w:tcPr>
            <w:tcW w:w="851" w:type="dxa"/>
            <w:tcBorders>
              <w:top w:val="nil"/>
              <w:left w:val="nil"/>
              <w:bottom w:val="single" w:sz="4" w:space="0" w:color="auto"/>
              <w:right w:val="single" w:sz="4" w:space="0" w:color="auto"/>
            </w:tcBorders>
            <w:shd w:val="clear" w:color="auto" w:fill="auto"/>
            <w:noWrap/>
            <w:vAlign w:val="center"/>
            <w:hideMark/>
          </w:tcPr>
          <w:p w14:paraId="786F311D" w14:textId="77777777" w:rsidR="006F7397" w:rsidRPr="00AF19E3" w:rsidRDefault="006F7397">
            <w:pPr>
              <w:jc w:val="center"/>
              <w:rPr>
                <w:rFonts w:ascii="Times New Roman" w:hAnsi="Times New Roman"/>
                <w:color w:val="000000"/>
                <w:sz w:val="18"/>
                <w:szCs w:val="18"/>
              </w:rPr>
            </w:pPr>
            <w:r w:rsidRPr="00AF19E3">
              <w:rPr>
                <w:rFonts w:ascii="Times New Roman" w:hAnsi="Times New Roman"/>
                <w:color w:val="000000"/>
                <w:sz w:val="18"/>
                <w:szCs w:val="18"/>
              </w:rPr>
              <w:t> </w:t>
            </w:r>
          </w:p>
        </w:tc>
        <w:tc>
          <w:tcPr>
            <w:tcW w:w="708" w:type="dxa"/>
            <w:tcBorders>
              <w:top w:val="nil"/>
              <w:left w:val="nil"/>
              <w:bottom w:val="single" w:sz="4" w:space="0" w:color="auto"/>
              <w:right w:val="single" w:sz="4" w:space="0" w:color="auto"/>
            </w:tcBorders>
            <w:shd w:val="clear" w:color="auto" w:fill="auto"/>
            <w:vAlign w:val="center"/>
            <w:hideMark/>
          </w:tcPr>
          <w:p w14:paraId="5CBC12B4"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 </w:t>
            </w:r>
          </w:p>
        </w:tc>
        <w:tc>
          <w:tcPr>
            <w:tcW w:w="993" w:type="dxa"/>
            <w:tcBorders>
              <w:top w:val="nil"/>
              <w:left w:val="nil"/>
              <w:bottom w:val="single" w:sz="4" w:space="0" w:color="auto"/>
              <w:right w:val="single" w:sz="4" w:space="0" w:color="auto"/>
            </w:tcBorders>
            <w:shd w:val="clear" w:color="auto" w:fill="auto"/>
            <w:vAlign w:val="center"/>
            <w:hideMark/>
          </w:tcPr>
          <w:p w14:paraId="36267642"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 </w:t>
            </w:r>
          </w:p>
        </w:tc>
        <w:tc>
          <w:tcPr>
            <w:tcW w:w="2126"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C9386E8" w14:textId="27340C55" w:rsidR="006F7397" w:rsidRPr="00AF19E3" w:rsidRDefault="006F7397" w:rsidP="006F7397">
            <w:pPr>
              <w:rPr>
                <w:rFonts w:ascii="Times New Roman" w:hAnsi="Times New Roman"/>
                <w:b/>
                <w:bCs/>
                <w:sz w:val="18"/>
                <w:szCs w:val="18"/>
              </w:rPr>
            </w:pPr>
            <w:r w:rsidRPr="00AF19E3">
              <w:rPr>
                <w:rFonts w:ascii="Times New Roman" w:hAnsi="Times New Roman"/>
                <w:b/>
                <w:bCs/>
                <w:sz w:val="18"/>
                <w:szCs w:val="18"/>
              </w:rPr>
              <w:t>GEF PM total</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42AB76AE"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56,000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46F4C98D"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56,000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37E505FB"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56,000</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8234D44"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56,000</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D5816CD"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56,000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276F7BEF"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280,000</w:t>
            </w:r>
          </w:p>
        </w:tc>
        <w:tc>
          <w:tcPr>
            <w:tcW w:w="851" w:type="dxa"/>
            <w:tcBorders>
              <w:top w:val="single" w:sz="4" w:space="0" w:color="auto"/>
              <w:bottom w:val="single" w:sz="4" w:space="0" w:color="auto"/>
              <w:right w:val="single" w:sz="4" w:space="0" w:color="auto"/>
            </w:tcBorders>
            <w:vAlign w:val="center"/>
          </w:tcPr>
          <w:p w14:paraId="5E94C11A" w14:textId="77777777" w:rsidR="006F7397" w:rsidRPr="00AF19E3" w:rsidRDefault="006F7397" w:rsidP="006F7397">
            <w:pPr>
              <w:spacing w:after="0"/>
              <w:jc w:val="center"/>
              <w:rPr>
                <w:rFonts w:ascii="Times New Roman" w:hAnsi="Times New Roman"/>
                <w:sz w:val="18"/>
                <w:szCs w:val="18"/>
              </w:rPr>
            </w:pPr>
          </w:p>
        </w:tc>
      </w:tr>
      <w:tr w:rsidR="006F7397" w14:paraId="02F93E6A" w14:textId="0BC0F41D"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3AD7696D"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74F45615" w14:textId="77777777" w:rsidR="006F7397" w:rsidRPr="00AF19E3" w:rsidRDefault="006F7397">
            <w:pPr>
              <w:rPr>
                <w:rFonts w:ascii="Times New Roman" w:hAnsi="Times New Roman"/>
                <w:color w:val="000000"/>
                <w:sz w:val="18"/>
                <w:szCs w:val="18"/>
              </w:rPr>
            </w:pPr>
          </w:p>
        </w:tc>
        <w:tc>
          <w:tcPr>
            <w:tcW w:w="85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C975B83" w14:textId="77777777" w:rsidR="006F7397" w:rsidRPr="00AF19E3" w:rsidRDefault="006F7397">
            <w:pPr>
              <w:jc w:val="center"/>
              <w:rPr>
                <w:rFonts w:ascii="Times New Roman" w:hAnsi="Times New Roman"/>
                <w:color w:val="000000"/>
                <w:sz w:val="18"/>
                <w:szCs w:val="18"/>
              </w:rPr>
            </w:pPr>
            <w:r w:rsidRPr="00AF19E3">
              <w:rPr>
                <w:rFonts w:ascii="Times New Roman" w:hAnsi="Times New Roman"/>
                <w:color w:val="000000"/>
                <w:sz w:val="18"/>
                <w:szCs w:val="18"/>
              </w:rPr>
              <w:t>04000</w:t>
            </w:r>
          </w:p>
        </w:tc>
        <w:tc>
          <w:tcPr>
            <w:tcW w:w="708" w:type="dxa"/>
            <w:vMerge w:val="restart"/>
            <w:tcBorders>
              <w:top w:val="nil"/>
              <w:left w:val="single" w:sz="4" w:space="0" w:color="auto"/>
              <w:bottom w:val="single" w:sz="4" w:space="0" w:color="auto"/>
              <w:right w:val="single" w:sz="4" w:space="0" w:color="auto"/>
            </w:tcBorders>
            <w:shd w:val="clear" w:color="auto" w:fill="auto"/>
            <w:vAlign w:val="center"/>
            <w:hideMark/>
          </w:tcPr>
          <w:p w14:paraId="359EA268"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UNDP</w:t>
            </w:r>
          </w:p>
        </w:tc>
        <w:tc>
          <w:tcPr>
            <w:tcW w:w="993" w:type="dxa"/>
            <w:tcBorders>
              <w:top w:val="nil"/>
              <w:left w:val="nil"/>
              <w:bottom w:val="single" w:sz="4" w:space="0" w:color="auto"/>
              <w:right w:val="single" w:sz="4" w:space="0" w:color="auto"/>
            </w:tcBorders>
            <w:shd w:val="clear" w:color="auto" w:fill="auto"/>
            <w:vAlign w:val="center"/>
            <w:hideMark/>
          </w:tcPr>
          <w:p w14:paraId="21C94640"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71400</w:t>
            </w:r>
          </w:p>
        </w:tc>
        <w:tc>
          <w:tcPr>
            <w:tcW w:w="2126" w:type="dxa"/>
            <w:tcBorders>
              <w:top w:val="nil"/>
              <w:left w:val="nil"/>
              <w:bottom w:val="single" w:sz="4" w:space="0" w:color="auto"/>
              <w:right w:val="single" w:sz="4" w:space="0" w:color="auto"/>
            </w:tcBorders>
            <w:shd w:val="clear" w:color="auto" w:fill="auto"/>
            <w:noWrap/>
            <w:vAlign w:val="bottom"/>
            <w:hideMark/>
          </w:tcPr>
          <w:p w14:paraId="4198D041" w14:textId="77777777" w:rsidR="006F7397" w:rsidRPr="00AF19E3" w:rsidRDefault="006F7397">
            <w:pPr>
              <w:rPr>
                <w:rFonts w:ascii="Times New Roman" w:hAnsi="Times New Roman"/>
                <w:sz w:val="18"/>
                <w:szCs w:val="18"/>
              </w:rPr>
            </w:pPr>
            <w:r w:rsidRPr="00AF19E3">
              <w:rPr>
                <w:rFonts w:ascii="Times New Roman" w:hAnsi="Times New Roman"/>
                <w:sz w:val="18"/>
                <w:szCs w:val="18"/>
              </w:rPr>
              <w:t>Project manager</w:t>
            </w:r>
          </w:p>
        </w:tc>
        <w:tc>
          <w:tcPr>
            <w:tcW w:w="1134" w:type="dxa"/>
            <w:tcBorders>
              <w:top w:val="nil"/>
              <w:left w:val="nil"/>
              <w:bottom w:val="single" w:sz="4" w:space="0" w:color="auto"/>
              <w:right w:val="single" w:sz="4" w:space="0" w:color="auto"/>
            </w:tcBorders>
            <w:shd w:val="clear" w:color="auto" w:fill="auto"/>
            <w:noWrap/>
            <w:vAlign w:val="bottom"/>
            <w:hideMark/>
          </w:tcPr>
          <w:p w14:paraId="1E7A20A3"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1,000</w:t>
            </w:r>
          </w:p>
        </w:tc>
        <w:tc>
          <w:tcPr>
            <w:tcW w:w="1134" w:type="dxa"/>
            <w:tcBorders>
              <w:top w:val="nil"/>
              <w:left w:val="nil"/>
              <w:bottom w:val="single" w:sz="4" w:space="0" w:color="auto"/>
              <w:right w:val="single" w:sz="4" w:space="0" w:color="auto"/>
            </w:tcBorders>
            <w:shd w:val="clear" w:color="auto" w:fill="auto"/>
            <w:noWrap/>
            <w:vAlign w:val="bottom"/>
            <w:hideMark/>
          </w:tcPr>
          <w:p w14:paraId="4E42CA95"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1,000</w:t>
            </w:r>
          </w:p>
        </w:tc>
        <w:tc>
          <w:tcPr>
            <w:tcW w:w="1134" w:type="dxa"/>
            <w:tcBorders>
              <w:top w:val="nil"/>
              <w:left w:val="nil"/>
              <w:bottom w:val="single" w:sz="4" w:space="0" w:color="auto"/>
              <w:right w:val="single" w:sz="4" w:space="0" w:color="auto"/>
            </w:tcBorders>
            <w:shd w:val="clear" w:color="auto" w:fill="auto"/>
            <w:noWrap/>
            <w:vAlign w:val="bottom"/>
            <w:hideMark/>
          </w:tcPr>
          <w:p w14:paraId="736286E6"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1,000</w:t>
            </w:r>
          </w:p>
        </w:tc>
        <w:tc>
          <w:tcPr>
            <w:tcW w:w="992" w:type="dxa"/>
            <w:tcBorders>
              <w:top w:val="nil"/>
              <w:left w:val="nil"/>
              <w:bottom w:val="single" w:sz="4" w:space="0" w:color="auto"/>
              <w:right w:val="single" w:sz="4" w:space="0" w:color="auto"/>
            </w:tcBorders>
            <w:shd w:val="clear" w:color="auto" w:fill="auto"/>
            <w:noWrap/>
            <w:vAlign w:val="bottom"/>
            <w:hideMark/>
          </w:tcPr>
          <w:p w14:paraId="25DE1E6A"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1,000</w:t>
            </w:r>
          </w:p>
        </w:tc>
        <w:tc>
          <w:tcPr>
            <w:tcW w:w="992" w:type="dxa"/>
            <w:tcBorders>
              <w:top w:val="nil"/>
              <w:left w:val="nil"/>
              <w:bottom w:val="single" w:sz="4" w:space="0" w:color="auto"/>
              <w:right w:val="single" w:sz="4" w:space="0" w:color="auto"/>
            </w:tcBorders>
            <w:shd w:val="clear" w:color="auto" w:fill="auto"/>
            <w:noWrap/>
            <w:vAlign w:val="bottom"/>
            <w:hideMark/>
          </w:tcPr>
          <w:p w14:paraId="5541A1E5"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1,000</w:t>
            </w:r>
          </w:p>
        </w:tc>
        <w:tc>
          <w:tcPr>
            <w:tcW w:w="1134" w:type="dxa"/>
            <w:tcBorders>
              <w:top w:val="nil"/>
              <w:left w:val="nil"/>
              <w:bottom w:val="single" w:sz="4" w:space="0" w:color="auto"/>
              <w:right w:val="single" w:sz="4" w:space="0" w:color="auto"/>
            </w:tcBorders>
            <w:shd w:val="clear" w:color="auto" w:fill="auto"/>
            <w:noWrap/>
            <w:vAlign w:val="bottom"/>
            <w:hideMark/>
          </w:tcPr>
          <w:p w14:paraId="51ECC2C7"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5,000</w:t>
            </w:r>
          </w:p>
        </w:tc>
        <w:tc>
          <w:tcPr>
            <w:tcW w:w="851" w:type="dxa"/>
            <w:tcBorders>
              <w:top w:val="single" w:sz="4" w:space="0" w:color="auto"/>
              <w:bottom w:val="single" w:sz="4" w:space="0" w:color="auto"/>
              <w:right w:val="single" w:sz="4" w:space="0" w:color="auto"/>
            </w:tcBorders>
            <w:vAlign w:val="center"/>
          </w:tcPr>
          <w:p w14:paraId="0461C512" w14:textId="77777777" w:rsidR="006F7397" w:rsidRPr="00AF19E3" w:rsidRDefault="006F7397">
            <w:pPr>
              <w:spacing w:after="0"/>
              <w:jc w:val="left"/>
              <w:rPr>
                <w:rFonts w:ascii="Times New Roman" w:hAnsi="Times New Roman"/>
                <w:sz w:val="18"/>
                <w:szCs w:val="18"/>
              </w:rPr>
            </w:pPr>
          </w:p>
        </w:tc>
      </w:tr>
      <w:tr w:rsidR="006F7397" w14:paraId="4F3AC156" w14:textId="35D1F06C"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2EDC0E20"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4B169C25" w14:textId="77777777" w:rsidR="006F7397" w:rsidRPr="00AF19E3" w:rsidRDefault="006F7397">
            <w:pPr>
              <w:rPr>
                <w:rFonts w:ascii="Times New Roman" w:hAnsi="Times New Roman"/>
                <w:color w:val="000000"/>
                <w:sz w:val="18"/>
                <w:szCs w:val="18"/>
              </w:rPr>
            </w:pPr>
          </w:p>
        </w:tc>
        <w:tc>
          <w:tcPr>
            <w:tcW w:w="851" w:type="dxa"/>
            <w:vMerge/>
            <w:tcBorders>
              <w:top w:val="nil"/>
              <w:left w:val="single" w:sz="4" w:space="0" w:color="auto"/>
              <w:bottom w:val="single" w:sz="4" w:space="0" w:color="auto"/>
              <w:right w:val="single" w:sz="4" w:space="0" w:color="auto"/>
            </w:tcBorders>
            <w:vAlign w:val="center"/>
            <w:hideMark/>
          </w:tcPr>
          <w:p w14:paraId="3D7122F7" w14:textId="77777777" w:rsidR="006F7397" w:rsidRPr="00AF19E3" w:rsidRDefault="006F7397">
            <w:pPr>
              <w:rPr>
                <w:rFonts w:ascii="Times New Roman" w:hAnsi="Times New Roman"/>
                <w:color w:val="000000"/>
                <w:sz w:val="18"/>
                <w:szCs w:val="18"/>
              </w:rPr>
            </w:pPr>
          </w:p>
        </w:tc>
        <w:tc>
          <w:tcPr>
            <w:tcW w:w="708" w:type="dxa"/>
            <w:vMerge/>
            <w:tcBorders>
              <w:top w:val="nil"/>
              <w:left w:val="single" w:sz="4" w:space="0" w:color="auto"/>
              <w:bottom w:val="single" w:sz="4" w:space="0" w:color="auto"/>
              <w:right w:val="single" w:sz="4" w:space="0" w:color="auto"/>
            </w:tcBorders>
            <w:vAlign w:val="center"/>
            <w:hideMark/>
          </w:tcPr>
          <w:p w14:paraId="38572A4F"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02FEE49B"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71400</w:t>
            </w:r>
          </w:p>
        </w:tc>
        <w:tc>
          <w:tcPr>
            <w:tcW w:w="2126" w:type="dxa"/>
            <w:tcBorders>
              <w:top w:val="nil"/>
              <w:left w:val="nil"/>
              <w:bottom w:val="single" w:sz="4" w:space="0" w:color="auto"/>
              <w:right w:val="single" w:sz="4" w:space="0" w:color="auto"/>
            </w:tcBorders>
            <w:shd w:val="clear" w:color="auto" w:fill="auto"/>
            <w:noWrap/>
            <w:vAlign w:val="bottom"/>
            <w:hideMark/>
          </w:tcPr>
          <w:p w14:paraId="0794C1DD" w14:textId="77777777" w:rsidR="006F7397" w:rsidRPr="00AF19E3" w:rsidRDefault="006F7397">
            <w:pPr>
              <w:rPr>
                <w:rFonts w:ascii="Times New Roman" w:hAnsi="Times New Roman"/>
                <w:sz w:val="18"/>
                <w:szCs w:val="18"/>
              </w:rPr>
            </w:pPr>
            <w:r w:rsidRPr="00AF19E3">
              <w:rPr>
                <w:rFonts w:ascii="Times New Roman" w:hAnsi="Times New Roman"/>
                <w:sz w:val="18"/>
                <w:szCs w:val="18"/>
              </w:rPr>
              <w:t>Project assistant</w:t>
            </w:r>
          </w:p>
        </w:tc>
        <w:tc>
          <w:tcPr>
            <w:tcW w:w="1134" w:type="dxa"/>
            <w:tcBorders>
              <w:top w:val="nil"/>
              <w:left w:val="nil"/>
              <w:bottom w:val="single" w:sz="4" w:space="0" w:color="auto"/>
              <w:right w:val="single" w:sz="4" w:space="0" w:color="auto"/>
            </w:tcBorders>
            <w:shd w:val="clear" w:color="auto" w:fill="auto"/>
            <w:noWrap/>
            <w:vAlign w:val="bottom"/>
            <w:hideMark/>
          </w:tcPr>
          <w:p w14:paraId="70DDED90"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3,120</w:t>
            </w:r>
          </w:p>
        </w:tc>
        <w:tc>
          <w:tcPr>
            <w:tcW w:w="1134" w:type="dxa"/>
            <w:tcBorders>
              <w:top w:val="nil"/>
              <w:left w:val="nil"/>
              <w:bottom w:val="single" w:sz="4" w:space="0" w:color="auto"/>
              <w:right w:val="single" w:sz="4" w:space="0" w:color="auto"/>
            </w:tcBorders>
            <w:shd w:val="clear" w:color="auto" w:fill="auto"/>
            <w:noWrap/>
            <w:vAlign w:val="bottom"/>
            <w:hideMark/>
          </w:tcPr>
          <w:p w14:paraId="0CEF9994"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3,120</w:t>
            </w:r>
          </w:p>
        </w:tc>
        <w:tc>
          <w:tcPr>
            <w:tcW w:w="1134" w:type="dxa"/>
            <w:tcBorders>
              <w:top w:val="nil"/>
              <w:left w:val="nil"/>
              <w:bottom w:val="single" w:sz="4" w:space="0" w:color="auto"/>
              <w:right w:val="single" w:sz="4" w:space="0" w:color="auto"/>
            </w:tcBorders>
            <w:shd w:val="clear" w:color="auto" w:fill="auto"/>
            <w:noWrap/>
            <w:vAlign w:val="bottom"/>
            <w:hideMark/>
          </w:tcPr>
          <w:p w14:paraId="5EE37916"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3,120</w:t>
            </w:r>
          </w:p>
        </w:tc>
        <w:tc>
          <w:tcPr>
            <w:tcW w:w="992" w:type="dxa"/>
            <w:tcBorders>
              <w:top w:val="nil"/>
              <w:left w:val="nil"/>
              <w:bottom w:val="single" w:sz="4" w:space="0" w:color="auto"/>
              <w:right w:val="single" w:sz="4" w:space="0" w:color="auto"/>
            </w:tcBorders>
            <w:shd w:val="clear" w:color="auto" w:fill="auto"/>
            <w:noWrap/>
            <w:vAlign w:val="bottom"/>
            <w:hideMark/>
          </w:tcPr>
          <w:p w14:paraId="57A93548"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3,120</w:t>
            </w:r>
          </w:p>
        </w:tc>
        <w:tc>
          <w:tcPr>
            <w:tcW w:w="992" w:type="dxa"/>
            <w:tcBorders>
              <w:top w:val="nil"/>
              <w:left w:val="nil"/>
              <w:bottom w:val="single" w:sz="4" w:space="0" w:color="auto"/>
              <w:right w:val="single" w:sz="4" w:space="0" w:color="auto"/>
            </w:tcBorders>
            <w:shd w:val="clear" w:color="auto" w:fill="auto"/>
            <w:noWrap/>
            <w:vAlign w:val="bottom"/>
            <w:hideMark/>
          </w:tcPr>
          <w:p w14:paraId="116DE167"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3,120</w:t>
            </w:r>
          </w:p>
        </w:tc>
        <w:tc>
          <w:tcPr>
            <w:tcW w:w="1134" w:type="dxa"/>
            <w:tcBorders>
              <w:top w:val="nil"/>
              <w:left w:val="nil"/>
              <w:bottom w:val="single" w:sz="4" w:space="0" w:color="auto"/>
              <w:right w:val="single" w:sz="4" w:space="0" w:color="auto"/>
            </w:tcBorders>
            <w:shd w:val="clear" w:color="auto" w:fill="auto"/>
            <w:noWrap/>
            <w:vAlign w:val="bottom"/>
            <w:hideMark/>
          </w:tcPr>
          <w:p w14:paraId="3F6CE284"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15,600</w:t>
            </w:r>
          </w:p>
        </w:tc>
        <w:tc>
          <w:tcPr>
            <w:tcW w:w="851" w:type="dxa"/>
            <w:tcBorders>
              <w:top w:val="single" w:sz="4" w:space="0" w:color="auto"/>
              <w:bottom w:val="single" w:sz="4" w:space="0" w:color="auto"/>
              <w:right w:val="single" w:sz="4" w:space="0" w:color="auto"/>
            </w:tcBorders>
            <w:vAlign w:val="center"/>
          </w:tcPr>
          <w:p w14:paraId="52013181" w14:textId="77777777" w:rsidR="006F7397" w:rsidRPr="00AF19E3" w:rsidRDefault="006F7397">
            <w:pPr>
              <w:spacing w:after="0"/>
              <w:jc w:val="left"/>
              <w:rPr>
                <w:rFonts w:ascii="Times New Roman" w:hAnsi="Times New Roman"/>
                <w:sz w:val="18"/>
                <w:szCs w:val="18"/>
              </w:rPr>
            </w:pPr>
          </w:p>
        </w:tc>
      </w:tr>
      <w:tr w:rsidR="006F7397" w14:paraId="14B062B6" w14:textId="12D50CA4"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1C17E2DA"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5B667A2B" w14:textId="77777777" w:rsidR="006F7397" w:rsidRPr="00AF19E3" w:rsidRDefault="006F7397">
            <w:pPr>
              <w:rPr>
                <w:rFonts w:ascii="Times New Roman" w:hAnsi="Times New Roman"/>
                <w:color w:val="000000"/>
                <w:sz w:val="18"/>
                <w:szCs w:val="18"/>
              </w:rPr>
            </w:pPr>
          </w:p>
        </w:tc>
        <w:tc>
          <w:tcPr>
            <w:tcW w:w="851" w:type="dxa"/>
            <w:vMerge/>
            <w:tcBorders>
              <w:top w:val="nil"/>
              <w:left w:val="single" w:sz="4" w:space="0" w:color="auto"/>
              <w:bottom w:val="single" w:sz="4" w:space="0" w:color="auto"/>
              <w:right w:val="single" w:sz="4" w:space="0" w:color="auto"/>
            </w:tcBorders>
            <w:vAlign w:val="center"/>
            <w:hideMark/>
          </w:tcPr>
          <w:p w14:paraId="0569AD93" w14:textId="77777777" w:rsidR="006F7397" w:rsidRPr="00AF19E3" w:rsidRDefault="006F7397">
            <w:pPr>
              <w:rPr>
                <w:rFonts w:ascii="Times New Roman" w:hAnsi="Times New Roman"/>
                <w:color w:val="000000"/>
                <w:sz w:val="18"/>
                <w:szCs w:val="18"/>
              </w:rPr>
            </w:pPr>
          </w:p>
        </w:tc>
        <w:tc>
          <w:tcPr>
            <w:tcW w:w="708" w:type="dxa"/>
            <w:vMerge/>
            <w:tcBorders>
              <w:top w:val="nil"/>
              <w:left w:val="single" w:sz="4" w:space="0" w:color="auto"/>
              <w:bottom w:val="single" w:sz="4" w:space="0" w:color="auto"/>
              <w:right w:val="single" w:sz="4" w:space="0" w:color="auto"/>
            </w:tcBorders>
            <w:vAlign w:val="center"/>
            <w:hideMark/>
          </w:tcPr>
          <w:p w14:paraId="42348DBC"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752E3B03"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72100</w:t>
            </w:r>
          </w:p>
        </w:tc>
        <w:tc>
          <w:tcPr>
            <w:tcW w:w="2126" w:type="dxa"/>
            <w:tcBorders>
              <w:top w:val="nil"/>
              <w:left w:val="nil"/>
              <w:bottom w:val="single" w:sz="4" w:space="0" w:color="auto"/>
              <w:right w:val="single" w:sz="4" w:space="0" w:color="auto"/>
            </w:tcBorders>
            <w:shd w:val="clear" w:color="auto" w:fill="auto"/>
            <w:noWrap/>
            <w:vAlign w:val="bottom"/>
            <w:hideMark/>
          </w:tcPr>
          <w:p w14:paraId="099ADA81" w14:textId="77777777" w:rsidR="006F7397" w:rsidRPr="00AF19E3" w:rsidRDefault="006F7397">
            <w:pPr>
              <w:rPr>
                <w:rFonts w:ascii="Times New Roman" w:hAnsi="Times New Roman"/>
                <w:sz w:val="18"/>
                <w:szCs w:val="18"/>
              </w:rPr>
            </w:pPr>
            <w:r w:rsidRPr="00AF19E3">
              <w:rPr>
                <w:rFonts w:ascii="Times New Roman" w:hAnsi="Times New Roman"/>
                <w:sz w:val="18"/>
                <w:szCs w:val="18"/>
              </w:rPr>
              <w:t>Contractual Services</w:t>
            </w:r>
          </w:p>
        </w:tc>
        <w:tc>
          <w:tcPr>
            <w:tcW w:w="1134" w:type="dxa"/>
            <w:tcBorders>
              <w:top w:val="nil"/>
              <w:left w:val="nil"/>
              <w:bottom w:val="single" w:sz="4" w:space="0" w:color="auto"/>
              <w:right w:val="single" w:sz="4" w:space="0" w:color="auto"/>
            </w:tcBorders>
            <w:shd w:val="clear" w:color="auto" w:fill="auto"/>
            <w:noWrap/>
            <w:vAlign w:val="bottom"/>
            <w:hideMark/>
          </w:tcPr>
          <w:p w14:paraId="14BD3672"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4,000</w:t>
            </w:r>
          </w:p>
        </w:tc>
        <w:tc>
          <w:tcPr>
            <w:tcW w:w="1134" w:type="dxa"/>
            <w:tcBorders>
              <w:top w:val="nil"/>
              <w:left w:val="nil"/>
              <w:bottom w:val="single" w:sz="4" w:space="0" w:color="auto"/>
              <w:right w:val="single" w:sz="4" w:space="0" w:color="auto"/>
            </w:tcBorders>
            <w:shd w:val="clear" w:color="auto" w:fill="auto"/>
            <w:noWrap/>
            <w:vAlign w:val="bottom"/>
            <w:hideMark/>
          </w:tcPr>
          <w:p w14:paraId="39DE7401"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4,000</w:t>
            </w:r>
          </w:p>
        </w:tc>
        <w:tc>
          <w:tcPr>
            <w:tcW w:w="1134" w:type="dxa"/>
            <w:tcBorders>
              <w:top w:val="nil"/>
              <w:left w:val="nil"/>
              <w:bottom w:val="single" w:sz="4" w:space="0" w:color="auto"/>
              <w:right w:val="single" w:sz="4" w:space="0" w:color="auto"/>
            </w:tcBorders>
            <w:shd w:val="clear" w:color="auto" w:fill="auto"/>
            <w:noWrap/>
            <w:vAlign w:val="bottom"/>
            <w:hideMark/>
          </w:tcPr>
          <w:p w14:paraId="261513DF"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4,000</w:t>
            </w:r>
          </w:p>
        </w:tc>
        <w:tc>
          <w:tcPr>
            <w:tcW w:w="992" w:type="dxa"/>
            <w:tcBorders>
              <w:top w:val="nil"/>
              <w:left w:val="nil"/>
              <w:bottom w:val="single" w:sz="4" w:space="0" w:color="auto"/>
              <w:right w:val="single" w:sz="4" w:space="0" w:color="auto"/>
            </w:tcBorders>
            <w:shd w:val="clear" w:color="auto" w:fill="auto"/>
            <w:noWrap/>
            <w:vAlign w:val="bottom"/>
            <w:hideMark/>
          </w:tcPr>
          <w:p w14:paraId="11A80CC2"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4,000</w:t>
            </w:r>
          </w:p>
        </w:tc>
        <w:tc>
          <w:tcPr>
            <w:tcW w:w="992" w:type="dxa"/>
            <w:tcBorders>
              <w:top w:val="nil"/>
              <w:left w:val="nil"/>
              <w:bottom w:val="single" w:sz="4" w:space="0" w:color="auto"/>
              <w:right w:val="single" w:sz="4" w:space="0" w:color="auto"/>
            </w:tcBorders>
            <w:shd w:val="clear" w:color="auto" w:fill="auto"/>
            <w:noWrap/>
            <w:vAlign w:val="bottom"/>
            <w:hideMark/>
          </w:tcPr>
          <w:p w14:paraId="76FE3189"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4,000</w:t>
            </w:r>
          </w:p>
        </w:tc>
        <w:tc>
          <w:tcPr>
            <w:tcW w:w="1134" w:type="dxa"/>
            <w:tcBorders>
              <w:top w:val="nil"/>
              <w:left w:val="nil"/>
              <w:bottom w:val="single" w:sz="4" w:space="0" w:color="auto"/>
              <w:right w:val="single" w:sz="4" w:space="0" w:color="auto"/>
            </w:tcBorders>
            <w:shd w:val="clear" w:color="auto" w:fill="auto"/>
            <w:noWrap/>
            <w:vAlign w:val="bottom"/>
            <w:hideMark/>
          </w:tcPr>
          <w:p w14:paraId="10BF446A"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20,000</w:t>
            </w:r>
          </w:p>
        </w:tc>
        <w:tc>
          <w:tcPr>
            <w:tcW w:w="851" w:type="dxa"/>
            <w:tcBorders>
              <w:top w:val="single" w:sz="4" w:space="0" w:color="auto"/>
              <w:bottom w:val="single" w:sz="4" w:space="0" w:color="auto"/>
              <w:right w:val="single" w:sz="4" w:space="0" w:color="auto"/>
            </w:tcBorders>
            <w:vAlign w:val="center"/>
          </w:tcPr>
          <w:p w14:paraId="12529CD7" w14:textId="77777777" w:rsidR="006F7397" w:rsidRPr="00AF19E3" w:rsidRDefault="006F7397">
            <w:pPr>
              <w:spacing w:after="0"/>
              <w:jc w:val="left"/>
              <w:rPr>
                <w:rFonts w:ascii="Times New Roman" w:hAnsi="Times New Roman"/>
                <w:sz w:val="18"/>
                <w:szCs w:val="18"/>
              </w:rPr>
            </w:pPr>
          </w:p>
        </w:tc>
      </w:tr>
      <w:tr w:rsidR="006F7397" w14:paraId="1D3F90F1" w14:textId="06578C7F"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4DC7AF8A"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00A62FA8" w14:textId="77777777" w:rsidR="006F7397" w:rsidRPr="00AF19E3" w:rsidRDefault="006F7397">
            <w:pPr>
              <w:rPr>
                <w:rFonts w:ascii="Times New Roman" w:hAnsi="Times New Roman"/>
                <w:color w:val="000000"/>
                <w:sz w:val="18"/>
                <w:szCs w:val="18"/>
              </w:rPr>
            </w:pPr>
          </w:p>
        </w:tc>
        <w:tc>
          <w:tcPr>
            <w:tcW w:w="851" w:type="dxa"/>
            <w:vMerge/>
            <w:tcBorders>
              <w:top w:val="nil"/>
              <w:left w:val="single" w:sz="4" w:space="0" w:color="auto"/>
              <w:bottom w:val="single" w:sz="4" w:space="0" w:color="auto"/>
              <w:right w:val="single" w:sz="4" w:space="0" w:color="auto"/>
            </w:tcBorders>
            <w:vAlign w:val="center"/>
            <w:hideMark/>
          </w:tcPr>
          <w:p w14:paraId="027EF070" w14:textId="77777777" w:rsidR="006F7397" w:rsidRPr="00AF19E3" w:rsidRDefault="006F7397">
            <w:pPr>
              <w:rPr>
                <w:rFonts w:ascii="Times New Roman" w:hAnsi="Times New Roman"/>
                <w:color w:val="000000"/>
                <w:sz w:val="18"/>
                <w:szCs w:val="18"/>
              </w:rPr>
            </w:pPr>
          </w:p>
        </w:tc>
        <w:tc>
          <w:tcPr>
            <w:tcW w:w="708" w:type="dxa"/>
            <w:vMerge/>
            <w:tcBorders>
              <w:top w:val="nil"/>
              <w:left w:val="single" w:sz="4" w:space="0" w:color="auto"/>
              <w:bottom w:val="single" w:sz="4" w:space="0" w:color="auto"/>
              <w:right w:val="single" w:sz="4" w:space="0" w:color="auto"/>
            </w:tcBorders>
            <w:vAlign w:val="center"/>
            <w:hideMark/>
          </w:tcPr>
          <w:p w14:paraId="5ADAB933"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13FFCDEE"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72200</w:t>
            </w:r>
          </w:p>
        </w:tc>
        <w:tc>
          <w:tcPr>
            <w:tcW w:w="2126" w:type="dxa"/>
            <w:tcBorders>
              <w:top w:val="nil"/>
              <w:left w:val="nil"/>
              <w:bottom w:val="single" w:sz="4" w:space="0" w:color="auto"/>
              <w:right w:val="single" w:sz="4" w:space="0" w:color="auto"/>
            </w:tcBorders>
            <w:shd w:val="clear" w:color="auto" w:fill="auto"/>
            <w:noWrap/>
            <w:vAlign w:val="bottom"/>
            <w:hideMark/>
          </w:tcPr>
          <w:p w14:paraId="578BDA02" w14:textId="77777777" w:rsidR="006F7397" w:rsidRPr="00AF19E3" w:rsidRDefault="006F7397">
            <w:pPr>
              <w:rPr>
                <w:rFonts w:ascii="Times New Roman" w:hAnsi="Times New Roman"/>
                <w:sz w:val="18"/>
                <w:szCs w:val="18"/>
              </w:rPr>
            </w:pPr>
            <w:r w:rsidRPr="00AF19E3">
              <w:rPr>
                <w:rFonts w:ascii="Times New Roman" w:hAnsi="Times New Roman"/>
                <w:sz w:val="18"/>
                <w:szCs w:val="18"/>
              </w:rPr>
              <w:t>Equipment and Furniture</w:t>
            </w:r>
          </w:p>
        </w:tc>
        <w:tc>
          <w:tcPr>
            <w:tcW w:w="1134" w:type="dxa"/>
            <w:tcBorders>
              <w:top w:val="nil"/>
              <w:left w:val="nil"/>
              <w:bottom w:val="single" w:sz="4" w:space="0" w:color="auto"/>
              <w:right w:val="single" w:sz="4" w:space="0" w:color="auto"/>
            </w:tcBorders>
            <w:shd w:val="clear" w:color="auto" w:fill="auto"/>
            <w:noWrap/>
            <w:vAlign w:val="bottom"/>
            <w:hideMark/>
          </w:tcPr>
          <w:p w14:paraId="2B37618F"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1,600</w:t>
            </w:r>
          </w:p>
        </w:tc>
        <w:tc>
          <w:tcPr>
            <w:tcW w:w="1134" w:type="dxa"/>
            <w:tcBorders>
              <w:top w:val="nil"/>
              <w:left w:val="nil"/>
              <w:bottom w:val="single" w:sz="4" w:space="0" w:color="auto"/>
              <w:right w:val="single" w:sz="4" w:space="0" w:color="auto"/>
            </w:tcBorders>
            <w:shd w:val="clear" w:color="auto" w:fill="auto"/>
            <w:noWrap/>
            <w:vAlign w:val="bottom"/>
            <w:hideMark/>
          </w:tcPr>
          <w:p w14:paraId="06A674D5"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1,600</w:t>
            </w:r>
          </w:p>
        </w:tc>
        <w:tc>
          <w:tcPr>
            <w:tcW w:w="1134" w:type="dxa"/>
            <w:tcBorders>
              <w:top w:val="nil"/>
              <w:left w:val="nil"/>
              <w:bottom w:val="single" w:sz="4" w:space="0" w:color="auto"/>
              <w:right w:val="single" w:sz="4" w:space="0" w:color="auto"/>
            </w:tcBorders>
            <w:shd w:val="clear" w:color="auto" w:fill="auto"/>
            <w:noWrap/>
            <w:vAlign w:val="bottom"/>
            <w:hideMark/>
          </w:tcPr>
          <w:p w14:paraId="3ADCC69A"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1,600</w:t>
            </w:r>
          </w:p>
        </w:tc>
        <w:tc>
          <w:tcPr>
            <w:tcW w:w="992" w:type="dxa"/>
            <w:tcBorders>
              <w:top w:val="nil"/>
              <w:left w:val="nil"/>
              <w:bottom w:val="single" w:sz="4" w:space="0" w:color="auto"/>
              <w:right w:val="single" w:sz="4" w:space="0" w:color="auto"/>
            </w:tcBorders>
            <w:shd w:val="clear" w:color="auto" w:fill="auto"/>
            <w:noWrap/>
            <w:vAlign w:val="bottom"/>
            <w:hideMark/>
          </w:tcPr>
          <w:p w14:paraId="42BBD6C4"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1,600</w:t>
            </w:r>
          </w:p>
        </w:tc>
        <w:tc>
          <w:tcPr>
            <w:tcW w:w="992" w:type="dxa"/>
            <w:tcBorders>
              <w:top w:val="nil"/>
              <w:left w:val="nil"/>
              <w:bottom w:val="single" w:sz="4" w:space="0" w:color="auto"/>
              <w:right w:val="single" w:sz="4" w:space="0" w:color="auto"/>
            </w:tcBorders>
            <w:shd w:val="clear" w:color="auto" w:fill="auto"/>
            <w:noWrap/>
            <w:vAlign w:val="bottom"/>
            <w:hideMark/>
          </w:tcPr>
          <w:p w14:paraId="3B2AE85B"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7820CC03"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6,400</w:t>
            </w:r>
          </w:p>
        </w:tc>
        <w:tc>
          <w:tcPr>
            <w:tcW w:w="851" w:type="dxa"/>
            <w:tcBorders>
              <w:top w:val="single" w:sz="4" w:space="0" w:color="auto"/>
              <w:bottom w:val="single" w:sz="4" w:space="0" w:color="auto"/>
              <w:right w:val="single" w:sz="4" w:space="0" w:color="auto"/>
            </w:tcBorders>
            <w:vAlign w:val="center"/>
          </w:tcPr>
          <w:p w14:paraId="67B593F0" w14:textId="77777777" w:rsidR="006F7397" w:rsidRPr="00AF19E3" w:rsidRDefault="006F7397">
            <w:pPr>
              <w:spacing w:after="0"/>
              <w:jc w:val="left"/>
              <w:rPr>
                <w:rFonts w:ascii="Times New Roman" w:hAnsi="Times New Roman"/>
                <w:sz w:val="18"/>
                <w:szCs w:val="18"/>
              </w:rPr>
            </w:pPr>
          </w:p>
        </w:tc>
      </w:tr>
      <w:tr w:rsidR="006F7397" w14:paraId="37F88DCA" w14:textId="3BF95A0B"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2AA83F26"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138B673B" w14:textId="77777777" w:rsidR="006F7397" w:rsidRPr="00AF19E3" w:rsidRDefault="006F7397">
            <w:pPr>
              <w:rPr>
                <w:rFonts w:ascii="Times New Roman" w:hAnsi="Times New Roman"/>
                <w:color w:val="000000"/>
                <w:sz w:val="18"/>
                <w:szCs w:val="18"/>
              </w:rPr>
            </w:pPr>
          </w:p>
        </w:tc>
        <w:tc>
          <w:tcPr>
            <w:tcW w:w="851" w:type="dxa"/>
            <w:vMerge/>
            <w:tcBorders>
              <w:top w:val="nil"/>
              <w:left w:val="single" w:sz="4" w:space="0" w:color="auto"/>
              <w:bottom w:val="single" w:sz="4" w:space="0" w:color="auto"/>
              <w:right w:val="single" w:sz="4" w:space="0" w:color="auto"/>
            </w:tcBorders>
            <w:vAlign w:val="center"/>
            <w:hideMark/>
          </w:tcPr>
          <w:p w14:paraId="6603EE6A" w14:textId="77777777" w:rsidR="006F7397" w:rsidRPr="00AF19E3" w:rsidRDefault="006F7397">
            <w:pPr>
              <w:rPr>
                <w:rFonts w:ascii="Times New Roman" w:hAnsi="Times New Roman"/>
                <w:color w:val="000000"/>
                <w:sz w:val="18"/>
                <w:szCs w:val="18"/>
              </w:rPr>
            </w:pPr>
          </w:p>
        </w:tc>
        <w:tc>
          <w:tcPr>
            <w:tcW w:w="708" w:type="dxa"/>
            <w:vMerge/>
            <w:tcBorders>
              <w:top w:val="nil"/>
              <w:left w:val="single" w:sz="4" w:space="0" w:color="auto"/>
              <w:bottom w:val="single" w:sz="4" w:space="0" w:color="auto"/>
              <w:right w:val="single" w:sz="4" w:space="0" w:color="auto"/>
            </w:tcBorders>
            <w:vAlign w:val="center"/>
            <w:hideMark/>
          </w:tcPr>
          <w:p w14:paraId="3FDE4A40"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4DD348C0"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71600</w:t>
            </w:r>
          </w:p>
        </w:tc>
        <w:tc>
          <w:tcPr>
            <w:tcW w:w="2126" w:type="dxa"/>
            <w:tcBorders>
              <w:top w:val="nil"/>
              <w:left w:val="nil"/>
              <w:bottom w:val="single" w:sz="4" w:space="0" w:color="auto"/>
              <w:right w:val="single" w:sz="4" w:space="0" w:color="auto"/>
            </w:tcBorders>
            <w:shd w:val="clear" w:color="auto" w:fill="auto"/>
            <w:noWrap/>
            <w:vAlign w:val="bottom"/>
            <w:hideMark/>
          </w:tcPr>
          <w:p w14:paraId="3D9ABCE0" w14:textId="77777777" w:rsidR="006F7397" w:rsidRPr="00AF19E3" w:rsidRDefault="006F7397">
            <w:pPr>
              <w:rPr>
                <w:rFonts w:ascii="Times New Roman" w:hAnsi="Times New Roman"/>
                <w:sz w:val="18"/>
                <w:szCs w:val="18"/>
              </w:rPr>
            </w:pPr>
            <w:r w:rsidRPr="00AF19E3">
              <w:rPr>
                <w:rFonts w:ascii="Times New Roman" w:hAnsi="Times New Roman"/>
                <w:sz w:val="18"/>
                <w:szCs w:val="18"/>
              </w:rPr>
              <w:t>Travel</w:t>
            </w:r>
          </w:p>
        </w:tc>
        <w:tc>
          <w:tcPr>
            <w:tcW w:w="1134" w:type="dxa"/>
            <w:tcBorders>
              <w:top w:val="nil"/>
              <w:left w:val="nil"/>
              <w:bottom w:val="single" w:sz="4" w:space="0" w:color="auto"/>
              <w:right w:val="single" w:sz="4" w:space="0" w:color="auto"/>
            </w:tcBorders>
            <w:shd w:val="clear" w:color="auto" w:fill="auto"/>
            <w:noWrap/>
            <w:vAlign w:val="bottom"/>
            <w:hideMark/>
          </w:tcPr>
          <w:p w14:paraId="744CB005"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1,000</w:t>
            </w:r>
          </w:p>
        </w:tc>
        <w:tc>
          <w:tcPr>
            <w:tcW w:w="1134" w:type="dxa"/>
            <w:tcBorders>
              <w:top w:val="nil"/>
              <w:left w:val="nil"/>
              <w:bottom w:val="single" w:sz="4" w:space="0" w:color="auto"/>
              <w:right w:val="single" w:sz="4" w:space="0" w:color="auto"/>
            </w:tcBorders>
            <w:shd w:val="clear" w:color="auto" w:fill="auto"/>
            <w:noWrap/>
            <w:vAlign w:val="bottom"/>
            <w:hideMark/>
          </w:tcPr>
          <w:p w14:paraId="3D099711"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1,000</w:t>
            </w:r>
          </w:p>
        </w:tc>
        <w:tc>
          <w:tcPr>
            <w:tcW w:w="1134" w:type="dxa"/>
            <w:tcBorders>
              <w:top w:val="nil"/>
              <w:left w:val="nil"/>
              <w:bottom w:val="single" w:sz="4" w:space="0" w:color="auto"/>
              <w:right w:val="single" w:sz="4" w:space="0" w:color="auto"/>
            </w:tcBorders>
            <w:shd w:val="clear" w:color="auto" w:fill="auto"/>
            <w:noWrap/>
            <w:vAlign w:val="bottom"/>
            <w:hideMark/>
          </w:tcPr>
          <w:p w14:paraId="33F54C8E"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1,000</w:t>
            </w:r>
          </w:p>
        </w:tc>
        <w:tc>
          <w:tcPr>
            <w:tcW w:w="992" w:type="dxa"/>
            <w:tcBorders>
              <w:top w:val="nil"/>
              <w:left w:val="nil"/>
              <w:bottom w:val="single" w:sz="4" w:space="0" w:color="auto"/>
              <w:right w:val="single" w:sz="4" w:space="0" w:color="auto"/>
            </w:tcBorders>
            <w:shd w:val="clear" w:color="auto" w:fill="auto"/>
            <w:noWrap/>
            <w:vAlign w:val="bottom"/>
            <w:hideMark/>
          </w:tcPr>
          <w:p w14:paraId="6486B435"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1,000</w:t>
            </w:r>
          </w:p>
        </w:tc>
        <w:tc>
          <w:tcPr>
            <w:tcW w:w="992" w:type="dxa"/>
            <w:tcBorders>
              <w:top w:val="nil"/>
              <w:left w:val="nil"/>
              <w:bottom w:val="single" w:sz="4" w:space="0" w:color="auto"/>
              <w:right w:val="single" w:sz="4" w:space="0" w:color="auto"/>
            </w:tcBorders>
            <w:shd w:val="clear" w:color="auto" w:fill="auto"/>
            <w:noWrap/>
            <w:vAlign w:val="bottom"/>
            <w:hideMark/>
          </w:tcPr>
          <w:p w14:paraId="1EBC402E"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1,000</w:t>
            </w:r>
          </w:p>
        </w:tc>
        <w:tc>
          <w:tcPr>
            <w:tcW w:w="1134" w:type="dxa"/>
            <w:tcBorders>
              <w:top w:val="nil"/>
              <w:left w:val="nil"/>
              <w:bottom w:val="single" w:sz="4" w:space="0" w:color="auto"/>
              <w:right w:val="single" w:sz="4" w:space="0" w:color="auto"/>
            </w:tcBorders>
            <w:shd w:val="clear" w:color="auto" w:fill="auto"/>
            <w:noWrap/>
            <w:vAlign w:val="bottom"/>
            <w:hideMark/>
          </w:tcPr>
          <w:p w14:paraId="36F6DFE8"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5,000</w:t>
            </w:r>
          </w:p>
        </w:tc>
        <w:tc>
          <w:tcPr>
            <w:tcW w:w="851" w:type="dxa"/>
            <w:tcBorders>
              <w:top w:val="single" w:sz="4" w:space="0" w:color="auto"/>
              <w:bottom w:val="single" w:sz="4" w:space="0" w:color="auto"/>
              <w:right w:val="single" w:sz="4" w:space="0" w:color="auto"/>
            </w:tcBorders>
            <w:vAlign w:val="center"/>
          </w:tcPr>
          <w:p w14:paraId="68003B80" w14:textId="77777777" w:rsidR="006F7397" w:rsidRPr="00AF19E3" w:rsidRDefault="006F7397">
            <w:pPr>
              <w:spacing w:after="0"/>
              <w:jc w:val="left"/>
              <w:rPr>
                <w:rFonts w:ascii="Times New Roman" w:hAnsi="Times New Roman"/>
                <w:sz w:val="18"/>
                <w:szCs w:val="18"/>
              </w:rPr>
            </w:pPr>
          </w:p>
        </w:tc>
      </w:tr>
      <w:tr w:rsidR="006F7397" w14:paraId="4F51ED30" w14:textId="6BF77FBB" w:rsidTr="006F7397">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5564554C"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0529396D" w14:textId="77777777" w:rsidR="006F7397" w:rsidRPr="00AF19E3" w:rsidRDefault="006F7397">
            <w:pPr>
              <w:rPr>
                <w:rFonts w:ascii="Times New Roman" w:hAnsi="Times New Roman"/>
                <w:color w:val="000000"/>
                <w:sz w:val="18"/>
                <w:szCs w:val="18"/>
              </w:rPr>
            </w:pPr>
          </w:p>
        </w:tc>
        <w:tc>
          <w:tcPr>
            <w:tcW w:w="851" w:type="dxa"/>
            <w:vMerge/>
            <w:tcBorders>
              <w:top w:val="nil"/>
              <w:left w:val="single" w:sz="4" w:space="0" w:color="auto"/>
              <w:bottom w:val="single" w:sz="4" w:space="0" w:color="auto"/>
              <w:right w:val="single" w:sz="4" w:space="0" w:color="auto"/>
            </w:tcBorders>
            <w:vAlign w:val="center"/>
            <w:hideMark/>
          </w:tcPr>
          <w:p w14:paraId="198CC4E5" w14:textId="77777777" w:rsidR="006F7397" w:rsidRPr="00AF19E3" w:rsidRDefault="006F7397">
            <w:pPr>
              <w:rPr>
                <w:rFonts w:ascii="Times New Roman" w:hAnsi="Times New Roman"/>
                <w:color w:val="000000"/>
                <w:sz w:val="18"/>
                <w:szCs w:val="18"/>
              </w:rPr>
            </w:pPr>
          </w:p>
        </w:tc>
        <w:tc>
          <w:tcPr>
            <w:tcW w:w="708" w:type="dxa"/>
            <w:vMerge/>
            <w:tcBorders>
              <w:top w:val="nil"/>
              <w:left w:val="single" w:sz="4" w:space="0" w:color="auto"/>
              <w:bottom w:val="single" w:sz="4" w:space="0" w:color="auto"/>
              <w:right w:val="single" w:sz="4" w:space="0" w:color="auto"/>
            </w:tcBorders>
            <w:vAlign w:val="center"/>
            <w:hideMark/>
          </w:tcPr>
          <w:p w14:paraId="486A44CE"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2FDE74D8"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72400</w:t>
            </w:r>
          </w:p>
        </w:tc>
        <w:tc>
          <w:tcPr>
            <w:tcW w:w="2126" w:type="dxa"/>
            <w:tcBorders>
              <w:top w:val="nil"/>
              <w:left w:val="nil"/>
              <w:bottom w:val="single" w:sz="4" w:space="0" w:color="auto"/>
              <w:right w:val="single" w:sz="4" w:space="0" w:color="auto"/>
            </w:tcBorders>
            <w:shd w:val="clear" w:color="auto" w:fill="auto"/>
            <w:noWrap/>
            <w:vAlign w:val="bottom"/>
            <w:hideMark/>
          </w:tcPr>
          <w:p w14:paraId="04354C6D" w14:textId="0608F827" w:rsidR="006F7397" w:rsidRPr="00AF19E3" w:rsidRDefault="006F7397">
            <w:pPr>
              <w:rPr>
                <w:rFonts w:ascii="Times New Roman" w:hAnsi="Times New Roman"/>
                <w:sz w:val="18"/>
                <w:szCs w:val="18"/>
              </w:rPr>
            </w:pPr>
            <w:r w:rsidRPr="00AF19E3">
              <w:rPr>
                <w:rFonts w:ascii="Times New Roman" w:hAnsi="Times New Roman"/>
                <w:sz w:val="18"/>
                <w:szCs w:val="18"/>
              </w:rPr>
              <w:t>Communic</w:t>
            </w:r>
            <w:r w:rsidR="00AF19E3">
              <w:rPr>
                <w:rFonts w:ascii="Times New Roman" w:hAnsi="Times New Roman"/>
                <w:sz w:val="18"/>
                <w:szCs w:val="18"/>
              </w:rPr>
              <w:t xml:space="preserve">ation </w:t>
            </w:r>
            <w:r w:rsidRPr="00AF19E3">
              <w:rPr>
                <w:rFonts w:ascii="Times New Roman" w:hAnsi="Times New Roman"/>
                <w:sz w:val="18"/>
                <w:szCs w:val="18"/>
              </w:rPr>
              <w:t>&amp;</w:t>
            </w:r>
            <w:r w:rsidR="00AF19E3">
              <w:rPr>
                <w:rFonts w:ascii="Times New Roman" w:hAnsi="Times New Roman"/>
                <w:sz w:val="18"/>
                <w:szCs w:val="18"/>
              </w:rPr>
              <w:t xml:space="preserve"> </w:t>
            </w:r>
            <w:r w:rsidRPr="00AF19E3">
              <w:rPr>
                <w:rFonts w:ascii="Times New Roman" w:hAnsi="Times New Roman"/>
                <w:sz w:val="18"/>
                <w:szCs w:val="18"/>
              </w:rPr>
              <w:t>Audio</w:t>
            </w:r>
            <w:r w:rsidR="00AF19E3">
              <w:rPr>
                <w:rFonts w:ascii="Times New Roman" w:hAnsi="Times New Roman"/>
                <w:sz w:val="18"/>
                <w:szCs w:val="18"/>
              </w:rPr>
              <w:t xml:space="preserve"> </w:t>
            </w:r>
            <w:r w:rsidRPr="00AF19E3">
              <w:rPr>
                <w:rFonts w:ascii="Times New Roman" w:hAnsi="Times New Roman"/>
                <w:sz w:val="18"/>
                <w:szCs w:val="18"/>
              </w:rPr>
              <w:t>Visual Equip</w:t>
            </w:r>
          </w:p>
        </w:tc>
        <w:tc>
          <w:tcPr>
            <w:tcW w:w="1134" w:type="dxa"/>
            <w:tcBorders>
              <w:top w:val="nil"/>
              <w:left w:val="nil"/>
              <w:bottom w:val="single" w:sz="4" w:space="0" w:color="auto"/>
              <w:right w:val="single" w:sz="4" w:space="0" w:color="auto"/>
            </w:tcBorders>
            <w:shd w:val="clear" w:color="auto" w:fill="auto"/>
            <w:noWrap/>
            <w:vAlign w:val="bottom"/>
            <w:hideMark/>
          </w:tcPr>
          <w:p w14:paraId="0BC1AFCB"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2081A915"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29405629"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0</w:t>
            </w:r>
          </w:p>
        </w:tc>
        <w:tc>
          <w:tcPr>
            <w:tcW w:w="992" w:type="dxa"/>
            <w:tcBorders>
              <w:top w:val="nil"/>
              <w:left w:val="nil"/>
              <w:bottom w:val="single" w:sz="4" w:space="0" w:color="auto"/>
              <w:right w:val="single" w:sz="4" w:space="0" w:color="auto"/>
            </w:tcBorders>
            <w:shd w:val="clear" w:color="auto" w:fill="auto"/>
            <w:noWrap/>
            <w:vAlign w:val="bottom"/>
            <w:hideMark/>
          </w:tcPr>
          <w:p w14:paraId="243619F8"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0</w:t>
            </w:r>
          </w:p>
        </w:tc>
        <w:tc>
          <w:tcPr>
            <w:tcW w:w="992" w:type="dxa"/>
            <w:tcBorders>
              <w:top w:val="nil"/>
              <w:left w:val="nil"/>
              <w:bottom w:val="single" w:sz="4" w:space="0" w:color="auto"/>
              <w:right w:val="single" w:sz="4" w:space="0" w:color="auto"/>
            </w:tcBorders>
            <w:shd w:val="clear" w:color="auto" w:fill="auto"/>
            <w:noWrap/>
            <w:vAlign w:val="bottom"/>
            <w:hideMark/>
          </w:tcPr>
          <w:p w14:paraId="4A8F05FA"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0</w:t>
            </w:r>
          </w:p>
        </w:tc>
        <w:tc>
          <w:tcPr>
            <w:tcW w:w="1134" w:type="dxa"/>
            <w:tcBorders>
              <w:top w:val="nil"/>
              <w:left w:val="nil"/>
              <w:bottom w:val="single" w:sz="4" w:space="0" w:color="auto"/>
              <w:right w:val="single" w:sz="4" w:space="0" w:color="auto"/>
            </w:tcBorders>
            <w:shd w:val="clear" w:color="auto" w:fill="auto"/>
            <w:noWrap/>
            <w:vAlign w:val="bottom"/>
            <w:hideMark/>
          </w:tcPr>
          <w:p w14:paraId="6BE51B37"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0</w:t>
            </w:r>
          </w:p>
        </w:tc>
        <w:tc>
          <w:tcPr>
            <w:tcW w:w="851" w:type="dxa"/>
            <w:tcBorders>
              <w:top w:val="single" w:sz="4" w:space="0" w:color="auto"/>
              <w:bottom w:val="single" w:sz="4" w:space="0" w:color="auto"/>
              <w:right w:val="single" w:sz="4" w:space="0" w:color="auto"/>
            </w:tcBorders>
            <w:vAlign w:val="center"/>
          </w:tcPr>
          <w:p w14:paraId="10EC07CC" w14:textId="77777777" w:rsidR="006F7397" w:rsidRPr="00AF19E3" w:rsidRDefault="006F7397">
            <w:pPr>
              <w:spacing w:after="0"/>
              <w:jc w:val="left"/>
              <w:rPr>
                <w:rFonts w:ascii="Times New Roman" w:hAnsi="Times New Roman"/>
                <w:sz w:val="18"/>
                <w:szCs w:val="18"/>
              </w:rPr>
            </w:pPr>
          </w:p>
        </w:tc>
      </w:tr>
      <w:tr w:rsidR="006F7397" w14:paraId="1B48C1AB" w14:textId="49F3CEF0" w:rsidTr="00AF19E3">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15052CF9"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029AFA78" w14:textId="77777777" w:rsidR="006F7397" w:rsidRPr="00AF19E3" w:rsidRDefault="006F7397">
            <w:pPr>
              <w:rPr>
                <w:rFonts w:ascii="Times New Roman" w:hAnsi="Times New Roman"/>
                <w:color w:val="000000"/>
                <w:sz w:val="18"/>
                <w:szCs w:val="18"/>
              </w:rPr>
            </w:pPr>
          </w:p>
        </w:tc>
        <w:tc>
          <w:tcPr>
            <w:tcW w:w="851" w:type="dxa"/>
            <w:vMerge/>
            <w:tcBorders>
              <w:top w:val="nil"/>
              <w:left w:val="single" w:sz="4" w:space="0" w:color="auto"/>
              <w:bottom w:val="single" w:sz="4" w:space="0" w:color="auto"/>
              <w:right w:val="single" w:sz="4" w:space="0" w:color="auto"/>
            </w:tcBorders>
            <w:vAlign w:val="center"/>
            <w:hideMark/>
          </w:tcPr>
          <w:p w14:paraId="0E876EF1" w14:textId="77777777" w:rsidR="006F7397" w:rsidRPr="00AF19E3" w:rsidRDefault="006F7397">
            <w:pPr>
              <w:rPr>
                <w:rFonts w:ascii="Times New Roman" w:hAnsi="Times New Roman"/>
                <w:color w:val="000000"/>
                <w:sz w:val="18"/>
                <w:szCs w:val="18"/>
              </w:rPr>
            </w:pPr>
          </w:p>
        </w:tc>
        <w:tc>
          <w:tcPr>
            <w:tcW w:w="708" w:type="dxa"/>
            <w:vMerge/>
            <w:tcBorders>
              <w:top w:val="nil"/>
              <w:left w:val="single" w:sz="4" w:space="0" w:color="auto"/>
              <w:bottom w:val="single" w:sz="4" w:space="0" w:color="auto"/>
              <w:right w:val="single" w:sz="4" w:space="0" w:color="auto"/>
            </w:tcBorders>
            <w:vAlign w:val="center"/>
            <w:hideMark/>
          </w:tcPr>
          <w:p w14:paraId="7CB7C082" w14:textId="77777777" w:rsidR="006F7397" w:rsidRPr="00AF19E3" w:rsidRDefault="006F7397">
            <w:pP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hideMark/>
          </w:tcPr>
          <w:p w14:paraId="30612B78"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74500</w:t>
            </w:r>
          </w:p>
        </w:tc>
        <w:tc>
          <w:tcPr>
            <w:tcW w:w="2126" w:type="dxa"/>
            <w:tcBorders>
              <w:top w:val="nil"/>
              <w:left w:val="nil"/>
              <w:bottom w:val="single" w:sz="4" w:space="0" w:color="auto"/>
              <w:right w:val="single" w:sz="4" w:space="0" w:color="auto"/>
            </w:tcBorders>
            <w:shd w:val="clear" w:color="auto" w:fill="auto"/>
            <w:noWrap/>
            <w:vAlign w:val="bottom"/>
            <w:hideMark/>
          </w:tcPr>
          <w:p w14:paraId="1ACD782F" w14:textId="212495C9" w:rsidR="006F7397" w:rsidRPr="00AF19E3" w:rsidRDefault="006F7397">
            <w:pPr>
              <w:rPr>
                <w:rFonts w:ascii="Times New Roman" w:hAnsi="Times New Roman"/>
                <w:sz w:val="18"/>
                <w:szCs w:val="18"/>
              </w:rPr>
            </w:pPr>
            <w:r w:rsidRPr="00AF19E3">
              <w:rPr>
                <w:rFonts w:ascii="Times New Roman" w:hAnsi="Times New Roman"/>
                <w:sz w:val="18"/>
                <w:szCs w:val="18"/>
              </w:rPr>
              <w:t>Misce</w:t>
            </w:r>
            <w:r w:rsidR="00AF19E3">
              <w:rPr>
                <w:rFonts w:ascii="Times New Roman" w:hAnsi="Times New Roman"/>
                <w:sz w:val="18"/>
                <w:szCs w:val="18"/>
              </w:rPr>
              <w:t>l</w:t>
            </w:r>
            <w:r w:rsidRPr="00AF19E3">
              <w:rPr>
                <w:rFonts w:ascii="Times New Roman" w:hAnsi="Times New Roman"/>
                <w:sz w:val="18"/>
                <w:szCs w:val="18"/>
              </w:rPr>
              <w:t>laneous Expenses</w:t>
            </w:r>
          </w:p>
        </w:tc>
        <w:tc>
          <w:tcPr>
            <w:tcW w:w="1134" w:type="dxa"/>
            <w:tcBorders>
              <w:top w:val="nil"/>
              <w:left w:val="nil"/>
              <w:bottom w:val="single" w:sz="4" w:space="0" w:color="auto"/>
              <w:right w:val="single" w:sz="4" w:space="0" w:color="auto"/>
            </w:tcBorders>
            <w:shd w:val="clear" w:color="auto" w:fill="auto"/>
            <w:noWrap/>
            <w:vAlign w:val="bottom"/>
            <w:hideMark/>
          </w:tcPr>
          <w:p w14:paraId="57885187"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1,600</w:t>
            </w:r>
          </w:p>
        </w:tc>
        <w:tc>
          <w:tcPr>
            <w:tcW w:w="1134" w:type="dxa"/>
            <w:tcBorders>
              <w:top w:val="nil"/>
              <w:left w:val="nil"/>
              <w:bottom w:val="single" w:sz="4" w:space="0" w:color="auto"/>
              <w:right w:val="single" w:sz="4" w:space="0" w:color="auto"/>
            </w:tcBorders>
            <w:shd w:val="clear" w:color="auto" w:fill="auto"/>
            <w:noWrap/>
            <w:vAlign w:val="bottom"/>
            <w:hideMark/>
          </w:tcPr>
          <w:p w14:paraId="23AC9990"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1,600</w:t>
            </w:r>
          </w:p>
        </w:tc>
        <w:tc>
          <w:tcPr>
            <w:tcW w:w="1134" w:type="dxa"/>
            <w:tcBorders>
              <w:top w:val="nil"/>
              <w:left w:val="nil"/>
              <w:bottom w:val="single" w:sz="4" w:space="0" w:color="auto"/>
              <w:right w:val="single" w:sz="4" w:space="0" w:color="auto"/>
            </w:tcBorders>
            <w:shd w:val="clear" w:color="auto" w:fill="auto"/>
            <w:noWrap/>
            <w:vAlign w:val="bottom"/>
            <w:hideMark/>
          </w:tcPr>
          <w:p w14:paraId="2F8BE3E8"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1,600</w:t>
            </w:r>
          </w:p>
        </w:tc>
        <w:tc>
          <w:tcPr>
            <w:tcW w:w="992" w:type="dxa"/>
            <w:tcBorders>
              <w:top w:val="nil"/>
              <w:left w:val="nil"/>
              <w:bottom w:val="single" w:sz="4" w:space="0" w:color="auto"/>
              <w:right w:val="single" w:sz="4" w:space="0" w:color="auto"/>
            </w:tcBorders>
            <w:shd w:val="clear" w:color="auto" w:fill="auto"/>
            <w:noWrap/>
            <w:vAlign w:val="bottom"/>
            <w:hideMark/>
          </w:tcPr>
          <w:p w14:paraId="24B316C5"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1,600</w:t>
            </w:r>
          </w:p>
        </w:tc>
        <w:tc>
          <w:tcPr>
            <w:tcW w:w="992" w:type="dxa"/>
            <w:tcBorders>
              <w:top w:val="nil"/>
              <w:left w:val="nil"/>
              <w:bottom w:val="single" w:sz="4" w:space="0" w:color="auto"/>
              <w:right w:val="single" w:sz="4" w:space="0" w:color="auto"/>
            </w:tcBorders>
            <w:shd w:val="clear" w:color="auto" w:fill="auto"/>
            <w:noWrap/>
            <w:vAlign w:val="bottom"/>
            <w:hideMark/>
          </w:tcPr>
          <w:p w14:paraId="057D5518" w14:textId="77777777" w:rsidR="006F7397" w:rsidRPr="00AF19E3" w:rsidRDefault="006F7397">
            <w:pPr>
              <w:jc w:val="right"/>
              <w:rPr>
                <w:rFonts w:ascii="Times New Roman" w:hAnsi="Times New Roman"/>
                <w:sz w:val="18"/>
                <w:szCs w:val="18"/>
              </w:rPr>
            </w:pPr>
            <w:r w:rsidRPr="00AF19E3">
              <w:rPr>
                <w:rFonts w:ascii="Times New Roman" w:hAnsi="Times New Roman"/>
                <w:sz w:val="18"/>
                <w:szCs w:val="18"/>
              </w:rPr>
              <w:t>1,600</w:t>
            </w:r>
          </w:p>
        </w:tc>
        <w:tc>
          <w:tcPr>
            <w:tcW w:w="1134" w:type="dxa"/>
            <w:tcBorders>
              <w:top w:val="nil"/>
              <w:left w:val="nil"/>
              <w:bottom w:val="single" w:sz="4" w:space="0" w:color="auto"/>
              <w:right w:val="single" w:sz="4" w:space="0" w:color="auto"/>
            </w:tcBorders>
            <w:shd w:val="clear" w:color="auto" w:fill="auto"/>
            <w:noWrap/>
            <w:vAlign w:val="bottom"/>
            <w:hideMark/>
          </w:tcPr>
          <w:p w14:paraId="34361ECF"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8,000</w:t>
            </w:r>
          </w:p>
        </w:tc>
        <w:tc>
          <w:tcPr>
            <w:tcW w:w="851" w:type="dxa"/>
            <w:tcBorders>
              <w:top w:val="single" w:sz="4" w:space="0" w:color="auto"/>
              <w:bottom w:val="single" w:sz="4" w:space="0" w:color="auto"/>
              <w:right w:val="single" w:sz="4" w:space="0" w:color="auto"/>
            </w:tcBorders>
            <w:vAlign w:val="center"/>
          </w:tcPr>
          <w:p w14:paraId="29569F03" w14:textId="77777777" w:rsidR="006F7397" w:rsidRPr="00AF19E3" w:rsidRDefault="006F7397">
            <w:pPr>
              <w:spacing w:after="0"/>
              <w:jc w:val="left"/>
              <w:rPr>
                <w:rFonts w:ascii="Times New Roman" w:hAnsi="Times New Roman"/>
                <w:sz w:val="18"/>
                <w:szCs w:val="18"/>
              </w:rPr>
            </w:pPr>
          </w:p>
        </w:tc>
      </w:tr>
      <w:tr w:rsidR="006F7397" w14:paraId="0A25D2F6" w14:textId="7E6327A3" w:rsidTr="00AF19E3">
        <w:trPr>
          <w:trHeight w:val="315"/>
        </w:trPr>
        <w:tc>
          <w:tcPr>
            <w:tcW w:w="1716" w:type="dxa"/>
            <w:vMerge/>
            <w:tcBorders>
              <w:top w:val="single" w:sz="4" w:space="0" w:color="auto"/>
              <w:left w:val="single" w:sz="4" w:space="0" w:color="auto"/>
              <w:bottom w:val="single" w:sz="4" w:space="0" w:color="000000"/>
              <w:right w:val="single" w:sz="4" w:space="0" w:color="auto"/>
            </w:tcBorders>
            <w:vAlign w:val="center"/>
            <w:hideMark/>
          </w:tcPr>
          <w:p w14:paraId="513A8820" w14:textId="77777777" w:rsidR="006F7397" w:rsidRPr="00AF19E3" w:rsidRDefault="006F7397">
            <w:pPr>
              <w:rPr>
                <w:rFonts w:ascii="Times New Roman" w:hAnsi="Times New Roman"/>
                <w:b/>
                <w:bCs/>
                <w:sz w:val="18"/>
                <w:szCs w:val="18"/>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14:paraId="4D8506A5" w14:textId="77777777" w:rsidR="006F7397" w:rsidRPr="00AF19E3" w:rsidRDefault="006F7397">
            <w:pPr>
              <w:rPr>
                <w:rFonts w:ascii="Times New Roman" w:hAnsi="Times New Roman"/>
                <w:color w:val="000000"/>
                <w:sz w:val="18"/>
                <w:szCs w:val="18"/>
              </w:rPr>
            </w:pPr>
          </w:p>
        </w:tc>
        <w:tc>
          <w:tcPr>
            <w:tcW w:w="851" w:type="dxa"/>
            <w:tcBorders>
              <w:top w:val="nil"/>
              <w:left w:val="nil"/>
              <w:bottom w:val="single" w:sz="4" w:space="0" w:color="auto"/>
              <w:right w:val="single" w:sz="4" w:space="0" w:color="auto"/>
            </w:tcBorders>
            <w:shd w:val="clear" w:color="auto" w:fill="auto"/>
            <w:noWrap/>
            <w:vAlign w:val="center"/>
            <w:hideMark/>
          </w:tcPr>
          <w:p w14:paraId="035CCBAD" w14:textId="77777777" w:rsidR="006F7397" w:rsidRPr="00AF19E3" w:rsidRDefault="006F7397">
            <w:pPr>
              <w:jc w:val="center"/>
              <w:rPr>
                <w:rFonts w:ascii="Times New Roman" w:hAnsi="Times New Roman"/>
                <w:color w:val="000000"/>
                <w:sz w:val="18"/>
                <w:szCs w:val="18"/>
              </w:rPr>
            </w:pPr>
            <w:r w:rsidRPr="00AF19E3">
              <w:rPr>
                <w:rFonts w:ascii="Times New Roman" w:hAnsi="Times New Roman"/>
                <w:color w:val="000000"/>
                <w:sz w:val="18"/>
                <w:szCs w:val="18"/>
              </w:rPr>
              <w:t> </w:t>
            </w:r>
          </w:p>
        </w:tc>
        <w:tc>
          <w:tcPr>
            <w:tcW w:w="708" w:type="dxa"/>
            <w:tcBorders>
              <w:top w:val="nil"/>
              <w:left w:val="nil"/>
              <w:bottom w:val="single" w:sz="4" w:space="0" w:color="auto"/>
              <w:right w:val="single" w:sz="4" w:space="0" w:color="auto"/>
            </w:tcBorders>
            <w:shd w:val="clear" w:color="auto" w:fill="auto"/>
            <w:vAlign w:val="center"/>
            <w:hideMark/>
          </w:tcPr>
          <w:p w14:paraId="19FE5642"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 </w:t>
            </w:r>
          </w:p>
        </w:tc>
        <w:tc>
          <w:tcPr>
            <w:tcW w:w="993" w:type="dxa"/>
            <w:tcBorders>
              <w:top w:val="nil"/>
              <w:left w:val="nil"/>
              <w:bottom w:val="single" w:sz="4" w:space="0" w:color="auto"/>
              <w:right w:val="single" w:sz="4" w:space="0" w:color="auto"/>
            </w:tcBorders>
            <w:shd w:val="clear" w:color="auto" w:fill="auto"/>
            <w:vAlign w:val="center"/>
            <w:hideMark/>
          </w:tcPr>
          <w:p w14:paraId="4D3FF479"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 </w:t>
            </w:r>
          </w:p>
        </w:tc>
        <w:tc>
          <w:tcPr>
            <w:tcW w:w="2126" w:type="dxa"/>
            <w:tcBorders>
              <w:top w:val="single" w:sz="4" w:space="0" w:color="auto"/>
              <w:left w:val="nil"/>
              <w:bottom w:val="single" w:sz="4" w:space="0" w:color="auto"/>
              <w:right w:val="single" w:sz="4" w:space="0" w:color="auto"/>
            </w:tcBorders>
            <w:shd w:val="clear" w:color="auto" w:fill="FFFFFF" w:themeFill="background1"/>
            <w:vAlign w:val="bottom"/>
            <w:hideMark/>
          </w:tcPr>
          <w:p w14:paraId="29929F46" w14:textId="277D6381" w:rsidR="006F7397" w:rsidRPr="00AF19E3" w:rsidRDefault="006F7397" w:rsidP="006F7397">
            <w:pPr>
              <w:rPr>
                <w:rFonts w:ascii="Times New Roman" w:hAnsi="Times New Roman"/>
                <w:b/>
                <w:bCs/>
                <w:sz w:val="18"/>
                <w:szCs w:val="18"/>
              </w:rPr>
            </w:pPr>
            <w:r w:rsidRPr="00AF19E3">
              <w:rPr>
                <w:rFonts w:ascii="Times New Roman" w:hAnsi="Times New Roman"/>
                <w:b/>
                <w:bCs/>
                <w:sz w:val="18"/>
                <w:szCs w:val="18"/>
              </w:rPr>
              <w:t>UNDP PM total</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8F507AF"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12,320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B34BACF"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12,320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0EF892A"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12,320</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606DF4BC"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12,320</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7552C063"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10,720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hideMark/>
          </w:tcPr>
          <w:p w14:paraId="02AB8BFB"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60,000</w:t>
            </w:r>
          </w:p>
        </w:tc>
        <w:tc>
          <w:tcPr>
            <w:tcW w:w="851" w:type="dxa"/>
            <w:tcBorders>
              <w:top w:val="single" w:sz="4" w:space="0" w:color="auto"/>
              <w:bottom w:val="single" w:sz="4" w:space="0" w:color="auto"/>
              <w:right w:val="single" w:sz="4" w:space="0" w:color="auto"/>
            </w:tcBorders>
            <w:vAlign w:val="center"/>
          </w:tcPr>
          <w:p w14:paraId="3CF492A6" w14:textId="77777777" w:rsidR="006F7397" w:rsidRPr="00AF19E3" w:rsidRDefault="006F7397">
            <w:pPr>
              <w:spacing w:after="0"/>
              <w:jc w:val="left"/>
              <w:rPr>
                <w:rFonts w:ascii="Times New Roman" w:hAnsi="Times New Roman"/>
                <w:sz w:val="18"/>
                <w:szCs w:val="18"/>
              </w:rPr>
            </w:pPr>
          </w:p>
        </w:tc>
      </w:tr>
      <w:tr w:rsidR="00AF19E3" w14:paraId="331809DA" w14:textId="77777777" w:rsidTr="00AF19E3">
        <w:trPr>
          <w:trHeight w:val="315"/>
        </w:trPr>
        <w:tc>
          <w:tcPr>
            <w:tcW w:w="1716" w:type="dxa"/>
            <w:tcBorders>
              <w:top w:val="single" w:sz="4" w:space="0" w:color="auto"/>
              <w:left w:val="single" w:sz="4" w:space="0" w:color="auto"/>
              <w:bottom w:val="single" w:sz="4" w:space="0" w:color="000000"/>
              <w:right w:val="single" w:sz="4" w:space="0" w:color="auto"/>
            </w:tcBorders>
            <w:vAlign w:val="center"/>
          </w:tcPr>
          <w:p w14:paraId="7536E024" w14:textId="77777777" w:rsidR="00AF19E3" w:rsidRPr="00AF19E3" w:rsidRDefault="00AF19E3">
            <w:pPr>
              <w:rPr>
                <w:rFonts w:ascii="Times New Roman" w:hAnsi="Times New Roman"/>
                <w:b/>
                <w:bCs/>
                <w:sz w:val="18"/>
                <w:szCs w:val="18"/>
              </w:rPr>
            </w:pPr>
          </w:p>
        </w:tc>
        <w:tc>
          <w:tcPr>
            <w:tcW w:w="709" w:type="dxa"/>
            <w:tcBorders>
              <w:top w:val="single" w:sz="4" w:space="0" w:color="auto"/>
              <w:left w:val="single" w:sz="4" w:space="0" w:color="auto"/>
              <w:bottom w:val="single" w:sz="4" w:space="0" w:color="000000"/>
              <w:right w:val="single" w:sz="4" w:space="0" w:color="auto"/>
            </w:tcBorders>
            <w:vAlign w:val="center"/>
          </w:tcPr>
          <w:p w14:paraId="5541BDA3" w14:textId="77777777" w:rsidR="00AF19E3" w:rsidRPr="00AF19E3" w:rsidRDefault="00AF19E3">
            <w:pPr>
              <w:rPr>
                <w:rFonts w:ascii="Times New Roman" w:hAnsi="Times New Roman"/>
                <w:color w:val="000000"/>
                <w:sz w:val="18"/>
                <w:szCs w:val="18"/>
              </w:rPr>
            </w:pPr>
          </w:p>
        </w:tc>
        <w:tc>
          <w:tcPr>
            <w:tcW w:w="851" w:type="dxa"/>
            <w:tcBorders>
              <w:top w:val="nil"/>
              <w:left w:val="nil"/>
              <w:bottom w:val="single" w:sz="4" w:space="0" w:color="auto"/>
              <w:right w:val="single" w:sz="4" w:space="0" w:color="auto"/>
            </w:tcBorders>
            <w:shd w:val="clear" w:color="auto" w:fill="auto"/>
            <w:noWrap/>
            <w:vAlign w:val="center"/>
          </w:tcPr>
          <w:p w14:paraId="5614FA18" w14:textId="77777777" w:rsidR="00AF19E3" w:rsidRPr="00AF19E3" w:rsidRDefault="00AF19E3">
            <w:pPr>
              <w:jc w:val="center"/>
              <w:rPr>
                <w:rFonts w:ascii="Times New Roman" w:hAnsi="Times New Roman"/>
                <w:color w:val="000000"/>
                <w:sz w:val="18"/>
                <w:szCs w:val="18"/>
              </w:rPr>
            </w:pPr>
          </w:p>
        </w:tc>
        <w:tc>
          <w:tcPr>
            <w:tcW w:w="708" w:type="dxa"/>
            <w:tcBorders>
              <w:top w:val="nil"/>
              <w:left w:val="nil"/>
              <w:bottom w:val="single" w:sz="4" w:space="0" w:color="auto"/>
              <w:right w:val="single" w:sz="4" w:space="0" w:color="auto"/>
            </w:tcBorders>
            <w:shd w:val="clear" w:color="auto" w:fill="auto"/>
            <w:vAlign w:val="center"/>
          </w:tcPr>
          <w:p w14:paraId="7DCB496D" w14:textId="77777777" w:rsidR="00AF19E3" w:rsidRPr="00AF19E3" w:rsidRDefault="00AF19E3">
            <w:pPr>
              <w:jc w:val="center"/>
              <w:rPr>
                <w:rFonts w:ascii="Times New Roman" w:hAnsi="Times New Roman"/>
                <w:sz w:val="18"/>
                <w:szCs w:val="18"/>
              </w:rPr>
            </w:pPr>
          </w:p>
        </w:tc>
        <w:tc>
          <w:tcPr>
            <w:tcW w:w="993" w:type="dxa"/>
            <w:tcBorders>
              <w:top w:val="nil"/>
              <w:left w:val="nil"/>
              <w:bottom w:val="single" w:sz="4" w:space="0" w:color="auto"/>
              <w:right w:val="single" w:sz="4" w:space="0" w:color="auto"/>
            </w:tcBorders>
            <w:shd w:val="clear" w:color="auto" w:fill="auto"/>
            <w:vAlign w:val="center"/>
          </w:tcPr>
          <w:p w14:paraId="7ACCCB36" w14:textId="77777777" w:rsidR="00AF19E3" w:rsidRPr="00AF19E3" w:rsidRDefault="00AF19E3">
            <w:pPr>
              <w:jc w:val="center"/>
              <w:rPr>
                <w:rFonts w:ascii="Times New Roman" w:hAnsi="Times New Roman"/>
                <w:sz w:val="18"/>
                <w:szCs w:val="18"/>
              </w:rPr>
            </w:pPr>
          </w:p>
        </w:tc>
        <w:tc>
          <w:tcPr>
            <w:tcW w:w="2126" w:type="dxa"/>
            <w:tcBorders>
              <w:top w:val="single" w:sz="4" w:space="0" w:color="auto"/>
              <w:left w:val="nil"/>
              <w:bottom w:val="single" w:sz="4" w:space="0" w:color="auto"/>
              <w:right w:val="single" w:sz="4" w:space="0" w:color="auto"/>
            </w:tcBorders>
            <w:shd w:val="clear" w:color="auto" w:fill="FFFFFF" w:themeFill="background1"/>
            <w:vAlign w:val="bottom"/>
          </w:tcPr>
          <w:p w14:paraId="1D9CD71F" w14:textId="04DCB674" w:rsidR="00AF19E3" w:rsidRPr="00AF19E3" w:rsidRDefault="00AF19E3" w:rsidP="00AF19E3">
            <w:pPr>
              <w:jc w:val="left"/>
              <w:rPr>
                <w:rFonts w:ascii="Times New Roman" w:hAnsi="Times New Roman"/>
                <w:b/>
                <w:bCs/>
                <w:sz w:val="18"/>
                <w:szCs w:val="18"/>
              </w:rPr>
            </w:pPr>
            <w:r>
              <w:rPr>
                <w:rFonts w:ascii="Times New Roman" w:hAnsi="Times New Roman"/>
                <w:b/>
                <w:bCs/>
                <w:sz w:val="18"/>
                <w:szCs w:val="18"/>
              </w:rPr>
              <w:t>TOTAL</w:t>
            </w:r>
            <w:r w:rsidRPr="00AF19E3">
              <w:rPr>
                <w:rFonts w:ascii="Times New Roman" w:hAnsi="Times New Roman"/>
                <w:b/>
                <w:bCs/>
                <w:sz w:val="18"/>
                <w:szCs w:val="18"/>
              </w:rPr>
              <w:t xml:space="preserve"> </w:t>
            </w:r>
            <w:r>
              <w:rPr>
                <w:rFonts w:ascii="Times New Roman" w:hAnsi="Times New Roman"/>
                <w:b/>
                <w:bCs/>
                <w:sz w:val="18"/>
                <w:szCs w:val="18"/>
              </w:rPr>
              <w:t xml:space="preserve"> </w:t>
            </w:r>
            <w:r w:rsidRPr="00AF19E3">
              <w:rPr>
                <w:rFonts w:ascii="Times New Roman" w:hAnsi="Times New Roman"/>
                <w:b/>
                <w:bCs/>
                <w:sz w:val="18"/>
                <w:szCs w:val="18"/>
              </w:rPr>
              <w:t>P</w:t>
            </w:r>
            <w:r>
              <w:rPr>
                <w:rFonts w:ascii="Times New Roman" w:hAnsi="Times New Roman"/>
                <w:b/>
                <w:bCs/>
                <w:sz w:val="18"/>
                <w:szCs w:val="18"/>
              </w:rPr>
              <w:t xml:space="preserve">roject </w:t>
            </w:r>
            <w:r w:rsidRPr="00AF19E3">
              <w:rPr>
                <w:rFonts w:ascii="Times New Roman" w:hAnsi="Times New Roman"/>
                <w:b/>
                <w:bCs/>
                <w:sz w:val="18"/>
                <w:szCs w:val="18"/>
              </w:rPr>
              <w:t>M</w:t>
            </w:r>
            <w:r>
              <w:rPr>
                <w:rFonts w:ascii="Times New Roman" w:hAnsi="Times New Roman"/>
                <w:b/>
                <w:bCs/>
                <w:sz w:val="18"/>
                <w:szCs w:val="18"/>
              </w:rPr>
              <w:t>anagement</w:t>
            </w:r>
            <w:r w:rsidRPr="00AF19E3">
              <w:rPr>
                <w:rFonts w:ascii="Times New Roman" w:hAnsi="Times New Roman"/>
                <w:b/>
                <w:bCs/>
                <w:sz w:val="18"/>
                <w:szCs w:val="18"/>
              </w:rPr>
              <w:t xml:space="preserve"> </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tcPr>
          <w:p w14:paraId="24F58785" w14:textId="7C82476B" w:rsidR="00AF19E3" w:rsidRPr="00AF19E3" w:rsidRDefault="00AF19E3">
            <w:pPr>
              <w:jc w:val="right"/>
              <w:rPr>
                <w:rFonts w:ascii="Times New Roman" w:hAnsi="Times New Roman"/>
                <w:b/>
                <w:bCs/>
                <w:sz w:val="18"/>
                <w:szCs w:val="18"/>
              </w:rPr>
            </w:pPr>
            <w:r>
              <w:rPr>
                <w:rFonts w:ascii="Times New Roman" w:hAnsi="Times New Roman"/>
                <w:b/>
                <w:bCs/>
                <w:sz w:val="18"/>
                <w:szCs w:val="18"/>
              </w:rPr>
              <w:t>68,340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tcPr>
          <w:p w14:paraId="7A5CC930" w14:textId="1E3A6725" w:rsidR="00AF19E3" w:rsidRPr="00AF19E3" w:rsidRDefault="00AF19E3">
            <w:pPr>
              <w:jc w:val="right"/>
              <w:rPr>
                <w:rFonts w:ascii="Times New Roman" w:hAnsi="Times New Roman"/>
                <w:b/>
                <w:bCs/>
                <w:sz w:val="18"/>
                <w:szCs w:val="18"/>
              </w:rPr>
            </w:pPr>
            <w:r>
              <w:rPr>
                <w:rFonts w:ascii="Times New Roman" w:hAnsi="Times New Roman"/>
                <w:b/>
                <w:bCs/>
                <w:sz w:val="18"/>
                <w:szCs w:val="18"/>
              </w:rPr>
              <w:t>68,340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tcPr>
          <w:p w14:paraId="549F2867" w14:textId="4193B71B" w:rsidR="00AF19E3" w:rsidRPr="00AF19E3" w:rsidRDefault="00AF19E3">
            <w:pPr>
              <w:jc w:val="right"/>
              <w:rPr>
                <w:rFonts w:ascii="Times New Roman" w:hAnsi="Times New Roman"/>
                <w:b/>
                <w:bCs/>
                <w:sz w:val="18"/>
                <w:szCs w:val="18"/>
              </w:rPr>
            </w:pPr>
            <w:r>
              <w:rPr>
                <w:rFonts w:ascii="Times New Roman" w:hAnsi="Times New Roman"/>
                <w:b/>
                <w:bCs/>
                <w:sz w:val="18"/>
                <w:szCs w:val="18"/>
              </w:rPr>
              <w:t>68,340</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bottom"/>
          </w:tcPr>
          <w:p w14:paraId="78DDDBE5" w14:textId="5AE45748" w:rsidR="00AF19E3" w:rsidRPr="00AF19E3" w:rsidRDefault="00AF19E3">
            <w:pPr>
              <w:jc w:val="right"/>
              <w:rPr>
                <w:rFonts w:ascii="Times New Roman" w:hAnsi="Times New Roman"/>
                <w:b/>
                <w:bCs/>
                <w:sz w:val="18"/>
                <w:szCs w:val="18"/>
              </w:rPr>
            </w:pPr>
            <w:r>
              <w:rPr>
                <w:rFonts w:ascii="Times New Roman" w:hAnsi="Times New Roman"/>
                <w:b/>
                <w:bCs/>
                <w:sz w:val="18"/>
                <w:szCs w:val="18"/>
              </w:rPr>
              <w:t>68,340</w:t>
            </w:r>
          </w:p>
        </w:tc>
        <w:tc>
          <w:tcPr>
            <w:tcW w:w="992" w:type="dxa"/>
            <w:tcBorders>
              <w:top w:val="single" w:sz="4" w:space="0" w:color="auto"/>
              <w:left w:val="nil"/>
              <w:bottom w:val="single" w:sz="4" w:space="0" w:color="auto"/>
              <w:right w:val="single" w:sz="4" w:space="0" w:color="auto"/>
            </w:tcBorders>
            <w:shd w:val="clear" w:color="auto" w:fill="FFFFFF" w:themeFill="background1"/>
            <w:noWrap/>
            <w:vAlign w:val="bottom"/>
          </w:tcPr>
          <w:p w14:paraId="7249D048" w14:textId="36A8AB61" w:rsidR="00AF19E3" w:rsidRPr="00AF19E3" w:rsidRDefault="00AF19E3" w:rsidP="00AF19E3">
            <w:pPr>
              <w:jc w:val="right"/>
              <w:rPr>
                <w:rFonts w:ascii="Times New Roman" w:hAnsi="Times New Roman"/>
                <w:b/>
                <w:bCs/>
                <w:sz w:val="18"/>
                <w:szCs w:val="18"/>
              </w:rPr>
            </w:pPr>
            <w:r>
              <w:rPr>
                <w:rFonts w:ascii="Times New Roman" w:hAnsi="Times New Roman"/>
                <w:b/>
                <w:bCs/>
                <w:sz w:val="18"/>
                <w:szCs w:val="18"/>
              </w:rPr>
              <w:t>66,740</w:t>
            </w:r>
          </w:p>
        </w:tc>
        <w:tc>
          <w:tcPr>
            <w:tcW w:w="1134" w:type="dxa"/>
            <w:tcBorders>
              <w:top w:val="single" w:sz="4" w:space="0" w:color="auto"/>
              <w:left w:val="nil"/>
              <w:bottom w:val="single" w:sz="4" w:space="0" w:color="auto"/>
              <w:right w:val="single" w:sz="4" w:space="0" w:color="auto"/>
            </w:tcBorders>
            <w:shd w:val="clear" w:color="auto" w:fill="FFFFFF" w:themeFill="background1"/>
            <w:noWrap/>
            <w:vAlign w:val="bottom"/>
          </w:tcPr>
          <w:p w14:paraId="14C8502C" w14:textId="7FC38539" w:rsidR="00AF19E3" w:rsidRPr="009F5B2A" w:rsidRDefault="00AF19E3">
            <w:pPr>
              <w:jc w:val="right"/>
              <w:rPr>
                <w:rFonts w:ascii="Times New Roman" w:hAnsi="Times New Roman"/>
                <w:b/>
                <w:bCs/>
                <w:sz w:val="18"/>
                <w:szCs w:val="18"/>
                <w:vertAlign w:val="superscript"/>
              </w:rPr>
            </w:pPr>
            <w:r>
              <w:rPr>
                <w:rFonts w:ascii="Times New Roman" w:hAnsi="Times New Roman"/>
                <w:b/>
                <w:bCs/>
                <w:sz w:val="18"/>
                <w:szCs w:val="18"/>
              </w:rPr>
              <w:t>340,100</w:t>
            </w:r>
          </w:p>
        </w:tc>
        <w:tc>
          <w:tcPr>
            <w:tcW w:w="851" w:type="dxa"/>
            <w:tcBorders>
              <w:top w:val="single" w:sz="4" w:space="0" w:color="auto"/>
              <w:bottom w:val="single" w:sz="4" w:space="0" w:color="auto"/>
              <w:right w:val="single" w:sz="4" w:space="0" w:color="auto"/>
            </w:tcBorders>
            <w:vAlign w:val="center"/>
          </w:tcPr>
          <w:p w14:paraId="63B85EC1" w14:textId="77777777" w:rsidR="00AF19E3" w:rsidRPr="00AF19E3" w:rsidRDefault="00AF19E3">
            <w:pPr>
              <w:spacing w:after="0"/>
              <w:jc w:val="left"/>
              <w:rPr>
                <w:rFonts w:ascii="Times New Roman" w:hAnsi="Times New Roman"/>
                <w:sz w:val="18"/>
                <w:szCs w:val="18"/>
              </w:rPr>
            </w:pPr>
          </w:p>
        </w:tc>
      </w:tr>
      <w:tr w:rsidR="006F7397" w14:paraId="5E2AC183" w14:textId="4444AE14" w:rsidTr="006F7397">
        <w:trPr>
          <w:trHeight w:val="315"/>
        </w:trPr>
        <w:tc>
          <w:tcPr>
            <w:tcW w:w="1716" w:type="dxa"/>
            <w:tcBorders>
              <w:top w:val="nil"/>
              <w:left w:val="nil"/>
              <w:bottom w:val="nil"/>
              <w:right w:val="nil"/>
            </w:tcBorders>
            <w:shd w:val="clear" w:color="auto" w:fill="auto"/>
            <w:vAlign w:val="center"/>
            <w:hideMark/>
          </w:tcPr>
          <w:p w14:paraId="74E7A150" w14:textId="77777777" w:rsidR="006F7397" w:rsidRPr="00AF19E3" w:rsidRDefault="006F7397">
            <w:pPr>
              <w:rPr>
                <w:rFonts w:ascii="Times New Roman" w:hAnsi="Times New Roman"/>
                <w:b/>
                <w:bCs/>
                <w:sz w:val="18"/>
                <w:szCs w:val="18"/>
              </w:rPr>
            </w:pPr>
          </w:p>
        </w:tc>
        <w:tc>
          <w:tcPr>
            <w:tcW w:w="709" w:type="dxa"/>
            <w:tcBorders>
              <w:top w:val="nil"/>
              <w:left w:val="nil"/>
              <w:bottom w:val="nil"/>
              <w:right w:val="nil"/>
            </w:tcBorders>
            <w:shd w:val="clear" w:color="auto" w:fill="auto"/>
            <w:noWrap/>
            <w:vAlign w:val="center"/>
            <w:hideMark/>
          </w:tcPr>
          <w:p w14:paraId="752480A1" w14:textId="77777777" w:rsidR="006F7397" w:rsidRPr="00AF19E3" w:rsidRDefault="006F7397">
            <w:pPr>
              <w:jc w:val="center"/>
              <w:rPr>
                <w:rFonts w:ascii="Times New Roman" w:hAnsi="Times New Roman"/>
                <w:color w:val="000000"/>
                <w:sz w:val="18"/>
                <w:szCs w:val="18"/>
              </w:rPr>
            </w:pPr>
          </w:p>
        </w:tc>
        <w:tc>
          <w:tcPr>
            <w:tcW w:w="851" w:type="dxa"/>
            <w:tcBorders>
              <w:top w:val="nil"/>
              <w:left w:val="nil"/>
              <w:bottom w:val="nil"/>
              <w:right w:val="nil"/>
            </w:tcBorders>
            <w:shd w:val="clear" w:color="auto" w:fill="auto"/>
            <w:noWrap/>
            <w:vAlign w:val="center"/>
            <w:hideMark/>
          </w:tcPr>
          <w:p w14:paraId="1467A963" w14:textId="77777777" w:rsidR="006F7397" w:rsidRPr="00AF19E3" w:rsidRDefault="006F7397">
            <w:pPr>
              <w:rPr>
                <w:rFonts w:ascii="Times New Roman" w:hAnsi="Times New Roman"/>
                <w:color w:val="000000"/>
                <w:sz w:val="18"/>
                <w:szCs w:val="18"/>
              </w:rPr>
            </w:pPr>
          </w:p>
        </w:tc>
        <w:tc>
          <w:tcPr>
            <w:tcW w:w="708" w:type="dxa"/>
            <w:tcBorders>
              <w:top w:val="nil"/>
              <w:left w:val="nil"/>
              <w:bottom w:val="nil"/>
              <w:right w:val="nil"/>
            </w:tcBorders>
            <w:shd w:val="clear" w:color="auto" w:fill="auto"/>
            <w:vAlign w:val="center"/>
            <w:hideMark/>
          </w:tcPr>
          <w:p w14:paraId="67D9E90B" w14:textId="77777777" w:rsidR="006F7397" w:rsidRPr="00AF19E3" w:rsidRDefault="006F7397">
            <w:pPr>
              <w:rPr>
                <w:rFonts w:ascii="Times New Roman" w:hAnsi="Times New Roman"/>
                <w:sz w:val="18"/>
                <w:szCs w:val="18"/>
              </w:rPr>
            </w:pPr>
          </w:p>
        </w:tc>
        <w:tc>
          <w:tcPr>
            <w:tcW w:w="993" w:type="dxa"/>
            <w:tcBorders>
              <w:top w:val="nil"/>
              <w:left w:val="nil"/>
              <w:bottom w:val="nil"/>
              <w:right w:val="single" w:sz="4" w:space="0" w:color="auto"/>
            </w:tcBorders>
            <w:shd w:val="clear" w:color="auto" w:fill="auto"/>
            <w:vAlign w:val="center"/>
            <w:hideMark/>
          </w:tcPr>
          <w:p w14:paraId="2DCE4009" w14:textId="77777777" w:rsidR="006F7397" w:rsidRPr="00AF19E3" w:rsidRDefault="006F7397">
            <w:pPr>
              <w:jc w:val="center"/>
              <w:rPr>
                <w:rFonts w:ascii="Times New Roman" w:hAnsi="Times New Roman"/>
                <w:sz w:val="18"/>
                <w:szCs w:val="18"/>
              </w:rPr>
            </w:pPr>
            <w:r w:rsidRPr="00AF19E3">
              <w:rPr>
                <w:rFonts w:ascii="Times New Roman" w:hAnsi="Times New Roman"/>
                <w:sz w:val="18"/>
                <w:szCs w:val="18"/>
              </w:rPr>
              <w:t> </w:t>
            </w:r>
          </w:p>
        </w:tc>
        <w:tc>
          <w:tcPr>
            <w:tcW w:w="2126" w:type="dxa"/>
            <w:tcBorders>
              <w:top w:val="single" w:sz="4" w:space="0" w:color="auto"/>
              <w:left w:val="nil"/>
              <w:bottom w:val="single" w:sz="4" w:space="0" w:color="auto"/>
              <w:right w:val="single" w:sz="4" w:space="0" w:color="auto"/>
            </w:tcBorders>
            <w:shd w:val="clear" w:color="auto" w:fill="8DB3E2" w:themeFill="text2" w:themeFillTint="66"/>
            <w:noWrap/>
            <w:vAlign w:val="bottom"/>
            <w:hideMark/>
          </w:tcPr>
          <w:p w14:paraId="5C7B6878" w14:textId="77777777" w:rsidR="006F7397" w:rsidRPr="00AF19E3" w:rsidRDefault="006F7397">
            <w:pPr>
              <w:rPr>
                <w:rFonts w:ascii="Times New Roman" w:hAnsi="Times New Roman"/>
                <w:b/>
                <w:sz w:val="18"/>
                <w:szCs w:val="18"/>
              </w:rPr>
            </w:pPr>
            <w:r w:rsidRPr="00AF19E3">
              <w:rPr>
                <w:rFonts w:ascii="Times New Roman" w:hAnsi="Times New Roman"/>
                <w:b/>
                <w:sz w:val="18"/>
                <w:szCs w:val="18"/>
              </w:rPr>
              <w:t>UNDP TOTAL</w:t>
            </w:r>
          </w:p>
        </w:tc>
        <w:tc>
          <w:tcPr>
            <w:tcW w:w="1134" w:type="dxa"/>
            <w:tcBorders>
              <w:top w:val="single" w:sz="4" w:space="0" w:color="auto"/>
              <w:left w:val="nil"/>
              <w:bottom w:val="single" w:sz="4" w:space="0" w:color="auto"/>
              <w:right w:val="single" w:sz="4" w:space="0" w:color="auto"/>
            </w:tcBorders>
            <w:shd w:val="clear" w:color="auto" w:fill="8DB3E2" w:themeFill="text2" w:themeFillTint="66"/>
            <w:noWrap/>
            <w:vAlign w:val="bottom"/>
            <w:hideMark/>
          </w:tcPr>
          <w:p w14:paraId="05639D36"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12,320</w:t>
            </w:r>
          </w:p>
        </w:tc>
        <w:tc>
          <w:tcPr>
            <w:tcW w:w="1134" w:type="dxa"/>
            <w:tcBorders>
              <w:top w:val="single" w:sz="4" w:space="0" w:color="auto"/>
              <w:left w:val="nil"/>
              <w:bottom w:val="single" w:sz="4" w:space="0" w:color="auto"/>
              <w:right w:val="single" w:sz="4" w:space="0" w:color="auto"/>
            </w:tcBorders>
            <w:shd w:val="clear" w:color="auto" w:fill="8DB3E2" w:themeFill="text2" w:themeFillTint="66"/>
            <w:noWrap/>
            <w:vAlign w:val="bottom"/>
            <w:hideMark/>
          </w:tcPr>
          <w:p w14:paraId="5992DD62"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12,320</w:t>
            </w:r>
          </w:p>
        </w:tc>
        <w:tc>
          <w:tcPr>
            <w:tcW w:w="1134" w:type="dxa"/>
            <w:tcBorders>
              <w:top w:val="single" w:sz="4" w:space="0" w:color="auto"/>
              <w:left w:val="nil"/>
              <w:bottom w:val="single" w:sz="4" w:space="0" w:color="auto"/>
              <w:right w:val="single" w:sz="4" w:space="0" w:color="auto"/>
            </w:tcBorders>
            <w:shd w:val="clear" w:color="auto" w:fill="8DB3E2" w:themeFill="text2" w:themeFillTint="66"/>
            <w:noWrap/>
            <w:vAlign w:val="bottom"/>
            <w:hideMark/>
          </w:tcPr>
          <w:p w14:paraId="7243DE5A"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12,320</w:t>
            </w:r>
          </w:p>
        </w:tc>
        <w:tc>
          <w:tcPr>
            <w:tcW w:w="992" w:type="dxa"/>
            <w:tcBorders>
              <w:top w:val="single" w:sz="4" w:space="0" w:color="auto"/>
              <w:left w:val="nil"/>
              <w:bottom w:val="single" w:sz="4" w:space="0" w:color="auto"/>
              <w:right w:val="single" w:sz="4" w:space="0" w:color="auto"/>
            </w:tcBorders>
            <w:shd w:val="clear" w:color="auto" w:fill="8DB3E2" w:themeFill="text2" w:themeFillTint="66"/>
            <w:noWrap/>
            <w:vAlign w:val="bottom"/>
            <w:hideMark/>
          </w:tcPr>
          <w:p w14:paraId="30B61629"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12,320</w:t>
            </w:r>
          </w:p>
        </w:tc>
        <w:tc>
          <w:tcPr>
            <w:tcW w:w="992" w:type="dxa"/>
            <w:tcBorders>
              <w:top w:val="single" w:sz="4" w:space="0" w:color="auto"/>
              <w:left w:val="nil"/>
              <w:bottom w:val="single" w:sz="4" w:space="0" w:color="auto"/>
              <w:right w:val="single" w:sz="4" w:space="0" w:color="auto"/>
            </w:tcBorders>
            <w:shd w:val="clear" w:color="auto" w:fill="8DB3E2" w:themeFill="text2" w:themeFillTint="66"/>
            <w:noWrap/>
            <w:vAlign w:val="bottom"/>
            <w:hideMark/>
          </w:tcPr>
          <w:p w14:paraId="547CF949"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10,720</w:t>
            </w:r>
          </w:p>
        </w:tc>
        <w:tc>
          <w:tcPr>
            <w:tcW w:w="1134" w:type="dxa"/>
            <w:tcBorders>
              <w:top w:val="single" w:sz="4" w:space="0" w:color="auto"/>
              <w:left w:val="nil"/>
              <w:bottom w:val="single" w:sz="4" w:space="0" w:color="auto"/>
              <w:right w:val="single" w:sz="4" w:space="0" w:color="auto"/>
            </w:tcBorders>
            <w:shd w:val="clear" w:color="auto" w:fill="8DB3E2" w:themeFill="text2" w:themeFillTint="66"/>
            <w:noWrap/>
            <w:vAlign w:val="bottom"/>
            <w:hideMark/>
          </w:tcPr>
          <w:p w14:paraId="59744FEB"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60,000</w:t>
            </w:r>
          </w:p>
        </w:tc>
        <w:tc>
          <w:tcPr>
            <w:tcW w:w="851" w:type="dxa"/>
            <w:tcBorders>
              <w:top w:val="single" w:sz="4" w:space="0" w:color="auto"/>
              <w:bottom w:val="single" w:sz="4" w:space="0" w:color="auto"/>
              <w:right w:val="single" w:sz="4" w:space="0" w:color="auto"/>
            </w:tcBorders>
            <w:vAlign w:val="center"/>
          </w:tcPr>
          <w:p w14:paraId="19D703A5" w14:textId="77777777" w:rsidR="006F7397" w:rsidRPr="00AF19E3" w:rsidRDefault="006F7397">
            <w:pPr>
              <w:spacing w:after="0"/>
              <w:jc w:val="left"/>
              <w:rPr>
                <w:rFonts w:ascii="Times New Roman" w:hAnsi="Times New Roman"/>
                <w:sz w:val="18"/>
                <w:szCs w:val="18"/>
              </w:rPr>
            </w:pPr>
          </w:p>
        </w:tc>
      </w:tr>
      <w:tr w:rsidR="006F7397" w14:paraId="254B4A23" w14:textId="68B38444" w:rsidTr="006F7397">
        <w:trPr>
          <w:trHeight w:val="315"/>
        </w:trPr>
        <w:tc>
          <w:tcPr>
            <w:tcW w:w="1716" w:type="dxa"/>
            <w:tcBorders>
              <w:top w:val="nil"/>
              <w:left w:val="nil"/>
              <w:bottom w:val="nil"/>
              <w:right w:val="nil"/>
            </w:tcBorders>
            <w:shd w:val="clear" w:color="auto" w:fill="auto"/>
            <w:noWrap/>
            <w:vAlign w:val="bottom"/>
            <w:hideMark/>
          </w:tcPr>
          <w:p w14:paraId="294EA1F2" w14:textId="77777777" w:rsidR="006F7397" w:rsidRPr="00AF19E3" w:rsidRDefault="006F7397">
            <w:pPr>
              <w:rPr>
                <w:rFonts w:ascii="Times New Roman" w:hAnsi="Times New Roman"/>
                <w:sz w:val="18"/>
                <w:szCs w:val="18"/>
              </w:rPr>
            </w:pPr>
          </w:p>
        </w:tc>
        <w:tc>
          <w:tcPr>
            <w:tcW w:w="709" w:type="dxa"/>
            <w:tcBorders>
              <w:top w:val="nil"/>
              <w:left w:val="nil"/>
              <w:bottom w:val="nil"/>
              <w:right w:val="nil"/>
            </w:tcBorders>
            <w:shd w:val="clear" w:color="auto" w:fill="auto"/>
            <w:noWrap/>
            <w:vAlign w:val="bottom"/>
            <w:hideMark/>
          </w:tcPr>
          <w:p w14:paraId="48A79535" w14:textId="77777777" w:rsidR="006F7397" w:rsidRPr="00AF19E3" w:rsidRDefault="006F7397">
            <w:pPr>
              <w:rPr>
                <w:rFonts w:ascii="Times New Roman" w:hAnsi="Times New Roman"/>
                <w:sz w:val="18"/>
                <w:szCs w:val="18"/>
              </w:rPr>
            </w:pPr>
          </w:p>
        </w:tc>
        <w:tc>
          <w:tcPr>
            <w:tcW w:w="851" w:type="dxa"/>
            <w:tcBorders>
              <w:top w:val="nil"/>
              <w:left w:val="nil"/>
              <w:bottom w:val="nil"/>
              <w:right w:val="nil"/>
            </w:tcBorders>
            <w:shd w:val="clear" w:color="auto" w:fill="auto"/>
            <w:noWrap/>
            <w:vAlign w:val="bottom"/>
            <w:hideMark/>
          </w:tcPr>
          <w:p w14:paraId="6013F95B" w14:textId="77777777" w:rsidR="006F7397" w:rsidRPr="00AF19E3" w:rsidRDefault="006F7397">
            <w:pPr>
              <w:rPr>
                <w:rFonts w:ascii="Times New Roman" w:hAnsi="Times New Roman"/>
                <w:sz w:val="18"/>
                <w:szCs w:val="18"/>
              </w:rPr>
            </w:pPr>
          </w:p>
        </w:tc>
        <w:tc>
          <w:tcPr>
            <w:tcW w:w="708" w:type="dxa"/>
            <w:tcBorders>
              <w:top w:val="nil"/>
              <w:left w:val="nil"/>
              <w:bottom w:val="nil"/>
              <w:right w:val="nil"/>
            </w:tcBorders>
            <w:shd w:val="clear" w:color="auto" w:fill="auto"/>
            <w:noWrap/>
            <w:vAlign w:val="bottom"/>
            <w:hideMark/>
          </w:tcPr>
          <w:p w14:paraId="7951EF7F" w14:textId="77777777" w:rsidR="006F7397" w:rsidRPr="00AF19E3" w:rsidRDefault="006F7397">
            <w:pPr>
              <w:rPr>
                <w:rFonts w:ascii="Times New Roman" w:hAnsi="Times New Roman"/>
                <w:sz w:val="18"/>
                <w:szCs w:val="18"/>
              </w:rPr>
            </w:pPr>
          </w:p>
        </w:tc>
        <w:tc>
          <w:tcPr>
            <w:tcW w:w="993" w:type="dxa"/>
            <w:tcBorders>
              <w:top w:val="nil"/>
              <w:left w:val="nil"/>
              <w:bottom w:val="nil"/>
              <w:right w:val="nil"/>
            </w:tcBorders>
            <w:shd w:val="clear" w:color="auto" w:fill="auto"/>
            <w:noWrap/>
            <w:vAlign w:val="bottom"/>
            <w:hideMark/>
          </w:tcPr>
          <w:p w14:paraId="575DDA5D" w14:textId="77777777" w:rsidR="006F7397" w:rsidRPr="00AF19E3" w:rsidRDefault="006F7397">
            <w:pPr>
              <w:jc w:val="center"/>
              <w:rPr>
                <w:rFonts w:ascii="Times New Roman" w:hAnsi="Times New Roman"/>
                <w:sz w:val="18"/>
                <w:szCs w:val="18"/>
              </w:rPr>
            </w:pPr>
          </w:p>
        </w:tc>
        <w:tc>
          <w:tcPr>
            <w:tcW w:w="2126" w:type="dxa"/>
            <w:tcBorders>
              <w:top w:val="single" w:sz="4" w:space="0" w:color="auto"/>
              <w:left w:val="single" w:sz="4" w:space="0" w:color="auto"/>
              <w:bottom w:val="single" w:sz="4" w:space="0" w:color="auto"/>
              <w:right w:val="single" w:sz="4" w:space="0" w:color="auto"/>
            </w:tcBorders>
            <w:shd w:val="clear" w:color="auto" w:fill="C2D69B" w:themeFill="accent3" w:themeFillTint="99"/>
            <w:noWrap/>
            <w:vAlign w:val="bottom"/>
            <w:hideMark/>
          </w:tcPr>
          <w:p w14:paraId="468F0BF5" w14:textId="77777777" w:rsidR="006F7397" w:rsidRPr="00AF19E3" w:rsidRDefault="006F7397">
            <w:pPr>
              <w:rPr>
                <w:rFonts w:ascii="Times New Roman" w:hAnsi="Times New Roman"/>
                <w:b/>
                <w:bCs/>
                <w:sz w:val="18"/>
                <w:szCs w:val="18"/>
              </w:rPr>
            </w:pPr>
            <w:r w:rsidRPr="00AF19E3">
              <w:rPr>
                <w:rFonts w:ascii="Times New Roman" w:hAnsi="Times New Roman"/>
                <w:b/>
                <w:bCs/>
                <w:sz w:val="18"/>
                <w:szCs w:val="18"/>
              </w:rPr>
              <w:t>GEF TOTAL</w:t>
            </w:r>
          </w:p>
        </w:tc>
        <w:tc>
          <w:tcPr>
            <w:tcW w:w="1134" w:type="dxa"/>
            <w:tcBorders>
              <w:top w:val="single" w:sz="4" w:space="0" w:color="auto"/>
              <w:left w:val="nil"/>
              <w:bottom w:val="single" w:sz="4" w:space="0" w:color="auto"/>
              <w:right w:val="single" w:sz="4" w:space="0" w:color="auto"/>
            </w:tcBorders>
            <w:shd w:val="clear" w:color="auto" w:fill="C2D69B" w:themeFill="accent3" w:themeFillTint="99"/>
            <w:noWrap/>
            <w:vAlign w:val="bottom"/>
            <w:hideMark/>
          </w:tcPr>
          <w:p w14:paraId="78CA9E9A"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556,000</w:t>
            </w:r>
          </w:p>
        </w:tc>
        <w:tc>
          <w:tcPr>
            <w:tcW w:w="1134" w:type="dxa"/>
            <w:tcBorders>
              <w:top w:val="single" w:sz="4" w:space="0" w:color="auto"/>
              <w:left w:val="nil"/>
              <w:bottom w:val="single" w:sz="4" w:space="0" w:color="auto"/>
              <w:right w:val="single" w:sz="4" w:space="0" w:color="auto"/>
            </w:tcBorders>
            <w:shd w:val="clear" w:color="auto" w:fill="C2D69B" w:themeFill="accent3" w:themeFillTint="99"/>
            <w:noWrap/>
            <w:vAlign w:val="bottom"/>
            <w:hideMark/>
          </w:tcPr>
          <w:p w14:paraId="103369AB"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1,946,000</w:t>
            </w:r>
          </w:p>
        </w:tc>
        <w:tc>
          <w:tcPr>
            <w:tcW w:w="1134" w:type="dxa"/>
            <w:tcBorders>
              <w:top w:val="single" w:sz="4" w:space="0" w:color="auto"/>
              <w:left w:val="nil"/>
              <w:bottom w:val="single" w:sz="4" w:space="0" w:color="auto"/>
              <w:right w:val="single" w:sz="4" w:space="0" w:color="auto"/>
            </w:tcBorders>
            <w:shd w:val="clear" w:color="auto" w:fill="C2D69B" w:themeFill="accent3" w:themeFillTint="99"/>
            <w:noWrap/>
            <w:vAlign w:val="bottom"/>
            <w:hideMark/>
          </w:tcPr>
          <w:p w14:paraId="1F697201"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2,841,000</w:t>
            </w:r>
          </w:p>
        </w:tc>
        <w:tc>
          <w:tcPr>
            <w:tcW w:w="992" w:type="dxa"/>
            <w:tcBorders>
              <w:top w:val="single" w:sz="4" w:space="0" w:color="auto"/>
              <w:left w:val="nil"/>
              <w:bottom w:val="single" w:sz="4" w:space="0" w:color="auto"/>
              <w:right w:val="single" w:sz="4" w:space="0" w:color="auto"/>
            </w:tcBorders>
            <w:shd w:val="clear" w:color="auto" w:fill="C2D69B" w:themeFill="accent3" w:themeFillTint="99"/>
            <w:noWrap/>
            <w:vAlign w:val="bottom"/>
            <w:hideMark/>
          </w:tcPr>
          <w:p w14:paraId="2B4762A3"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336,000</w:t>
            </w:r>
          </w:p>
        </w:tc>
        <w:tc>
          <w:tcPr>
            <w:tcW w:w="992" w:type="dxa"/>
            <w:tcBorders>
              <w:top w:val="single" w:sz="4" w:space="0" w:color="auto"/>
              <w:left w:val="nil"/>
              <w:bottom w:val="single" w:sz="4" w:space="0" w:color="auto"/>
              <w:right w:val="single" w:sz="4" w:space="0" w:color="auto"/>
            </w:tcBorders>
            <w:shd w:val="clear" w:color="auto" w:fill="C2D69B" w:themeFill="accent3" w:themeFillTint="99"/>
            <w:noWrap/>
            <w:vAlign w:val="bottom"/>
            <w:hideMark/>
          </w:tcPr>
          <w:p w14:paraId="6C9FCB9F"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251,000</w:t>
            </w:r>
          </w:p>
        </w:tc>
        <w:tc>
          <w:tcPr>
            <w:tcW w:w="1134" w:type="dxa"/>
            <w:tcBorders>
              <w:top w:val="single" w:sz="4" w:space="0" w:color="auto"/>
              <w:left w:val="nil"/>
              <w:bottom w:val="single" w:sz="4" w:space="0" w:color="auto"/>
              <w:right w:val="single" w:sz="4" w:space="0" w:color="auto"/>
            </w:tcBorders>
            <w:shd w:val="clear" w:color="auto" w:fill="C2D69B" w:themeFill="accent3" w:themeFillTint="99"/>
            <w:noWrap/>
            <w:vAlign w:val="bottom"/>
            <w:hideMark/>
          </w:tcPr>
          <w:p w14:paraId="49538CBF"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5,930,000</w:t>
            </w:r>
          </w:p>
        </w:tc>
        <w:tc>
          <w:tcPr>
            <w:tcW w:w="851" w:type="dxa"/>
            <w:tcBorders>
              <w:top w:val="single" w:sz="4" w:space="0" w:color="auto"/>
              <w:bottom w:val="single" w:sz="4" w:space="0" w:color="auto"/>
              <w:right w:val="single" w:sz="4" w:space="0" w:color="auto"/>
            </w:tcBorders>
            <w:vAlign w:val="center"/>
          </w:tcPr>
          <w:p w14:paraId="49E60ECD" w14:textId="77777777" w:rsidR="006F7397" w:rsidRPr="00AF19E3" w:rsidRDefault="006F7397">
            <w:pPr>
              <w:spacing w:after="0"/>
              <w:jc w:val="left"/>
              <w:rPr>
                <w:rFonts w:ascii="Times New Roman" w:hAnsi="Times New Roman"/>
                <w:sz w:val="18"/>
                <w:szCs w:val="18"/>
              </w:rPr>
            </w:pPr>
          </w:p>
        </w:tc>
      </w:tr>
      <w:tr w:rsidR="006F7397" w14:paraId="6B9771BF" w14:textId="19D2B01B" w:rsidTr="006F7397">
        <w:trPr>
          <w:trHeight w:val="315"/>
        </w:trPr>
        <w:tc>
          <w:tcPr>
            <w:tcW w:w="1716" w:type="dxa"/>
            <w:tcBorders>
              <w:top w:val="nil"/>
              <w:left w:val="nil"/>
              <w:bottom w:val="nil"/>
              <w:right w:val="nil"/>
            </w:tcBorders>
            <w:shd w:val="clear" w:color="auto" w:fill="auto"/>
            <w:noWrap/>
            <w:vAlign w:val="bottom"/>
            <w:hideMark/>
          </w:tcPr>
          <w:p w14:paraId="5467F6E2" w14:textId="77777777" w:rsidR="006F7397" w:rsidRPr="00AF19E3" w:rsidRDefault="006F7397">
            <w:pPr>
              <w:rPr>
                <w:rFonts w:ascii="Times New Roman" w:hAnsi="Times New Roman"/>
                <w:sz w:val="18"/>
                <w:szCs w:val="18"/>
              </w:rPr>
            </w:pPr>
          </w:p>
        </w:tc>
        <w:tc>
          <w:tcPr>
            <w:tcW w:w="709" w:type="dxa"/>
            <w:tcBorders>
              <w:top w:val="nil"/>
              <w:left w:val="nil"/>
              <w:bottom w:val="nil"/>
              <w:right w:val="nil"/>
            </w:tcBorders>
            <w:shd w:val="clear" w:color="auto" w:fill="auto"/>
            <w:noWrap/>
            <w:vAlign w:val="bottom"/>
            <w:hideMark/>
          </w:tcPr>
          <w:p w14:paraId="33771199" w14:textId="77777777" w:rsidR="006F7397" w:rsidRPr="00AF19E3" w:rsidRDefault="006F7397">
            <w:pPr>
              <w:rPr>
                <w:rFonts w:ascii="Times New Roman" w:hAnsi="Times New Roman"/>
                <w:sz w:val="18"/>
                <w:szCs w:val="18"/>
              </w:rPr>
            </w:pPr>
          </w:p>
        </w:tc>
        <w:tc>
          <w:tcPr>
            <w:tcW w:w="851" w:type="dxa"/>
            <w:tcBorders>
              <w:top w:val="nil"/>
              <w:left w:val="nil"/>
              <w:bottom w:val="nil"/>
              <w:right w:val="nil"/>
            </w:tcBorders>
            <w:shd w:val="clear" w:color="auto" w:fill="auto"/>
            <w:noWrap/>
            <w:vAlign w:val="bottom"/>
            <w:hideMark/>
          </w:tcPr>
          <w:p w14:paraId="79EAD7B8" w14:textId="77777777" w:rsidR="006F7397" w:rsidRPr="00AF19E3" w:rsidRDefault="006F7397">
            <w:pPr>
              <w:rPr>
                <w:rFonts w:ascii="Times New Roman" w:hAnsi="Times New Roman"/>
                <w:sz w:val="18"/>
                <w:szCs w:val="18"/>
              </w:rPr>
            </w:pPr>
          </w:p>
        </w:tc>
        <w:tc>
          <w:tcPr>
            <w:tcW w:w="708" w:type="dxa"/>
            <w:tcBorders>
              <w:top w:val="nil"/>
              <w:left w:val="nil"/>
              <w:bottom w:val="nil"/>
              <w:right w:val="nil"/>
            </w:tcBorders>
            <w:shd w:val="clear" w:color="auto" w:fill="auto"/>
            <w:noWrap/>
            <w:vAlign w:val="bottom"/>
            <w:hideMark/>
          </w:tcPr>
          <w:p w14:paraId="4162B670" w14:textId="77777777" w:rsidR="006F7397" w:rsidRPr="00AF19E3" w:rsidRDefault="006F7397">
            <w:pPr>
              <w:rPr>
                <w:rFonts w:ascii="Times New Roman" w:hAnsi="Times New Roman"/>
                <w:sz w:val="18"/>
                <w:szCs w:val="18"/>
              </w:rPr>
            </w:pPr>
          </w:p>
        </w:tc>
        <w:tc>
          <w:tcPr>
            <w:tcW w:w="993" w:type="dxa"/>
            <w:tcBorders>
              <w:top w:val="nil"/>
              <w:left w:val="nil"/>
              <w:bottom w:val="nil"/>
              <w:right w:val="nil"/>
            </w:tcBorders>
            <w:shd w:val="clear" w:color="auto" w:fill="auto"/>
            <w:noWrap/>
            <w:vAlign w:val="bottom"/>
            <w:hideMark/>
          </w:tcPr>
          <w:p w14:paraId="02FDC5A0" w14:textId="77777777" w:rsidR="006F7397" w:rsidRPr="00AF19E3" w:rsidRDefault="006F7397">
            <w:pPr>
              <w:jc w:val="center"/>
              <w:rPr>
                <w:rFonts w:ascii="Times New Roman" w:hAnsi="Times New Roman"/>
                <w:sz w:val="18"/>
                <w:szCs w:val="18"/>
              </w:rPr>
            </w:pPr>
          </w:p>
        </w:tc>
        <w:tc>
          <w:tcPr>
            <w:tcW w:w="2126" w:type="dxa"/>
            <w:tcBorders>
              <w:top w:val="single" w:sz="4" w:space="0" w:color="auto"/>
              <w:left w:val="single" w:sz="4" w:space="0" w:color="auto"/>
              <w:bottom w:val="single" w:sz="4" w:space="0" w:color="auto"/>
              <w:right w:val="single" w:sz="4" w:space="0" w:color="auto"/>
            </w:tcBorders>
            <w:shd w:val="clear" w:color="auto" w:fill="D99594" w:themeFill="accent2" w:themeFillTint="99"/>
            <w:noWrap/>
            <w:vAlign w:val="bottom"/>
            <w:hideMark/>
          </w:tcPr>
          <w:p w14:paraId="5C9343EB" w14:textId="77777777" w:rsidR="006F7397" w:rsidRPr="00AF19E3" w:rsidRDefault="006F7397">
            <w:pPr>
              <w:rPr>
                <w:rFonts w:ascii="Times New Roman" w:hAnsi="Times New Roman"/>
                <w:b/>
                <w:bCs/>
                <w:sz w:val="18"/>
                <w:szCs w:val="18"/>
              </w:rPr>
            </w:pPr>
            <w:r w:rsidRPr="00AF19E3">
              <w:rPr>
                <w:rFonts w:ascii="Times New Roman" w:hAnsi="Times New Roman"/>
                <w:b/>
                <w:bCs/>
                <w:sz w:val="18"/>
                <w:szCs w:val="18"/>
              </w:rPr>
              <w:t>PROJECT TOTAL</w:t>
            </w:r>
          </w:p>
        </w:tc>
        <w:tc>
          <w:tcPr>
            <w:tcW w:w="1134" w:type="dxa"/>
            <w:tcBorders>
              <w:top w:val="single" w:sz="4" w:space="0" w:color="auto"/>
              <w:left w:val="nil"/>
              <w:bottom w:val="single" w:sz="4" w:space="0" w:color="auto"/>
              <w:right w:val="single" w:sz="4" w:space="0" w:color="auto"/>
            </w:tcBorders>
            <w:shd w:val="clear" w:color="auto" w:fill="D99594" w:themeFill="accent2" w:themeFillTint="99"/>
            <w:noWrap/>
            <w:vAlign w:val="bottom"/>
            <w:hideMark/>
          </w:tcPr>
          <w:p w14:paraId="18A18271"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568,320</w:t>
            </w:r>
          </w:p>
        </w:tc>
        <w:tc>
          <w:tcPr>
            <w:tcW w:w="1134" w:type="dxa"/>
            <w:tcBorders>
              <w:top w:val="single" w:sz="4" w:space="0" w:color="auto"/>
              <w:left w:val="nil"/>
              <w:bottom w:val="single" w:sz="4" w:space="0" w:color="auto"/>
              <w:right w:val="single" w:sz="4" w:space="0" w:color="auto"/>
            </w:tcBorders>
            <w:shd w:val="clear" w:color="auto" w:fill="D99594" w:themeFill="accent2" w:themeFillTint="99"/>
            <w:noWrap/>
            <w:vAlign w:val="bottom"/>
            <w:hideMark/>
          </w:tcPr>
          <w:p w14:paraId="0715DB08"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1,958,320</w:t>
            </w:r>
          </w:p>
        </w:tc>
        <w:tc>
          <w:tcPr>
            <w:tcW w:w="1134" w:type="dxa"/>
            <w:tcBorders>
              <w:top w:val="single" w:sz="4" w:space="0" w:color="auto"/>
              <w:left w:val="nil"/>
              <w:bottom w:val="single" w:sz="4" w:space="0" w:color="auto"/>
              <w:right w:val="single" w:sz="4" w:space="0" w:color="auto"/>
            </w:tcBorders>
            <w:shd w:val="clear" w:color="auto" w:fill="D99594" w:themeFill="accent2" w:themeFillTint="99"/>
            <w:noWrap/>
            <w:vAlign w:val="bottom"/>
            <w:hideMark/>
          </w:tcPr>
          <w:p w14:paraId="6C807B4D"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2,853,320</w:t>
            </w:r>
          </w:p>
        </w:tc>
        <w:tc>
          <w:tcPr>
            <w:tcW w:w="992" w:type="dxa"/>
            <w:tcBorders>
              <w:top w:val="single" w:sz="4" w:space="0" w:color="auto"/>
              <w:left w:val="nil"/>
              <w:bottom w:val="single" w:sz="4" w:space="0" w:color="auto"/>
              <w:right w:val="single" w:sz="4" w:space="0" w:color="auto"/>
            </w:tcBorders>
            <w:shd w:val="clear" w:color="auto" w:fill="D99594" w:themeFill="accent2" w:themeFillTint="99"/>
            <w:noWrap/>
            <w:vAlign w:val="bottom"/>
            <w:hideMark/>
          </w:tcPr>
          <w:p w14:paraId="1807180F"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348,320</w:t>
            </w:r>
          </w:p>
        </w:tc>
        <w:tc>
          <w:tcPr>
            <w:tcW w:w="992" w:type="dxa"/>
            <w:tcBorders>
              <w:top w:val="single" w:sz="4" w:space="0" w:color="auto"/>
              <w:left w:val="nil"/>
              <w:bottom w:val="single" w:sz="4" w:space="0" w:color="auto"/>
              <w:right w:val="single" w:sz="4" w:space="0" w:color="auto"/>
            </w:tcBorders>
            <w:shd w:val="clear" w:color="auto" w:fill="D99594" w:themeFill="accent2" w:themeFillTint="99"/>
            <w:noWrap/>
            <w:vAlign w:val="bottom"/>
            <w:hideMark/>
          </w:tcPr>
          <w:p w14:paraId="6332BE41"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261,720</w:t>
            </w:r>
          </w:p>
        </w:tc>
        <w:tc>
          <w:tcPr>
            <w:tcW w:w="1134" w:type="dxa"/>
            <w:tcBorders>
              <w:top w:val="single" w:sz="4" w:space="0" w:color="auto"/>
              <w:left w:val="nil"/>
              <w:bottom w:val="single" w:sz="4" w:space="0" w:color="auto"/>
              <w:right w:val="single" w:sz="4" w:space="0" w:color="auto"/>
            </w:tcBorders>
            <w:shd w:val="clear" w:color="auto" w:fill="D99594" w:themeFill="accent2" w:themeFillTint="99"/>
            <w:noWrap/>
            <w:vAlign w:val="bottom"/>
            <w:hideMark/>
          </w:tcPr>
          <w:p w14:paraId="2CB9B668" w14:textId="77777777" w:rsidR="006F7397" w:rsidRPr="00AF19E3" w:rsidRDefault="006F7397">
            <w:pPr>
              <w:jc w:val="right"/>
              <w:rPr>
                <w:rFonts w:ascii="Times New Roman" w:hAnsi="Times New Roman"/>
                <w:b/>
                <w:bCs/>
                <w:sz w:val="18"/>
                <w:szCs w:val="18"/>
              </w:rPr>
            </w:pPr>
            <w:r w:rsidRPr="00AF19E3">
              <w:rPr>
                <w:rFonts w:ascii="Times New Roman" w:hAnsi="Times New Roman"/>
                <w:b/>
                <w:bCs/>
                <w:sz w:val="18"/>
                <w:szCs w:val="18"/>
              </w:rPr>
              <w:t>5,990,000</w:t>
            </w:r>
          </w:p>
        </w:tc>
        <w:tc>
          <w:tcPr>
            <w:tcW w:w="851" w:type="dxa"/>
            <w:tcBorders>
              <w:top w:val="single" w:sz="4" w:space="0" w:color="auto"/>
              <w:bottom w:val="single" w:sz="4" w:space="0" w:color="auto"/>
              <w:right w:val="single" w:sz="4" w:space="0" w:color="auto"/>
            </w:tcBorders>
            <w:vAlign w:val="center"/>
          </w:tcPr>
          <w:p w14:paraId="42BAC949" w14:textId="77777777" w:rsidR="006F7397" w:rsidRPr="00AF19E3" w:rsidRDefault="006F7397">
            <w:pPr>
              <w:spacing w:after="0"/>
              <w:jc w:val="left"/>
              <w:rPr>
                <w:rFonts w:ascii="Times New Roman" w:hAnsi="Times New Roman"/>
                <w:sz w:val="18"/>
                <w:szCs w:val="18"/>
              </w:rPr>
            </w:pPr>
          </w:p>
        </w:tc>
      </w:tr>
    </w:tbl>
    <w:p w14:paraId="559ACE54" w14:textId="77777777" w:rsidR="00BB3E79" w:rsidRDefault="00BB3E79" w:rsidP="00E1433A">
      <w:pPr>
        <w:rPr>
          <w:sz w:val="18"/>
          <w:szCs w:val="18"/>
          <w:lang w:val="en-US"/>
        </w:rPr>
      </w:pPr>
    </w:p>
    <w:tbl>
      <w:tblPr>
        <w:tblW w:w="11484" w:type="dxa"/>
        <w:tblInd w:w="93" w:type="dxa"/>
        <w:tblLook w:val="04A0" w:firstRow="1" w:lastRow="0" w:firstColumn="1" w:lastColumn="0" w:noHBand="0" w:noVBand="1"/>
      </w:tblPr>
      <w:tblGrid>
        <w:gridCol w:w="4268"/>
        <w:gridCol w:w="1276"/>
        <w:gridCol w:w="1134"/>
        <w:gridCol w:w="1275"/>
        <w:gridCol w:w="1134"/>
        <w:gridCol w:w="1276"/>
        <w:gridCol w:w="1121"/>
      </w:tblGrid>
      <w:tr w:rsidR="006F7397" w:rsidRPr="006F7397" w14:paraId="0D8A0F2E" w14:textId="77777777" w:rsidTr="00665AEF">
        <w:trPr>
          <w:trHeight w:val="315"/>
        </w:trPr>
        <w:tc>
          <w:tcPr>
            <w:tcW w:w="4268" w:type="dxa"/>
            <w:tcBorders>
              <w:top w:val="nil"/>
              <w:left w:val="nil"/>
              <w:bottom w:val="nil"/>
              <w:right w:val="nil"/>
            </w:tcBorders>
            <w:shd w:val="clear" w:color="auto" w:fill="auto"/>
            <w:noWrap/>
            <w:vAlign w:val="bottom"/>
            <w:hideMark/>
          </w:tcPr>
          <w:p w14:paraId="5A150A07" w14:textId="13E3CA22" w:rsidR="006F7397" w:rsidRPr="006F7397" w:rsidRDefault="006F7397" w:rsidP="008873A8">
            <w:pPr>
              <w:spacing w:after="0"/>
              <w:jc w:val="left"/>
              <w:rPr>
                <w:rFonts w:ascii="Times New Roman" w:hAnsi="Times New Roman"/>
                <w:b/>
                <w:bCs/>
                <w:sz w:val="18"/>
                <w:szCs w:val="18"/>
                <w:lang w:eastAsia="en-GB"/>
              </w:rPr>
            </w:pPr>
            <w:r w:rsidRPr="006F7397">
              <w:rPr>
                <w:rFonts w:ascii="Times New Roman" w:hAnsi="Times New Roman"/>
                <w:b/>
                <w:bCs/>
                <w:sz w:val="18"/>
                <w:szCs w:val="18"/>
                <w:lang w:eastAsia="en-GB"/>
              </w:rPr>
              <w:t xml:space="preserve">Summary of </w:t>
            </w:r>
            <w:r w:rsidR="008873A8">
              <w:rPr>
                <w:rFonts w:ascii="Times New Roman" w:hAnsi="Times New Roman"/>
                <w:b/>
                <w:bCs/>
                <w:sz w:val="18"/>
                <w:szCs w:val="18"/>
                <w:lang w:eastAsia="en-GB"/>
              </w:rPr>
              <w:t>funds</w:t>
            </w:r>
          </w:p>
        </w:tc>
        <w:tc>
          <w:tcPr>
            <w:tcW w:w="1276" w:type="dxa"/>
            <w:tcBorders>
              <w:top w:val="nil"/>
              <w:left w:val="nil"/>
              <w:bottom w:val="single" w:sz="4" w:space="0" w:color="auto"/>
              <w:right w:val="nil"/>
            </w:tcBorders>
            <w:shd w:val="clear" w:color="auto" w:fill="auto"/>
            <w:noWrap/>
            <w:vAlign w:val="bottom"/>
            <w:hideMark/>
          </w:tcPr>
          <w:p w14:paraId="742E96FD" w14:textId="77777777" w:rsidR="006F7397" w:rsidRPr="006F7397" w:rsidRDefault="006F7397" w:rsidP="006F7397">
            <w:pPr>
              <w:spacing w:after="0"/>
              <w:jc w:val="left"/>
              <w:rPr>
                <w:rFonts w:ascii="Times New Roman" w:hAnsi="Times New Roman"/>
                <w:sz w:val="18"/>
                <w:szCs w:val="18"/>
                <w:lang w:eastAsia="en-GB"/>
              </w:rPr>
            </w:pPr>
          </w:p>
        </w:tc>
        <w:tc>
          <w:tcPr>
            <w:tcW w:w="1134" w:type="dxa"/>
            <w:tcBorders>
              <w:top w:val="nil"/>
              <w:left w:val="nil"/>
              <w:bottom w:val="single" w:sz="4" w:space="0" w:color="auto"/>
              <w:right w:val="nil"/>
            </w:tcBorders>
            <w:shd w:val="clear" w:color="auto" w:fill="auto"/>
            <w:noWrap/>
            <w:vAlign w:val="bottom"/>
            <w:hideMark/>
          </w:tcPr>
          <w:p w14:paraId="3A63700E" w14:textId="77777777" w:rsidR="006F7397" w:rsidRPr="006F7397" w:rsidRDefault="006F7397" w:rsidP="006F7397">
            <w:pPr>
              <w:spacing w:after="0"/>
              <w:jc w:val="left"/>
              <w:rPr>
                <w:rFonts w:ascii="Times New Roman" w:hAnsi="Times New Roman"/>
                <w:sz w:val="18"/>
                <w:szCs w:val="18"/>
                <w:lang w:eastAsia="en-GB"/>
              </w:rPr>
            </w:pPr>
          </w:p>
        </w:tc>
        <w:tc>
          <w:tcPr>
            <w:tcW w:w="1275" w:type="dxa"/>
            <w:tcBorders>
              <w:top w:val="nil"/>
              <w:left w:val="nil"/>
              <w:bottom w:val="single" w:sz="4" w:space="0" w:color="auto"/>
              <w:right w:val="nil"/>
            </w:tcBorders>
            <w:shd w:val="clear" w:color="auto" w:fill="auto"/>
            <w:noWrap/>
            <w:vAlign w:val="bottom"/>
            <w:hideMark/>
          </w:tcPr>
          <w:p w14:paraId="13CEA494" w14:textId="77777777" w:rsidR="006F7397" w:rsidRPr="006F7397" w:rsidRDefault="006F7397" w:rsidP="006F7397">
            <w:pPr>
              <w:spacing w:after="0"/>
              <w:jc w:val="left"/>
              <w:rPr>
                <w:rFonts w:ascii="Times New Roman" w:hAnsi="Times New Roman"/>
                <w:sz w:val="18"/>
                <w:szCs w:val="18"/>
                <w:lang w:eastAsia="en-GB"/>
              </w:rPr>
            </w:pPr>
          </w:p>
        </w:tc>
        <w:tc>
          <w:tcPr>
            <w:tcW w:w="1134" w:type="dxa"/>
            <w:tcBorders>
              <w:top w:val="nil"/>
              <w:left w:val="nil"/>
              <w:bottom w:val="single" w:sz="4" w:space="0" w:color="auto"/>
              <w:right w:val="nil"/>
            </w:tcBorders>
            <w:shd w:val="clear" w:color="auto" w:fill="auto"/>
            <w:noWrap/>
            <w:vAlign w:val="bottom"/>
            <w:hideMark/>
          </w:tcPr>
          <w:p w14:paraId="798C6CEC" w14:textId="77777777" w:rsidR="006F7397" w:rsidRPr="006F7397" w:rsidRDefault="006F7397" w:rsidP="006F7397">
            <w:pPr>
              <w:spacing w:after="0"/>
              <w:jc w:val="left"/>
              <w:rPr>
                <w:rFonts w:ascii="Times New Roman" w:hAnsi="Times New Roman"/>
                <w:sz w:val="18"/>
                <w:szCs w:val="18"/>
                <w:lang w:eastAsia="en-GB"/>
              </w:rPr>
            </w:pPr>
          </w:p>
        </w:tc>
        <w:tc>
          <w:tcPr>
            <w:tcW w:w="1276" w:type="dxa"/>
            <w:tcBorders>
              <w:top w:val="nil"/>
              <w:left w:val="nil"/>
              <w:bottom w:val="single" w:sz="4" w:space="0" w:color="auto"/>
              <w:right w:val="nil"/>
            </w:tcBorders>
            <w:shd w:val="clear" w:color="auto" w:fill="auto"/>
            <w:noWrap/>
            <w:vAlign w:val="bottom"/>
            <w:hideMark/>
          </w:tcPr>
          <w:p w14:paraId="1B3B8B8E" w14:textId="77777777" w:rsidR="006F7397" w:rsidRPr="006F7397" w:rsidRDefault="006F7397" w:rsidP="006F7397">
            <w:pPr>
              <w:spacing w:after="0"/>
              <w:jc w:val="left"/>
              <w:rPr>
                <w:rFonts w:ascii="Times New Roman" w:hAnsi="Times New Roman"/>
                <w:sz w:val="18"/>
                <w:szCs w:val="18"/>
                <w:lang w:eastAsia="en-GB"/>
              </w:rPr>
            </w:pPr>
          </w:p>
        </w:tc>
        <w:tc>
          <w:tcPr>
            <w:tcW w:w="1121" w:type="dxa"/>
            <w:tcBorders>
              <w:top w:val="nil"/>
              <w:left w:val="nil"/>
              <w:bottom w:val="nil"/>
              <w:right w:val="nil"/>
            </w:tcBorders>
            <w:shd w:val="clear" w:color="auto" w:fill="auto"/>
            <w:noWrap/>
            <w:vAlign w:val="bottom"/>
            <w:hideMark/>
          </w:tcPr>
          <w:p w14:paraId="566576C4" w14:textId="77777777" w:rsidR="006F7397" w:rsidRPr="006F7397" w:rsidRDefault="006F7397" w:rsidP="006F7397">
            <w:pPr>
              <w:spacing w:after="0"/>
              <w:jc w:val="left"/>
              <w:rPr>
                <w:rFonts w:ascii="Times New Roman" w:hAnsi="Times New Roman"/>
                <w:sz w:val="18"/>
                <w:szCs w:val="18"/>
                <w:lang w:eastAsia="en-GB"/>
              </w:rPr>
            </w:pPr>
          </w:p>
        </w:tc>
      </w:tr>
      <w:tr w:rsidR="006F7397" w:rsidRPr="006F7397" w14:paraId="3D53B376" w14:textId="77777777" w:rsidTr="00665AEF">
        <w:trPr>
          <w:trHeight w:val="640"/>
        </w:trPr>
        <w:tc>
          <w:tcPr>
            <w:tcW w:w="4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750040" w14:textId="77777777" w:rsidR="006F7397" w:rsidRPr="006F7397" w:rsidRDefault="006F7397" w:rsidP="006F7397">
            <w:pPr>
              <w:spacing w:after="0"/>
              <w:jc w:val="center"/>
              <w:rPr>
                <w:rFonts w:ascii="Times New Roman" w:hAnsi="Times New Roman"/>
                <w:b/>
                <w:bCs/>
                <w:sz w:val="18"/>
                <w:szCs w:val="18"/>
                <w:lang w:eastAsia="en-GB"/>
              </w:rPr>
            </w:pPr>
            <w:r w:rsidRPr="006F7397">
              <w:rPr>
                <w:rFonts w:ascii="Times New Roman" w:hAnsi="Times New Roman"/>
                <w:b/>
                <w:bCs/>
                <w:sz w:val="18"/>
                <w:szCs w:val="18"/>
                <w:lang w:eastAsia="en-GB"/>
              </w:rPr>
              <w:t> </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E7A49" w14:textId="77777777"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Amount</w:t>
            </w:r>
          </w:p>
          <w:p w14:paraId="179754FE" w14:textId="2665F7DF"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Year 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50DC71" w14:textId="77777777"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Amount</w:t>
            </w:r>
          </w:p>
          <w:p w14:paraId="23A46187" w14:textId="1925BDA9"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Year 2</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1AEE29" w14:textId="77777777"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Amount</w:t>
            </w:r>
          </w:p>
          <w:p w14:paraId="743E35EE" w14:textId="712F7BA0"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Year 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0640F" w14:textId="77777777"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Amount</w:t>
            </w:r>
          </w:p>
          <w:p w14:paraId="11A7ED04" w14:textId="6FAB7035"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Year 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D6EB81" w14:textId="77777777"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Amount</w:t>
            </w:r>
          </w:p>
          <w:p w14:paraId="723C682D" w14:textId="2C157008"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Year 5</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12756942" w14:textId="77777777" w:rsidR="006F7397" w:rsidRPr="006F7397" w:rsidRDefault="006F7397" w:rsidP="006F7397">
            <w:pPr>
              <w:spacing w:after="0"/>
              <w:jc w:val="center"/>
              <w:rPr>
                <w:rFonts w:cs="Arial"/>
                <w:sz w:val="18"/>
                <w:szCs w:val="18"/>
                <w:lang w:eastAsia="en-GB"/>
              </w:rPr>
            </w:pPr>
            <w:r w:rsidRPr="006F7397">
              <w:rPr>
                <w:rFonts w:eastAsia="SimSun" w:cs="Arial"/>
                <w:sz w:val="18"/>
                <w:szCs w:val="18"/>
                <w:lang w:val="en-US" w:eastAsia="en-GB"/>
              </w:rPr>
              <w:t>Total (USD)</w:t>
            </w:r>
          </w:p>
        </w:tc>
      </w:tr>
      <w:tr w:rsidR="00665AEF" w:rsidRPr="006F7397" w14:paraId="17C47F06" w14:textId="77777777" w:rsidTr="00665AEF">
        <w:trPr>
          <w:trHeight w:val="315"/>
        </w:trPr>
        <w:tc>
          <w:tcPr>
            <w:tcW w:w="4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DA6044" w14:textId="2CF70745" w:rsidR="00665AEF" w:rsidRPr="006F7397" w:rsidRDefault="00665AEF" w:rsidP="00665AEF">
            <w:pPr>
              <w:spacing w:after="0"/>
              <w:jc w:val="left"/>
              <w:rPr>
                <w:rFonts w:ascii="Times New Roman" w:hAnsi="Times New Roman"/>
                <w:sz w:val="18"/>
                <w:szCs w:val="18"/>
                <w:lang w:eastAsia="en-GB"/>
              </w:rPr>
            </w:pPr>
            <w:r>
              <w:rPr>
                <w:sz w:val="18"/>
                <w:szCs w:val="18"/>
              </w:rPr>
              <w:t>GEF</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0ABF9AD" w14:textId="4771AC45" w:rsidR="00665AEF" w:rsidRPr="006F7397" w:rsidRDefault="00665AEF" w:rsidP="00665AEF">
            <w:pPr>
              <w:spacing w:after="0"/>
              <w:jc w:val="right"/>
              <w:rPr>
                <w:rFonts w:ascii="Times New Roman" w:hAnsi="Times New Roman"/>
                <w:sz w:val="18"/>
                <w:szCs w:val="18"/>
                <w:lang w:eastAsia="en-GB"/>
              </w:rPr>
            </w:pPr>
            <w:r>
              <w:rPr>
                <w:sz w:val="18"/>
                <w:szCs w:val="18"/>
              </w:rPr>
              <w:t>556,000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0964E0C" w14:textId="39ECE97E" w:rsidR="00665AEF" w:rsidRPr="006F7397" w:rsidRDefault="00665AEF" w:rsidP="00665AEF">
            <w:pPr>
              <w:spacing w:after="0"/>
              <w:jc w:val="right"/>
              <w:rPr>
                <w:rFonts w:ascii="Times New Roman" w:hAnsi="Times New Roman"/>
                <w:sz w:val="18"/>
                <w:szCs w:val="18"/>
                <w:lang w:eastAsia="en-GB"/>
              </w:rPr>
            </w:pPr>
            <w:r>
              <w:rPr>
                <w:sz w:val="18"/>
                <w:szCs w:val="18"/>
              </w:rPr>
              <w:t>1,946,000</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713CE0EC" w14:textId="62CED73A" w:rsidR="00665AEF" w:rsidRPr="006F7397" w:rsidRDefault="00665AEF" w:rsidP="00665AEF">
            <w:pPr>
              <w:spacing w:after="0"/>
              <w:jc w:val="right"/>
              <w:rPr>
                <w:rFonts w:ascii="Times New Roman" w:hAnsi="Times New Roman"/>
                <w:sz w:val="18"/>
                <w:szCs w:val="18"/>
                <w:lang w:eastAsia="en-GB"/>
              </w:rPr>
            </w:pPr>
            <w:r>
              <w:rPr>
                <w:sz w:val="18"/>
                <w:szCs w:val="18"/>
              </w:rPr>
              <w:t>2,841,000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78DB146" w14:textId="5894D6D0" w:rsidR="00665AEF" w:rsidRPr="006F7397" w:rsidRDefault="00665AEF" w:rsidP="00665AEF">
            <w:pPr>
              <w:spacing w:after="0"/>
              <w:jc w:val="right"/>
              <w:rPr>
                <w:rFonts w:ascii="Times New Roman" w:hAnsi="Times New Roman"/>
                <w:sz w:val="18"/>
                <w:szCs w:val="18"/>
                <w:lang w:eastAsia="en-GB"/>
              </w:rPr>
            </w:pPr>
            <w:r>
              <w:rPr>
                <w:sz w:val="18"/>
                <w:szCs w:val="18"/>
              </w:rPr>
              <w:t>336,000</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1D6A7B8" w14:textId="1D67046F" w:rsidR="00665AEF" w:rsidRPr="006F7397" w:rsidRDefault="00665AEF" w:rsidP="00665AEF">
            <w:pPr>
              <w:spacing w:after="0"/>
              <w:jc w:val="right"/>
              <w:rPr>
                <w:rFonts w:ascii="Times New Roman" w:hAnsi="Times New Roman"/>
                <w:sz w:val="18"/>
                <w:szCs w:val="18"/>
                <w:lang w:eastAsia="en-GB"/>
              </w:rPr>
            </w:pPr>
            <w:r>
              <w:rPr>
                <w:sz w:val="18"/>
                <w:szCs w:val="18"/>
              </w:rPr>
              <w:t>251,000</w:t>
            </w:r>
          </w:p>
        </w:tc>
        <w:tc>
          <w:tcPr>
            <w:tcW w:w="1121" w:type="dxa"/>
            <w:tcBorders>
              <w:top w:val="nil"/>
              <w:left w:val="nil"/>
              <w:bottom w:val="single" w:sz="4" w:space="0" w:color="auto"/>
              <w:right w:val="single" w:sz="4" w:space="0" w:color="auto"/>
            </w:tcBorders>
            <w:shd w:val="clear" w:color="auto" w:fill="auto"/>
            <w:noWrap/>
            <w:vAlign w:val="center"/>
            <w:hideMark/>
          </w:tcPr>
          <w:p w14:paraId="42ECF6CA" w14:textId="7313236E" w:rsidR="00665AEF" w:rsidRPr="006F7397" w:rsidRDefault="00665AEF" w:rsidP="00665AEF">
            <w:pPr>
              <w:spacing w:after="0"/>
              <w:jc w:val="right"/>
              <w:rPr>
                <w:rFonts w:ascii="Times New Roman" w:hAnsi="Times New Roman"/>
                <w:b/>
                <w:bCs/>
                <w:sz w:val="18"/>
                <w:szCs w:val="18"/>
                <w:lang w:eastAsia="en-GB"/>
              </w:rPr>
            </w:pPr>
            <w:r>
              <w:rPr>
                <w:b/>
                <w:bCs/>
                <w:sz w:val="18"/>
                <w:szCs w:val="18"/>
              </w:rPr>
              <w:t>5,930,000</w:t>
            </w:r>
          </w:p>
        </w:tc>
      </w:tr>
      <w:tr w:rsidR="00665AEF" w:rsidRPr="006F7397" w14:paraId="6618789F" w14:textId="77777777" w:rsidTr="00665AEF">
        <w:trPr>
          <w:trHeight w:val="255"/>
        </w:trPr>
        <w:tc>
          <w:tcPr>
            <w:tcW w:w="4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49C246" w14:textId="6B373936" w:rsidR="00665AEF" w:rsidRPr="006F7397" w:rsidRDefault="00665AEF" w:rsidP="00665AEF">
            <w:pPr>
              <w:spacing w:after="0"/>
              <w:jc w:val="left"/>
              <w:rPr>
                <w:rFonts w:ascii="Times New Roman" w:hAnsi="Times New Roman"/>
                <w:sz w:val="18"/>
                <w:szCs w:val="18"/>
                <w:lang w:eastAsia="en-GB"/>
              </w:rPr>
            </w:pPr>
            <w:r>
              <w:rPr>
                <w:sz w:val="18"/>
                <w:szCs w:val="18"/>
              </w:rPr>
              <w:t xml:space="preserve">UNDP (Cash) </w:t>
            </w:r>
          </w:p>
        </w:tc>
        <w:tc>
          <w:tcPr>
            <w:tcW w:w="1276" w:type="dxa"/>
            <w:tcBorders>
              <w:top w:val="nil"/>
              <w:left w:val="nil"/>
              <w:bottom w:val="single" w:sz="4" w:space="0" w:color="auto"/>
              <w:right w:val="single" w:sz="4" w:space="0" w:color="auto"/>
            </w:tcBorders>
            <w:shd w:val="clear" w:color="auto" w:fill="auto"/>
            <w:noWrap/>
            <w:vAlign w:val="center"/>
            <w:hideMark/>
          </w:tcPr>
          <w:p w14:paraId="70AEE100" w14:textId="0C771410" w:rsidR="00665AEF" w:rsidRPr="006F7397" w:rsidRDefault="00665AEF" w:rsidP="00665AEF">
            <w:pPr>
              <w:spacing w:after="0"/>
              <w:jc w:val="right"/>
              <w:rPr>
                <w:rFonts w:ascii="Times New Roman" w:hAnsi="Times New Roman"/>
                <w:sz w:val="18"/>
                <w:szCs w:val="18"/>
                <w:lang w:eastAsia="en-GB"/>
              </w:rPr>
            </w:pPr>
            <w:r>
              <w:rPr>
                <w:sz w:val="18"/>
                <w:szCs w:val="18"/>
              </w:rPr>
              <w:t>12,320</w:t>
            </w:r>
          </w:p>
        </w:tc>
        <w:tc>
          <w:tcPr>
            <w:tcW w:w="1134" w:type="dxa"/>
            <w:tcBorders>
              <w:top w:val="nil"/>
              <w:left w:val="nil"/>
              <w:bottom w:val="single" w:sz="4" w:space="0" w:color="auto"/>
              <w:right w:val="single" w:sz="4" w:space="0" w:color="auto"/>
            </w:tcBorders>
            <w:shd w:val="clear" w:color="auto" w:fill="auto"/>
            <w:noWrap/>
            <w:vAlign w:val="center"/>
            <w:hideMark/>
          </w:tcPr>
          <w:p w14:paraId="7FFABA94" w14:textId="4ACF259A" w:rsidR="00665AEF" w:rsidRPr="006F7397" w:rsidRDefault="00665AEF" w:rsidP="00665AEF">
            <w:pPr>
              <w:spacing w:after="0"/>
              <w:jc w:val="right"/>
              <w:rPr>
                <w:rFonts w:ascii="Times New Roman" w:hAnsi="Times New Roman"/>
                <w:sz w:val="18"/>
                <w:szCs w:val="18"/>
                <w:lang w:eastAsia="en-GB"/>
              </w:rPr>
            </w:pPr>
            <w:r>
              <w:rPr>
                <w:sz w:val="18"/>
                <w:szCs w:val="18"/>
              </w:rPr>
              <w:t>12,320</w:t>
            </w:r>
          </w:p>
        </w:tc>
        <w:tc>
          <w:tcPr>
            <w:tcW w:w="1275" w:type="dxa"/>
            <w:tcBorders>
              <w:top w:val="nil"/>
              <w:left w:val="nil"/>
              <w:bottom w:val="single" w:sz="4" w:space="0" w:color="auto"/>
              <w:right w:val="single" w:sz="4" w:space="0" w:color="auto"/>
            </w:tcBorders>
            <w:shd w:val="clear" w:color="auto" w:fill="auto"/>
            <w:noWrap/>
            <w:vAlign w:val="center"/>
            <w:hideMark/>
          </w:tcPr>
          <w:p w14:paraId="50D4AA17" w14:textId="10474E9F" w:rsidR="00665AEF" w:rsidRPr="006F7397" w:rsidRDefault="00665AEF" w:rsidP="00665AEF">
            <w:pPr>
              <w:spacing w:after="0"/>
              <w:jc w:val="right"/>
              <w:rPr>
                <w:rFonts w:ascii="Times New Roman" w:hAnsi="Times New Roman"/>
                <w:sz w:val="18"/>
                <w:szCs w:val="18"/>
                <w:lang w:eastAsia="en-GB"/>
              </w:rPr>
            </w:pPr>
            <w:r>
              <w:rPr>
                <w:sz w:val="18"/>
                <w:szCs w:val="18"/>
              </w:rPr>
              <w:t>12,320</w:t>
            </w:r>
          </w:p>
        </w:tc>
        <w:tc>
          <w:tcPr>
            <w:tcW w:w="1134" w:type="dxa"/>
            <w:tcBorders>
              <w:top w:val="nil"/>
              <w:left w:val="nil"/>
              <w:bottom w:val="single" w:sz="4" w:space="0" w:color="auto"/>
              <w:right w:val="single" w:sz="4" w:space="0" w:color="auto"/>
            </w:tcBorders>
            <w:shd w:val="clear" w:color="auto" w:fill="auto"/>
            <w:noWrap/>
            <w:vAlign w:val="center"/>
            <w:hideMark/>
          </w:tcPr>
          <w:p w14:paraId="098E049B" w14:textId="012B2805" w:rsidR="00665AEF" w:rsidRPr="006F7397" w:rsidRDefault="00665AEF" w:rsidP="00665AEF">
            <w:pPr>
              <w:spacing w:after="0"/>
              <w:jc w:val="right"/>
              <w:rPr>
                <w:rFonts w:ascii="Times New Roman" w:hAnsi="Times New Roman"/>
                <w:sz w:val="18"/>
                <w:szCs w:val="18"/>
                <w:lang w:eastAsia="en-GB"/>
              </w:rPr>
            </w:pPr>
            <w:r>
              <w:rPr>
                <w:sz w:val="18"/>
                <w:szCs w:val="18"/>
              </w:rPr>
              <w:t>12,320</w:t>
            </w:r>
          </w:p>
        </w:tc>
        <w:tc>
          <w:tcPr>
            <w:tcW w:w="1276" w:type="dxa"/>
            <w:tcBorders>
              <w:top w:val="nil"/>
              <w:left w:val="nil"/>
              <w:bottom w:val="single" w:sz="4" w:space="0" w:color="auto"/>
              <w:right w:val="single" w:sz="4" w:space="0" w:color="auto"/>
            </w:tcBorders>
            <w:shd w:val="clear" w:color="auto" w:fill="auto"/>
            <w:noWrap/>
            <w:vAlign w:val="center"/>
            <w:hideMark/>
          </w:tcPr>
          <w:p w14:paraId="28537664" w14:textId="0B40F766" w:rsidR="00665AEF" w:rsidRPr="006F7397" w:rsidRDefault="00665AEF" w:rsidP="00665AEF">
            <w:pPr>
              <w:spacing w:after="0"/>
              <w:jc w:val="right"/>
              <w:rPr>
                <w:rFonts w:ascii="Times New Roman" w:hAnsi="Times New Roman"/>
                <w:sz w:val="18"/>
                <w:szCs w:val="18"/>
                <w:lang w:eastAsia="en-GB"/>
              </w:rPr>
            </w:pPr>
            <w:r>
              <w:rPr>
                <w:sz w:val="18"/>
                <w:szCs w:val="18"/>
              </w:rPr>
              <w:t>10,720</w:t>
            </w:r>
          </w:p>
        </w:tc>
        <w:tc>
          <w:tcPr>
            <w:tcW w:w="1121" w:type="dxa"/>
            <w:tcBorders>
              <w:top w:val="nil"/>
              <w:left w:val="nil"/>
              <w:bottom w:val="single" w:sz="4" w:space="0" w:color="auto"/>
              <w:right w:val="single" w:sz="4" w:space="0" w:color="auto"/>
            </w:tcBorders>
            <w:shd w:val="clear" w:color="auto" w:fill="auto"/>
            <w:noWrap/>
            <w:vAlign w:val="center"/>
            <w:hideMark/>
          </w:tcPr>
          <w:p w14:paraId="24F1AA21" w14:textId="33A5D056" w:rsidR="00665AEF" w:rsidRPr="006F7397" w:rsidRDefault="00665AEF" w:rsidP="00665AEF">
            <w:pPr>
              <w:spacing w:after="0"/>
              <w:jc w:val="right"/>
              <w:rPr>
                <w:rFonts w:ascii="Times New Roman" w:hAnsi="Times New Roman"/>
                <w:b/>
                <w:bCs/>
                <w:sz w:val="18"/>
                <w:szCs w:val="18"/>
                <w:lang w:eastAsia="en-GB"/>
              </w:rPr>
            </w:pPr>
            <w:r>
              <w:rPr>
                <w:b/>
                <w:bCs/>
                <w:sz w:val="18"/>
                <w:szCs w:val="18"/>
              </w:rPr>
              <w:t>60,000</w:t>
            </w:r>
          </w:p>
        </w:tc>
      </w:tr>
      <w:tr w:rsidR="00665AEF" w:rsidRPr="006F7397" w14:paraId="6728CDF7" w14:textId="77777777" w:rsidTr="00665AEF">
        <w:trPr>
          <w:trHeight w:val="255"/>
        </w:trPr>
        <w:tc>
          <w:tcPr>
            <w:tcW w:w="4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D85449" w14:textId="69161FE4" w:rsidR="00665AEF" w:rsidRPr="006F7397" w:rsidRDefault="00665AEF" w:rsidP="00665AEF">
            <w:pPr>
              <w:spacing w:after="0"/>
              <w:jc w:val="left"/>
              <w:rPr>
                <w:rFonts w:ascii="Times New Roman" w:hAnsi="Times New Roman"/>
                <w:color w:val="000000"/>
                <w:sz w:val="18"/>
                <w:szCs w:val="18"/>
                <w:lang w:eastAsia="en-GB"/>
              </w:rPr>
            </w:pPr>
            <w:r>
              <w:rPr>
                <w:sz w:val="18"/>
                <w:szCs w:val="18"/>
              </w:rPr>
              <w:t xml:space="preserve">UNDP (In-kind) </w:t>
            </w:r>
          </w:p>
        </w:tc>
        <w:tc>
          <w:tcPr>
            <w:tcW w:w="1276" w:type="dxa"/>
            <w:tcBorders>
              <w:top w:val="nil"/>
              <w:left w:val="nil"/>
              <w:bottom w:val="single" w:sz="4" w:space="0" w:color="auto"/>
              <w:right w:val="single" w:sz="4" w:space="0" w:color="auto"/>
            </w:tcBorders>
            <w:shd w:val="clear" w:color="auto" w:fill="auto"/>
            <w:noWrap/>
            <w:vAlign w:val="center"/>
            <w:hideMark/>
          </w:tcPr>
          <w:p w14:paraId="2D265D45" w14:textId="7110DA64" w:rsidR="00665AEF" w:rsidRPr="006F7397" w:rsidRDefault="00665AEF" w:rsidP="00665AEF">
            <w:pPr>
              <w:spacing w:after="0"/>
              <w:jc w:val="right"/>
              <w:rPr>
                <w:rFonts w:ascii="Times New Roman" w:hAnsi="Times New Roman"/>
                <w:sz w:val="18"/>
                <w:szCs w:val="18"/>
                <w:lang w:eastAsia="en-GB"/>
              </w:rPr>
            </w:pPr>
            <w:r>
              <w:rPr>
                <w:sz w:val="18"/>
                <w:szCs w:val="18"/>
              </w:rPr>
              <w:t>333,333</w:t>
            </w:r>
          </w:p>
        </w:tc>
        <w:tc>
          <w:tcPr>
            <w:tcW w:w="1134" w:type="dxa"/>
            <w:tcBorders>
              <w:top w:val="nil"/>
              <w:left w:val="nil"/>
              <w:bottom w:val="single" w:sz="4" w:space="0" w:color="auto"/>
              <w:right w:val="single" w:sz="4" w:space="0" w:color="auto"/>
            </w:tcBorders>
            <w:shd w:val="clear" w:color="auto" w:fill="auto"/>
            <w:noWrap/>
            <w:vAlign w:val="center"/>
            <w:hideMark/>
          </w:tcPr>
          <w:p w14:paraId="33D4F75C" w14:textId="75828FF3" w:rsidR="00665AEF" w:rsidRPr="006F7397" w:rsidRDefault="00665AEF" w:rsidP="00665AEF">
            <w:pPr>
              <w:spacing w:after="0"/>
              <w:jc w:val="right"/>
              <w:rPr>
                <w:rFonts w:ascii="Times New Roman" w:hAnsi="Times New Roman"/>
                <w:sz w:val="18"/>
                <w:szCs w:val="18"/>
                <w:lang w:eastAsia="en-GB"/>
              </w:rPr>
            </w:pPr>
            <w:r>
              <w:rPr>
                <w:sz w:val="18"/>
                <w:szCs w:val="18"/>
              </w:rPr>
              <w:t>333,333</w:t>
            </w:r>
          </w:p>
        </w:tc>
        <w:tc>
          <w:tcPr>
            <w:tcW w:w="1275" w:type="dxa"/>
            <w:tcBorders>
              <w:top w:val="nil"/>
              <w:left w:val="nil"/>
              <w:bottom w:val="single" w:sz="4" w:space="0" w:color="auto"/>
              <w:right w:val="single" w:sz="4" w:space="0" w:color="auto"/>
            </w:tcBorders>
            <w:shd w:val="clear" w:color="auto" w:fill="auto"/>
            <w:noWrap/>
            <w:vAlign w:val="center"/>
            <w:hideMark/>
          </w:tcPr>
          <w:p w14:paraId="0C224F5B" w14:textId="5E0F657F" w:rsidR="00665AEF" w:rsidRPr="006F7397" w:rsidRDefault="00665AEF" w:rsidP="00EF612A">
            <w:pPr>
              <w:spacing w:after="0"/>
              <w:jc w:val="right"/>
              <w:rPr>
                <w:rFonts w:ascii="Times New Roman" w:hAnsi="Times New Roman"/>
                <w:sz w:val="18"/>
                <w:szCs w:val="18"/>
                <w:lang w:eastAsia="en-GB"/>
              </w:rPr>
            </w:pPr>
            <w:r>
              <w:rPr>
                <w:sz w:val="18"/>
                <w:szCs w:val="18"/>
              </w:rPr>
              <w:t>333,33</w:t>
            </w:r>
            <w:r w:rsidR="00EF612A">
              <w:rPr>
                <w:sz w:val="18"/>
                <w:szCs w:val="18"/>
              </w:rPr>
              <w:t>4</w:t>
            </w:r>
          </w:p>
        </w:tc>
        <w:tc>
          <w:tcPr>
            <w:tcW w:w="1134" w:type="dxa"/>
            <w:tcBorders>
              <w:top w:val="nil"/>
              <w:left w:val="nil"/>
              <w:bottom w:val="single" w:sz="4" w:space="0" w:color="auto"/>
              <w:right w:val="single" w:sz="4" w:space="0" w:color="auto"/>
            </w:tcBorders>
            <w:shd w:val="clear" w:color="auto" w:fill="auto"/>
            <w:noWrap/>
            <w:vAlign w:val="center"/>
            <w:hideMark/>
          </w:tcPr>
          <w:p w14:paraId="1B4AFBC0" w14:textId="5CB85859" w:rsidR="00665AEF" w:rsidRPr="006F7397" w:rsidRDefault="00665AEF" w:rsidP="00665AEF">
            <w:pPr>
              <w:spacing w:after="0"/>
              <w:jc w:val="right"/>
              <w:rPr>
                <w:rFonts w:ascii="Times New Roman" w:hAnsi="Times New Roman"/>
                <w:sz w:val="18"/>
                <w:szCs w:val="18"/>
                <w:lang w:eastAsia="en-GB"/>
              </w:rPr>
            </w:pPr>
            <w:r>
              <w:rPr>
                <w:sz w:val="18"/>
                <w:szCs w:val="18"/>
              </w:rPr>
              <w:t>0</w:t>
            </w:r>
          </w:p>
        </w:tc>
        <w:tc>
          <w:tcPr>
            <w:tcW w:w="1276" w:type="dxa"/>
            <w:tcBorders>
              <w:top w:val="nil"/>
              <w:left w:val="nil"/>
              <w:bottom w:val="single" w:sz="4" w:space="0" w:color="auto"/>
              <w:right w:val="single" w:sz="4" w:space="0" w:color="auto"/>
            </w:tcBorders>
            <w:shd w:val="clear" w:color="auto" w:fill="auto"/>
            <w:noWrap/>
            <w:vAlign w:val="center"/>
            <w:hideMark/>
          </w:tcPr>
          <w:p w14:paraId="26A8B63D" w14:textId="646911C9" w:rsidR="00665AEF" w:rsidRPr="006F7397" w:rsidRDefault="00665AEF" w:rsidP="00665AEF">
            <w:pPr>
              <w:spacing w:after="0"/>
              <w:jc w:val="right"/>
              <w:rPr>
                <w:rFonts w:ascii="Times New Roman" w:hAnsi="Times New Roman"/>
                <w:sz w:val="18"/>
                <w:szCs w:val="18"/>
                <w:lang w:eastAsia="en-GB"/>
              </w:rPr>
            </w:pPr>
            <w:r>
              <w:rPr>
                <w:sz w:val="18"/>
                <w:szCs w:val="18"/>
              </w:rPr>
              <w:t>0</w:t>
            </w:r>
          </w:p>
        </w:tc>
        <w:tc>
          <w:tcPr>
            <w:tcW w:w="1121" w:type="dxa"/>
            <w:tcBorders>
              <w:top w:val="nil"/>
              <w:left w:val="nil"/>
              <w:bottom w:val="single" w:sz="4" w:space="0" w:color="auto"/>
              <w:right w:val="single" w:sz="4" w:space="0" w:color="auto"/>
            </w:tcBorders>
            <w:shd w:val="clear" w:color="auto" w:fill="auto"/>
            <w:noWrap/>
            <w:vAlign w:val="center"/>
            <w:hideMark/>
          </w:tcPr>
          <w:p w14:paraId="3164128F" w14:textId="72321441" w:rsidR="00665AEF" w:rsidRPr="006F7397" w:rsidRDefault="00665AEF" w:rsidP="00665AEF">
            <w:pPr>
              <w:spacing w:after="0"/>
              <w:jc w:val="right"/>
              <w:rPr>
                <w:rFonts w:ascii="Times New Roman" w:hAnsi="Times New Roman"/>
                <w:b/>
                <w:bCs/>
                <w:sz w:val="18"/>
                <w:szCs w:val="18"/>
                <w:lang w:eastAsia="en-GB"/>
              </w:rPr>
            </w:pPr>
            <w:r>
              <w:rPr>
                <w:b/>
                <w:bCs/>
                <w:sz w:val="18"/>
                <w:szCs w:val="18"/>
              </w:rPr>
              <w:t>1,000,000</w:t>
            </w:r>
          </w:p>
        </w:tc>
      </w:tr>
      <w:tr w:rsidR="00665AEF" w:rsidRPr="006F7397" w14:paraId="5616508F" w14:textId="77777777" w:rsidTr="00665AEF">
        <w:trPr>
          <w:trHeight w:val="255"/>
        </w:trPr>
        <w:tc>
          <w:tcPr>
            <w:tcW w:w="4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726AA7" w14:textId="5EFD32D5" w:rsidR="00665AEF" w:rsidRPr="00E4387E" w:rsidRDefault="00665AEF" w:rsidP="00665AEF">
            <w:pPr>
              <w:spacing w:after="0"/>
              <w:jc w:val="left"/>
              <w:rPr>
                <w:rFonts w:ascii="Times New Roman" w:hAnsi="Times New Roman"/>
                <w:color w:val="000000"/>
                <w:sz w:val="18"/>
                <w:szCs w:val="18"/>
                <w:highlight w:val="yellow"/>
                <w:lang w:eastAsia="en-GB"/>
              </w:rPr>
            </w:pPr>
            <w:r>
              <w:rPr>
                <w:sz w:val="18"/>
                <w:szCs w:val="18"/>
              </w:rPr>
              <w:t xml:space="preserve">MEWR (Cash) </w:t>
            </w:r>
          </w:p>
        </w:tc>
        <w:tc>
          <w:tcPr>
            <w:tcW w:w="1276" w:type="dxa"/>
            <w:tcBorders>
              <w:top w:val="nil"/>
              <w:left w:val="nil"/>
              <w:bottom w:val="single" w:sz="4" w:space="0" w:color="auto"/>
              <w:right w:val="single" w:sz="4" w:space="0" w:color="auto"/>
            </w:tcBorders>
            <w:shd w:val="clear" w:color="auto" w:fill="auto"/>
            <w:noWrap/>
            <w:vAlign w:val="center"/>
            <w:hideMark/>
          </w:tcPr>
          <w:p w14:paraId="77724E0C" w14:textId="71136017" w:rsidR="00665AEF" w:rsidRPr="00E4387E" w:rsidRDefault="00665AEF" w:rsidP="00665AEF">
            <w:pPr>
              <w:spacing w:after="0"/>
              <w:jc w:val="right"/>
              <w:rPr>
                <w:rFonts w:ascii="Times New Roman" w:hAnsi="Times New Roman"/>
                <w:sz w:val="18"/>
                <w:szCs w:val="18"/>
                <w:highlight w:val="yellow"/>
                <w:lang w:eastAsia="en-GB"/>
              </w:rPr>
            </w:pPr>
            <w:r>
              <w:rPr>
                <w:sz w:val="18"/>
                <w:szCs w:val="18"/>
              </w:rPr>
              <w:t>740,579</w:t>
            </w:r>
          </w:p>
        </w:tc>
        <w:tc>
          <w:tcPr>
            <w:tcW w:w="1134" w:type="dxa"/>
            <w:tcBorders>
              <w:top w:val="nil"/>
              <w:left w:val="nil"/>
              <w:bottom w:val="single" w:sz="4" w:space="0" w:color="auto"/>
              <w:right w:val="single" w:sz="4" w:space="0" w:color="auto"/>
            </w:tcBorders>
            <w:shd w:val="clear" w:color="auto" w:fill="auto"/>
            <w:noWrap/>
            <w:vAlign w:val="center"/>
            <w:hideMark/>
          </w:tcPr>
          <w:p w14:paraId="77292A34" w14:textId="14AE45B0" w:rsidR="00665AEF" w:rsidRPr="00E4387E" w:rsidRDefault="00665AEF" w:rsidP="00665AEF">
            <w:pPr>
              <w:spacing w:after="0"/>
              <w:jc w:val="right"/>
              <w:rPr>
                <w:rFonts w:ascii="Times New Roman" w:hAnsi="Times New Roman"/>
                <w:sz w:val="18"/>
                <w:szCs w:val="18"/>
                <w:highlight w:val="yellow"/>
                <w:lang w:eastAsia="en-GB"/>
              </w:rPr>
            </w:pPr>
            <w:r>
              <w:rPr>
                <w:sz w:val="18"/>
                <w:szCs w:val="18"/>
              </w:rPr>
              <w:t>740,579</w:t>
            </w:r>
          </w:p>
        </w:tc>
        <w:tc>
          <w:tcPr>
            <w:tcW w:w="1275" w:type="dxa"/>
            <w:tcBorders>
              <w:top w:val="nil"/>
              <w:left w:val="nil"/>
              <w:bottom w:val="single" w:sz="4" w:space="0" w:color="auto"/>
              <w:right w:val="single" w:sz="4" w:space="0" w:color="auto"/>
            </w:tcBorders>
            <w:shd w:val="clear" w:color="auto" w:fill="auto"/>
            <w:noWrap/>
            <w:vAlign w:val="center"/>
            <w:hideMark/>
          </w:tcPr>
          <w:p w14:paraId="0144F2DF" w14:textId="279D9465" w:rsidR="00665AEF" w:rsidRPr="00E4387E" w:rsidRDefault="00665AEF" w:rsidP="00665AEF">
            <w:pPr>
              <w:spacing w:after="0"/>
              <w:jc w:val="right"/>
              <w:rPr>
                <w:rFonts w:ascii="Times New Roman" w:hAnsi="Times New Roman"/>
                <w:sz w:val="18"/>
                <w:szCs w:val="18"/>
                <w:highlight w:val="yellow"/>
                <w:lang w:eastAsia="en-GB"/>
              </w:rPr>
            </w:pPr>
            <w:r>
              <w:rPr>
                <w:sz w:val="18"/>
                <w:szCs w:val="18"/>
              </w:rPr>
              <w:t>740,579</w:t>
            </w:r>
          </w:p>
        </w:tc>
        <w:tc>
          <w:tcPr>
            <w:tcW w:w="1134" w:type="dxa"/>
            <w:tcBorders>
              <w:top w:val="nil"/>
              <w:left w:val="nil"/>
              <w:bottom w:val="single" w:sz="4" w:space="0" w:color="auto"/>
              <w:right w:val="single" w:sz="4" w:space="0" w:color="auto"/>
            </w:tcBorders>
            <w:shd w:val="clear" w:color="auto" w:fill="auto"/>
            <w:noWrap/>
            <w:vAlign w:val="center"/>
            <w:hideMark/>
          </w:tcPr>
          <w:p w14:paraId="4D2610BB" w14:textId="76219090" w:rsidR="00665AEF" w:rsidRPr="00E4387E" w:rsidRDefault="00665AEF" w:rsidP="00665AEF">
            <w:pPr>
              <w:spacing w:after="0"/>
              <w:jc w:val="right"/>
              <w:rPr>
                <w:rFonts w:ascii="Times New Roman" w:hAnsi="Times New Roman"/>
                <w:sz w:val="18"/>
                <w:szCs w:val="18"/>
                <w:highlight w:val="yellow"/>
                <w:lang w:eastAsia="en-GB"/>
              </w:rPr>
            </w:pPr>
            <w:r>
              <w:rPr>
                <w:sz w:val="18"/>
                <w:szCs w:val="18"/>
              </w:rPr>
              <w:t>435,849</w:t>
            </w:r>
          </w:p>
        </w:tc>
        <w:tc>
          <w:tcPr>
            <w:tcW w:w="1276" w:type="dxa"/>
            <w:tcBorders>
              <w:top w:val="nil"/>
              <w:left w:val="nil"/>
              <w:bottom w:val="single" w:sz="4" w:space="0" w:color="auto"/>
              <w:right w:val="single" w:sz="4" w:space="0" w:color="auto"/>
            </w:tcBorders>
            <w:shd w:val="clear" w:color="auto" w:fill="auto"/>
            <w:noWrap/>
            <w:vAlign w:val="center"/>
            <w:hideMark/>
          </w:tcPr>
          <w:p w14:paraId="485CA6DB" w14:textId="0D55D01B" w:rsidR="00665AEF" w:rsidRPr="00E4387E" w:rsidRDefault="00665AEF" w:rsidP="00665AEF">
            <w:pPr>
              <w:spacing w:after="0"/>
              <w:jc w:val="right"/>
              <w:rPr>
                <w:rFonts w:ascii="Times New Roman" w:hAnsi="Times New Roman"/>
                <w:sz w:val="18"/>
                <w:szCs w:val="18"/>
                <w:highlight w:val="yellow"/>
                <w:lang w:eastAsia="en-GB"/>
              </w:rPr>
            </w:pPr>
            <w:r>
              <w:rPr>
                <w:sz w:val="18"/>
                <w:szCs w:val="18"/>
              </w:rPr>
              <w:t>435,849</w:t>
            </w:r>
          </w:p>
        </w:tc>
        <w:tc>
          <w:tcPr>
            <w:tcW w:w="1121" w:type="dxa"/>
            <w:tcBorders>
              <w:top w:val="nil"/>
              <w:left w:val="nil"/>
              <w:bottom w:val="single" w:sz="4" w:space="0" w:color="auto"/>
              <w:right w:val="single" w:sz="4" w:space="0" w:color="auto"/>
            </w:tcBorders>
            <w:shd w:val="clear" w:color="auto" w:fill="auto"/>
            <w:noWrap/>
            <w:vAlign w:val="center"/>
            <w:hideMark/>
          </w:tcPr>
          <w:p w14:paraId="257A0B75" w14:textId="6DFEF1A2" w:rsidR="00665AEF" w:rsidRPr="00E4387E" w:rsidRDefault="00665AEF" w:rsidP="00665AEF">
            <w:pPr>
              <w:spacing w:after="0"/>
              <w:jc w:val="right"/>
              <w:rPr>
                <w:rFonts w:ascii="Times New Roman" w:hAnsi="Times New Roman"/>
                <w:b/>
                <w:bCs/>
                <w:sz w:val="18"/>
                <w:szCs w:val="18"/>
                <w:highlight w:val="yellow"/>
                <w:lang w:eastAsia="en-GB"/>
              </w:rPr>
            </w:pPr>
            <w:r>
              <w:rPr>
                <w:b/>
                <w:bCs/>
                <w:sz w:val="18"/>
                <w:szCs w:val="18"/>
              </w:rPr>
              <w:t>3,093,435</w:t>
            </w:r>
          </w:p>
        </w:tc>
      </w:tr>
      <w:tr w:rsidR="00665AEF" w:rsidRPr="006F7397" w14:paraId="25DB7A42" w14:textId="77777777" w:rsidTr="00665AEF">
        <w:trPr>
          <w:trHeight w:val="255"/>
        </w:trPr>
        <w:tc>
          <w:tcPr>
            <w:tcW w:w="4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1D5B9C" w14:textId="610743B7" w:rsidR="00665AEF" w:rsidRPr="00E4387E" w:rsidRDefault="00665AEF" w:rsidP="00665AEF">
            <w:pPr>
              <w:spacing w:after="0"/>
              <w:jc w:val="left"/>
              <w:rPr>
                <w:rFonts w:ascii="Times New Roman" w:hAnsi="Times New Roman"/>
                <w:color w:val="000000"/>
                <w:sz w:val="18"/>
                <w:szCs w:val="18"/>
                <w:highlight w:val="yellow"/>
                <w:lang w:eastAsia="en-GB"/>
              </w:rPr>
            </w:pPr>
            <w:r>
              <w:rPr>
                <w:color w:val="000000"/>
                <w:sz w:val="18"/>
                <w:szCs w:val="18"/>
              </w:rPr>
              <w:t xml:space="preserve">MRD (Cash) </w:t>
            </w:r>
          </w:p>
        </w:tc>
        <w:tc>
          <w:tcPr>
            <w:tcW w:w="1276" w:type="dxa"/>
            <w:tcBorders>
              <w:top w:val="nil"/>
              <w:left w:val="nil"/>
              <w:bottom w:val="single" w:sz="4" w:space="0" w:color="auto"/>
              <w:right w:val="single" w:sz="4" w:space="0" w:color="auto"/>
            </w:tcBorders>
            <w:shd w:val="clear" w:color="auto" w:fill="auto"/>
            <w:noWrap/>
            <w:vAlign w:val="center"/>
            <w:hideMark/>
          </w:tcPr>
          <w:p w14:paraId="4E504B75" w14:textId="7F9612ED" w:rsidR="00665AEF" w:rsidRPr="00E4387E" w:rsidRDefault="00665AEF" w:rsidP="00665AEF">
            <w:pPr>
              <w:spacing w:after="0"/>
              <w:jc w:val="right"/>
              <w:rPr>
                <w:rFonts w:ascii="Times New Roman" w:hAnsi="Times New Roman"/>
                <w:sz w:val="18"/>
                <w:szCs w:val="18"/>
                <w:highlight w:val="yellow"/>
                <w:lang w:eastAsia="en-GB"/>
              </w:rPr>
            </w:pPr>
            <w:r>
              <w:rPr>
                <w:sz w:val="18"/>
                <w:szCs w:val="18"/>
              </w:rPr>
              <w:t>5,560,000</w:t>
            </w:r>
          </w:p>
        </w:tc>
        <w:tc>
          <w:tcPr>
            <w:tcW w:w="1134" w:type="dxa"/>
            <w:tcBorders>
              <w:top w:val="nil"/>
              <w:left w:val="nil"/>
              <w:bottom w:val="single" w:sz="4" w:space="0" w:color="auto"/>
              <w:right w:val="single" w:sz="4" w:space="0" w:color="auto"/>
            </w:tcBorders>
            <w:shd w:val="clear" w:color="auto" w:fill="auto"/>
            <w:noWrap/>
            <w:vAlign w:val="center"/>
            <w:hideMark/>
          </w:tcPr>
          <w:p w14:paraId="796BB4E5" w14:textId="148E3BCF" w:rsidR="00665AEF" w:rsidRPr="00E4387E" w:rsidRDefault="00665AEF" w:rsidP="00665AEF">
            <w:pPr>
              <w:spacing w:after="0"/>
              <w:jc w:val="right"/>
              <w:rPr>
                <w:rFonts w:ascii="Times New Roman" w:hAnsi="Times New Roman"/>
                <w:sz w:val="18"/>
                <w:szCs w:val="18"/>
                <w:highlight w:val="yellow"/>
                <w:lang w:eastAsia="en-GB"/>
              </w:rPr>
            </w:pPr>
            <w:r>
              <w:rPr>
                <w:sz w:val="18"/>
                <w:szCs w:val="18"/>
              </w:rPr>
              <w:t>5,560,000</w:t>
            </w:r>
          </w:p>
        </w:tc>
        <w:tc>
          <w:tcPr>
            <w:tcW w:w="1275" w:type="dxa"/>
            <w:tcBorders>
              <w:top w:val="nil"/>
              <w:left w:val="nil"/>
              <w:bottom w:val="single" w:sz="4" w:space="0" w:color="auto"/>
              <w:right w:val="single" w:sz="4" w:space="0" w:color="auto"/>
            </w:tcBorders>
            <w:shd w:val="clear" w:color="auto" w:fill="auto"/>
            <w:noWrap/>
            <w:vAlign w:val="center"/>
            <w:hideMark/>
          </w:tcPr>
          <w:p w14:paraId="3407BCE3" w14:textId="24BBA52E" w:rsidR="00665AEF" w:rsidRPr="00E4387E" w:rsidRDefault="00665AEF" w:rsidP="00665AEF">
            <w:pPr>
              <w:spacing w:after="0"/>
              <w:jc w:val="right"/>
              <w:rPr>
                <w:rFonts w:ascii="Times New Roman" w:hAnsi="Times New Roman"/>
                <w:sz w:val="18"/>
                <w:szCs w:val="18"/>
                <w:highlight w:val="yellow"/>
                <w:lang w:eastAsia="en-GB"/>
              </w:rPr>
            </w:pPr>
            <w:r>
              <w:rPr>
                <w:sz w:val="18"/>
                <w:szCs w:val="18"/>
              </w:rPr>
              <w:t>5,560,000</w:t>
            </w:r>
          </w:p>
        </w:tc>
        <w:tc>
          <w:tcPr>
            <w:tcW w:w="1134" w:type="dxa"/>
            <w:tcBorders>
              <w:top w:val="nil"/>
              <w:left w:val="nil"/>
              <w:bottom w:val="single" w:sz="4" w:space="0" w:color="auto"/>
              <w:right w:val="single" w:sz="4" w:space="0" w:color="auto"/>
            </w:tcBorders>
            <w:shd w:val="clear" w:color="auto" w:fill="auto"/>
            <w:noWrap/>
            <w:vAlign w:val="center"/>
            <w:hideMark/>
          </w:tcPr>
          <w:p w14:paraId="27E62882" w14:textId="598532F5" w:rsidR="00665AEF" w:rsidRPr="00E4387E" w:rsidRDefault="00665AEF" w:rsidP="00665AEF">
            <w:pPr>
              <w:spacing w:after="0"/>
              <w:jc w:val="right"/>
              <w:rPr>
                <w:rFonts w:ascii="Times New Roman" w:hAnsi="Times New Roman"/>
                <w:sz w:val="18"/>
                <w:szCs w:val="18"/>
                <w:highlight w:val="yellow"/>
                <w:lang w:eastAsia="en-GB"/>
              </w:rPr>
            </w:pPr>
            <w:r>
              <w:rPr>
                <w:sz w:val="18"/>
                <w:szCs w:val="18"/>
              </w:rPr>
              <w:t>5,560,000</w:t>
            </w:r>
          </w:p>
        </w:tc>
        <w:tc>
          <w:tcPr>
            <w:tcW w:w="1276" w:type="dxa"/>
            <w:tcBorders>
              <w:top w:val="nil"/>
              <w:left w:val="nil"/>
              <w:bottom w:val="single" w:sz="4" w:space="0" w:color="auto"/>
              <w:right w:val="single" w:sz="4" w:space="0" w:color="auto"/>
            </w:tcBorders>
            <w:shd w:val="clear" w:color="auto" w:fill="auto"/>
            <w:noWrap/>
            <w:vAlign w:val="center"/>
            <w:hideMark/>
          </w:tcPr>
          <w:p w14:paraId="43ACC71D" w14:textId="441E2CE0" w:rsidR="00665AEF" w:rsidRPr="00E4387E" w:rsidRDefault="00665AEF" w:rsidP="00665AEF">
            <w:pPr>
              <w:spacing w:after="0"/>
              <w:jc w:val="right"/>
              <w:rPr>
                <w:rFonts w:ascii="Times New Roman" w:hAnsi="Times New Roman"/>
                <w:sz w:val="18"/>
                <w:szCs w:val="18"/>
                <w:highlight w:val="yellow"/>
                <w:lang w:eastAsia="en-GB"/>
              </w:rPr>
            </w:pPr>
            <w:r>
              <w:rPr>
                <w:sz w:val="18"/>
                <w:szCs w:val="18"/>
              </w:rPr>
              <w:t>5,560,000</w:t>
            </w:r>
          </w:p>
        </w:tc>
        <w:tc>
          <w:tcPr>
            <w:tcW w:w="1121" w:type="dxa"/>
            <w:tcBorders>
              <w:top w:val="nil"/>
              <w:left w:val="nil"/>
              <w:bottom w:val="single" w:sz="4" w:space="0" w:color="auto"/>
              <w:right w:val="single" w:sz="4" w:space="0" w:color="auto"/>
            </w:tcBorders>
            <w:shd w:val="clear" w:color="auto" w:fill="auto"/>
            <w:noWrap/>
            <w:vAlign w:val="center"/>
            <w:hideMark/>
          </w:tcPr>
          <w:p w14:paraId="565F6CBD" w14:textId="7473A0FD" w:rsidR="00665AEF" w:rsidRPr="00E4387E" w:rsidRDefault="00665AEF" w:rsidP="00665AEF">
            <w:pPr>
              <w:spacing w:after="0"/>
              <w:jc w:val="right"/>
              <w:rPr>
                <w:rFonts w:ascii="Times New Roman" w:hAnsi="Times New Roman"/>
                <w:b/>
                <w:bCs/>
                <w:sz w:val="18"/>
                <w:szCs w:val="18"/>
                <w:highlight w:val="yellow"/>
                <w:lang w:eastAsia="en-GB"/>
              </w:rPr>
            </w:pPr>
            <w:r>
              <w:rPr>
                <w:b/>
                <w:bCs/>
                <w:sz w:val="18"/>
                <w:szCs w:val="18"/>
              </w:rPr>
              <w:t>27,800,000</w:t>
            </w:r>
          </w:p>
        </w:tc>
      </w:tr>
      <w:tr w:rsidR="00665AEF" w:rsidRPr="006F7397" w14:paraId="3FB43B03" w14:textId="77777777" w:rsidTr="00665AEF">
        <w:trPr>
          <w:trHeight w:val="255"/>
        </w:trPr>
        <w:tc>
          <w:tcPr>
            <w:tcW w:w="4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EE0985" w14:textId="32E7DDBD" w:rsidR="00665AEF" w:rsidRPr="006F7397" w:rsidRDefault="00665AEF" w:rsidP="00665AEF">
            <w:pPr>
              <w:spacing w:after="0"/>
              <w:jc w:val="left"/>
              <w:rPr>
                <w:rFonts w:ascii="Times New Roman" w:hAnsi="Times New Roman"/>
                <w:color w:val="000000"/>
                <w:sz w:val="18"/>
                <w:szCs w:val="18"/>
                <w:lang w:eastAsia="en-GB"/>
              </w:rPr>
            </w:pPr>
            <w:r>
              <w:rPr>
                <w:color w:val="000000"/>
                <w:sz w:val="18"/>
                <w:szCs w:val="18"/>
              </w:rPr>
              <w:t xml:space="preserve">Eurasian Development Bank (Soft Loan) </w:t>
            </w:r>
          </w:p>
        </w:tc>
        <w:tc>
          <w:tcPr>
            <w:tcW w:w="1276" w:type="dxa"/>
            <w:tcBorders>
              <w:top w:val="nil"/>
              <w:left w:val="nil"/>
              <w:bottom w:val="single" w:sz="4" w:space="0" w:color="auto"/>
              <w:right w:val="single" w:sz="4" w:space="0" w:color="auto"/>
            </w:tcBorders>
            <w:shd w:val="clear" w:color="auto" w:fill="auto"/>
            <w:noWrap/>
            <w:vAlign w:val="center"/>
            <w:hideMark/>
          </w:tcPr>
          <w:p w14:paraId="19F02177" w14:textId="1F931882" w:rsidR="00665AEF" w:rsidRPr="006F7397" w:rsidRDefault="00665AEF" w:rsidP="00665AEF">
            <w:pPr>
              <w:spacing w:after="0"/>
              <w:jc w:val="right"/>
              <w:rPr>
                <w:rFonts w:ascii="Times New Roman" w:hAnsi="Times New Roman"/>
                <w:sz w:val="18"/>
                <w:szCs w:val="18"/>
                <w:lang w:eastAsia="en-GB"/>
              </w:rPr>
            </w:pPr>
            <w:r>
              <w:rPr>
                <w:sz w:val="18"/>
                <w:szCs w:val="18"/>
              </w:rPr>
              <w:t>0</w:t>
            </w:r>
          </w:p>
        </w:tc>
        <w:tc>
          <w:tcPr>
            <w:tcW w:w="1134" w:type="dxa"/>
            <w:tcBorders>
              <w:top w:val="nil"/>
              <w:left w:val="nil"/>
              <w:bottom w:val="single" w:sz="4" w:space="0" w:color="auto"/>
              <w:right w:val="single" w:sz="4" w:space="0" w:color="auto"/>
            </w:tcBorders>
            <w:shd w:val="clear" w:color="auto" w:fill="auto"/>
            <w:noWrap/>
            <w:vAlign w:val="center"/>
            <w:hideMark/>
          </w:tcPr>
          <w:p w14:paraId="2C408628" w14:textId="0C6E84B0" w:rsidR="00665AEF" w:rsidRPr="006F7397" w:rsidRDefault="00665AEF" w:rsidP="00665AEF">
            <w:pPr>
              <w:spacing w:after="0"/>
              <w:jc w:val="right"/>
              <w:rPr>
                <w:rFonts w:ascii="Times New Roman" w:hAnsi="Times New Roman"/>
                <w:sz w:val="18"/>
                <w:szCs w:val="18"/>
                <w:lang w:eastAsia="en-GB"/>
              </w:rPr>
            </w:pPr>
            <w:r>
              <w:rPr>
                <w:sz w:val="18"/>
                <w:szCs w:val="18"/>
              </w:rPr>
              <w:t>7,500,000</w:t>
            </w:r>
          </w:p>
        </w:tc>
        <w:tc>
          <w:tcPr>
            <w:tcW w:w="1275" w:type="dxa"/>
            <w:tcBorders>
              <w:top w:val="nil"/>
              <w:left w:val="nil"/>
              <w:bottom w:val="single" w:sz="4" w:space="0" w:color="auto"/>
              <w:right w:val="single" w:sz="4" w:space="0" w:color="auto"/>
            </w:tcBorders>
            <w:shd w:val="clear" w:color="auto" w:fill="auto"/>
            <w:noWrap/>
            <w:vAlign w:val="center"/>
            <w:hideMark/>
          </w:tcPr>
          <w:p w14:paraId="426781A6" w14:textId="1E203F3D" w:rsidR="00665AEF" w:rsidRPr="006F7397" w:rsidRDefault="00665AEF" w:rsidP="00665AEF">
            <w:pPr>
              <w:spacing w:after="0"/>
              <w:jc w:val="right"/>
              <w:rPr>
                <w:rFonts w:ascii="Times New Roman" w:hAnsi="Times New Roman"/>
                <w:sz w:val="18"/>
                <w:szCs w:val="18"/>
                <w:lang w:eastAsia="en-GB"/>
              </w:rPr>
            </w:pPr>
            <w:r>
              <w:rPr>
                <w:sz w:val="18"/>
                <w:szCs w:val="18"/>
              </w:rPr>
              <w:t>7,500,000</w:t>
            </w:r>
          </w:p>
        </w:tc>
        <w:tc>
          <w:tcPr>
            <w:tcW w:w="1134" w:type="dxa"/>
            <w:tcBorders>
              <w:top w:val="nil"/>
              <w:left w:val="nil"/>
              <w:bottom w:val="single" w:sz="4" w:space="0" w:color="auto"/>
              <w:right w:val="single" w:sz="4" w:space="0" w:color="auto"/>
            </w:tcBorders>
            <w:shd w:val="clear" w:color="auto" w:fill="auto"/>
            <w:noWrap/>
            <w:vAlign w:val="center"/>
            <w:hideMark/>
          </w:tcPr>
          <w:p w14:paraId="17E5A455" w14:textId="297092C1" w:rsidR="00665AEF" w:rsidRPr="006F7397" w:rsidRDefault="00665AEF" w:rsidP="00665AEF">
            <w:pPr>
              <w:spacing w:after="0"/>
              <w:jc w:val="right"/>
              <w:rPr>
                <w:rFonts w:ascii="Times New Roman" w:hAnsi="Times New Roman"/>
                <w:sz w:val="18"/>
                <w:szCs w:val="18"/>
                <w:lang w:eastAsia="en-GB"/>
              </w:rPr>
            </w:pPr>
            <w:r>
              <w:rPr>
                <w:sz w:val="18"/>
                <w:szCs w:val="18"/>
              </w:rPr>
              <w:t>7,500,000</w:t>
            </w:r>
          </w:p>
        </w:tc>
        <w:tc>
          <w:tcPr>
            <w:tcW w:w="1276" w:type="dxa"/>
            <w:tcBorders>
              <w:top w:val="nil"/>
              <w:left w:val="nil"/>
              <w:bottom w:val="single" w:sz="4" w:space="0" w:color="auto"/>
              <w:right w:val="single" w:sz="4" w:space="0" w:color="auto"/>
            </w:tcBorders>
            <w:shd w:val="clear" w:color="auto" w:fill="auto"/>
            <w:noWrap/>
            <w:vAlign w:val="center"/>
            <w:hideMark/>
          </w:tcPr>
          <w:p w14:paraId="5FDE215A" w14:textId="3F8C3807" w:rsidR="00665AEF" w:rsidRPr="006F7397" w:rsidRDefault="00665AEF" w:rsidP="00665AEF">
            <w:pPr>
              <w:spacing w:after="0"/>
              <w:jc w:val="right"/>
              <w:rPr>
                <w:rFonts w:ascii="Times New Roman" w:hAnsi="Times New Roman"/>
                <w:sz w:val="18"/>
                <w:szCs w:val="18"/>
                <w:lang w:eastAsia="en-GB"/>
              </w:rPr>
            </w:pPr>
            <w:r>
              <w:rPr>
                <w:sz w:val="18"/>
                <w:szCs w:val="18"/>
              </w:rPr>
              <w:t>7,500,000</w:t>
            </w:r>
          </w:p>
        </w:tc>
        <w:tc>
          <w:tcPr>
            <w:tcW w:w="1121" w:type="dxa"/>
            <w:tcBorders>
              <w:top w:val="nil"/>
              <w:left w:val="nil"/>
              <w:bottom w:val="single" w:sz="4" w:space="0" w:color="auto"/>
              <w:right w:val="single" w:sz="4" w:space="0" w:color="auto"/>
            </w:tcBorders>
            <w:shd w:val="clear" w:color="auto" w:fill="auto"/>
            <w:noWrap/>
            <w:vAlign w:val="center"/>
            <w:hideMark/>
          </w:tcPr>
          <w:p w14:paraId="67B256AE" w14:textId="3323571C" w:rsidR="00665AEF" w:rsidRPr="006F7397" w:rsidRDefault="00665AEF" w:rsidP="00665AEF">
            <w:pPr>
              <w:spacing w:after="0"/>
              <w:jc w:val="right"/>
              <w:rPr>
                <w:rFonts w:ascii="Times New Roman" w:hAnsi="Times New Roman"/>
                <w:b/>
                <w:bCs/>
                <w:sz w:val="18"/>
                <w:szCs w:val="18"/>
                <w:lang w:eastAsia="en-GB"/>
              </w:rPr>
            </w:pPr>
            <w:r>
              <w:rPr>
                <w:b/>
                <w:bCs/>
                <w:sz w:val="18"/>
                <w:szCs w:val="18"/>
              </w:rPr>
              <w:t>30,000,000</w:t>
            </w:r>
          </w:p>
        </w:tc>
      </w:tr>
      <w:tr w:rsidR="00665AEF" w:rsidRPr="006F7397" w14:paraId="448091E3" w14:textId="77777777" w:rsidTr="00665AEF">
        <w:trPr>
          <w:trHeight w:val="255"/>
        </w:trPr>
        <w:tc>
          <w:tcPr>
            <w:tcW w:w="4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48A7DA" w14:textId="1C7A385D" w:rsidR="00665AEF" w:rsidRPr="006F7397" w:rsidRDefault="00665AEF" w:rsidP="00665AEF">
            <w:pPr>
              <w:spacing w:after="0"/>
              <w:jc w:val="left"/>
              <w:rPr>
                <w:rFonts w:ascii="Times New Roman" w:hAnsi="Times New Roman"/>
                <w:color w:val="000000"/>
                <w:sz w:val="18"/>
                <w:szCs w:val="18"/>
                <w:lang w:eastAsia="en-GB"/>
              </w:rPr>
            </w:pPr>
            <w:r>
              <w:rPr>
                <w:color w:val="000000"/>
                <w:sz w:val="18"/>
                <w:szCs w:val="18"/>
              </w:rPr>
              <w:t xml:space="preserve">International Finance Corporation (IFC) (In-kind) </w:t>
            </w:r>
          </w:p>
        </w:tc>
        <w:tc>
          <w:tcPr>
            <w:tcW w:w="1276" w:type="dxa"/>
            <w:tcBorders>
              <w:top w:val="nil"/>
              <w:left w:val="nil"/>
              <w:bottom w:val="single" w:sz="4" w:space="0" w:color="auto"/>
              <w:right w:val="single" w:sz="4" w:space="0" w:color="auto"/>
            </w:tcBorders>
            <w:shd w:val="clear" w:color="auto" w:fill="auto"/>
            <w:noWrap/>
            <w:vAlign w:val="center"/>
            <w:hideMark/>
          </w:tcPr>
          <w:p w14:paraId="7E5C0DCA" w14:textId="4A5D6751" w:rsidR="00665AEF" w:rsidRPr="006F7397" w:rsidRDefault="00665AEF" w:rsidP="00665AEF">
            <w:pPr>
              <w:spacing w:after="0"/>
              <w:jc w:val="right"/>
              <w:rPr>
                <w:rFonts w:ascii="Times New Roman" w:hAnsi="Times New Roman"/>
                <w:sz w:val="18"/>
                <w:szCs w:val="18"/>
                <w:lang w:eastAsia="en-GB"/>
              </w:rPr>
            </w:pPr>
            <w:r>
              <w:rPr>
                <w:sz w:val="18"/>
                <w:szCs w:val="18"/>
              </w:rPr>
              <w:t>120,000</w:t>
            </w:r>
          </w:p>
        </w:tc>
        <w:tc>
          <w:tcPr>
            <w:tcW w:w="1134" w:type="dxa"/>
            <w:tcBorders>
              <w:top w:val="nil"/>
              <w:left w:val="nil"/>
              <w:bottom w:val="single" w:sz="4" w:space="0" w:color="auto"/>
              <w:right w:val="single" w:sz="4" w:space="0" w:color="auto"/>
            </w:tcBorders>
            <w:shd w:val="clear" w:color="auto" w:fill="auto"/>
            <w:noWrap/>
            <w:vAlign w:val="center"/>
            <w:hideMark/>
          </w:tcPr>
          <w:p w14:paraId="2C89F60C" w14:textId="5C0DF3DF" w:rsidR="00665AEF" w:rsidRPr="006F7397" w:rsidRDefault="00665AEF" w:rsidP="00665AEF">
            <w:pPr>
              <w:spacing w:after="0"/>
              <w:jc w:val="right"/>
              <w:rPr>
                <w:rFonts w:ascii="Times New Roman" w:hAnsi="Times New Roman"/>
                <w:sz w:val="18"/>
                <w:szCs w:val="18"/>
                <w:lang w:eastAsia="en-GB"/>
              </w:rPr>
            </w:pPr>
            <w:r>
              <w:rPr>
                <w:sz w:val="18"/>
                <w:szCs w:val="18"/>
              </w:rPr>
              <w:t>120,000</w:t>
            </w:r>
          </w:p>
        </w:tc>
        <w:tc>
          <w:tcPr>
            <w:tcW w:w="1275" w:type="dxa"/>
            <w:tcBorders>
              <w:top w:val="nil"/>
              <w:left w:val="nil"/>
              <w:bottom w:val="single" w:sz="4" w:space="0" w:color="auto"/>
              <w:right w:val="single" w:sz="4" w:space="0" w:color="auto"/>
            </w:tcBorders>
            <w:shd w:val="clear" w:color="auto" w:fill="auto"/>
            <w:noWrap/>
            <w:vAlign w:val="center"/>
            <w:hideMark/>
          </w:tcPr>
          <w:p w14:paraId="43B0EF38" w14:textId="3B23E836" w:rsidR="00665AEF" w:rsidRPr="006F7397" w:rsidRDefault="00665AEF" w:rsidP="00665AEF">
            <w:pPr>
              <w:spacing w:after="0"/>
              <w:jc w:val="right"/>
              <w:rPr>
                <w:rFonts w:ascii="Times New Roman" w:hAnsi="Times New Roman"/>
                <w:sz w:val="18"/>
                <w:szCs w:val="18"/>
                <w:lang w:eastAsia="en-GB"/>
              </w:rPr>
            </w:pPr>
            <w:r>
              <w:rPr>
                <w:sz w:val="18"/>
                <w:szCs w:val="18"/>
              </w:rPr>
              <w:t>120,000</w:t>
            </w:r>
          </w:p>
        </w:tc>
        <w:tc>
          <w:tcPr>
            <w:tcW w:w="1134" w:type="dxa"/>
            <w:tcBorders>
              <w:top w:val="nil"/>
              <w:left w:val="nil"/>
              <w:bottom w:val="single" w:sz="4" w:space="0" w:color="auto"/>
              <w:right w:val="single" w:sz="4" w:space="0" w:color="auto"/>
            </w:tcBorders>
            <w:shd w:val="clear" w:color="auto" w:fill="auto"/>
            <w:noWrap/>
            <w:vAlign w:val="center"/>
            <w:hideMark/>
          </w:tcPr>
          <w:p w14:paraId="75D60E68" w14:textId="1504E5AE" w:rsidR="00665AEF" w:rsidRPr="006F7397" w:rsidRDefault="00665AEF" w:rsidP="00665AEF">
            <w:pPr>
              <w:spacing w:after="0"/>
              <w:jc w:val="right"/>
              <w:rPr>
                <w:rFonts w:ascii="Times New Roman" w:hAnsi="Times New Roman"/>
                <w:sz w:val="18"/>
                <w:szCs w:val="18"/>
                <w:lang w:eastAsia="en-GB"/>
              </w:rPr>
            </w:pPr>
            <w:r>
              <w:rPr>
                <w:sz w:val="18"/>
                <w:szCs w:val="18"/>
              </w:rPr>
              <w:t>120,000</w:t>
            </w:r>
          </w:p>
        </w:tc>
        <w:tc>
          <w:tcPr>
            <w:tcW w:w="1276" w:type="dxa"/>
            <w:tcBorders>
              <w:top w:val="nil"/>
              <w:left w:val="nil"/>
              <w:bottom w:val="single" w:sz="4" w:space="0" w:color="auto"/>
              <w:right w:val="single" w:sz="4" w:space="0" w:color="auto"/>
            </w:tcBorders>
            <w:shd w:val="clear" w:color="auto" w:fill="auto"/>
            <w:noWrap/>
            <w:vAlign w:val="center"/>
            <w:hideMark/>
          </w:tcPr>
          <w:p w14:paraId="2FF3AE88" w14:textId="36723F9B" w:rsidR="00665AEF" w:rsidRPr="006F7397" w:rsidRDefault="00665AEF" w:rsidP="00665AEF">
            <w:pPr>
              <w:spacing w:after="0"/>
              <w:jc w:val="right"/>
              <w:rPr>
                <w:rFonts w:ascii="Times New Roman" w:hAnsi="Times New Roman"/>
                <w:sz w:val="18"/>
                <w:szCs w:val="18"/>
                <w:lang w:eastAsia="en-GB"/>
              </w:rPr>
            </w:pPr>
            <w:r>
              <w:rPr>
                <w:sz w:val="18"/>
                <w:szCs w:val="18"/>
              </w:rPr>
              <w:t>120,000</w:t>
            </w:r>
          </w:p>
        </w:tc>
        <w:tc>
          <w:tcPr>
            <w:tcW w:w="1121" w:type="dxa"/>
            <w:tcBorders>
              <w:top w:val="nil"/>
              <w:left w:val="nil"/>
              <w:bottom w:val="single" w:sz="4" w:space="0" w:color="auto"/>
              <w:right w:val="single" w:sz="4" w:space="0" w:color="auto"/>
            </w:tcBorders>
            <w:shd w:val="clear" w:color="auto" w:fill="auto"/>
            <w:noWrap/>
            <w:vAlign w:val="center"/>
            <w:hideMark/>
          </w:tcPr>
          <w:p w14:paraId="327B6FE6" w14:textId="69179899" w:rsidR="00665AEF" w:rsidRPr="006F7397" w:rsidRDefault="00665AEF" w:rsidP="00665AEF">
            <w:pPr>
              <w:spacing w:after="0"/>
              <w:jc w:val="right"/>
              <w:rPr>
                <w:rFonts w:ascii="Times New Roman" w:hAnsi="Times New Roman"/>
                <w:b/>
                <w:bCs/>
                <w:sz w:val="18"/>
                <w:szCs w:val="18"/>
                <w:lang w:eastAsia="en-GB"/>
              </w:rPr>
            </w:pPr>
            <w:r>
              <w:rPr>
                <w:b/>
                <w:bCs/>
                <w:sz w:val="18"/>
                <w:szCs w:val="18"/>
              </w:rPr>
              <w:t>600,000</w:t>
            </w:r>
          </w:p>
        </w:tc>
      </w:tr>
      <w:tr w:rsidR="00665AEF" w:rsidRPr="006F7397" w14:paraId="6E22A7E1" w14:textId="77777777" w:rsidTr="00665AEF">
        <w:trPr>
          <w:trHeight w:val="255"/>
        </w:trPr>
        <w:tc>
          <w:tcPr>
            <w:tcW w:w="4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69884F" w14:textId="21587663" w:rsidR="00665AEF" w:rsidRPr="006F7397" w:rsidRDefault="00665AEF" w:rsidP="00665AEF">
            <w:pPr>
              <w:spacing w:after="0"/>
              <w:jc w:val="left"/>
              <w:rPr>
                <w:rFonts w:ascii="Times New Roman" w:hAnsi="Times New Roman"/>
                <w:color w:val="000000"/>
                <w:sz w:val="18"/>
                <w:szCs w:val="18"/>
                <w:lang w:eastAsia="en-GB"/>
              </w:rPr>
            </w:pPr>
            <w:r>
              <w:rPr>
                <w:color w:val="000000"/>
                <w:sz w:val="18"/>
                <w:szCs w:val="18"/>
              </w:rPr>
              <w:t xml:space="preserve">EnKom-St (In-kind) </w:t>
            </w:r>
          </w:p>
        </w:tc>
        <w:tc>
          <w:tcPr>
            <w:tcW w:w="1276" w:type="dxa"/>
            <w:tcBorders>
              <w:top w:val="nil"/>
              <w:left w:val="nil"/>
              <w:bottom w:val="single" w:sz="4" w:space="0" w:color="auto"/>
              <w:right w:val="single" w:sz="4" w:space="0" w:color="auto"/>
            </w:tcBorders>
            <w:shd w:val="clear" w:color="auto" w:fill="auto"/>
            <w:noWrap/>
            <w:vAlign w:val="center"/>
            <w:hideMark/>
          </w:tcPr>
          <w:p w14:paraId="529F062E" w14:textId="1309E016" w:rsidR="00665AEF" w:rsidRPr="006F7397" w:rsidRDefault="00665AEF" w:rsidP="00665AEF">
            <w:pPr>
              <w:spacing w:after="0"/>
              <w:jc w:val="right"/>
              <w:rPr>
                <w:rFonts w:ascii="Times New Roman" w:hAnsi="Times New Roman"/>
                <w:sz w:val="18"/>
                <w:szCs w:val="18"/>
                <w:lang w:eastAsia="en-GB"/>
              </w:rPr>
            </w:pPr>
            <w:r>
              <w:rPr>
                <w:sz w:val="18"/>
                <w:szCs w:val="18"/>
              </w:rPr>
              <w:t>200,000</w:t>
            </w:r>
          </w:p>
        </w:tc>
        <w:tc>
          <w:tcPr>
            <w:tcW w:w="1134" w:type="dxa"/>
            <w:tcBorders>
              <w:top w:val="nil"/>
              <w:left w:val="nil"/>
              <w:bottom w:val="single" w:sz="4" w:space="0" w:color="auto"/>
              <w:right w:val="single" w:sz="4" w:space="0" w:color="auto"/>
            </w:tcBorders>
            <w:shd w:val="clear" w:color="auto" w:fill="auto"/>
            <w:noWrap/>
            <w:vAlign w:val="center"/>
            <w:hideMark/>
          </w:tcPr>
          <w:p w14:paraId="39BCF77D" w14:textId="2EC0BB0F" w:rsidR="00665AEF" w:rsidRPr="006F7397" w:rsidRDefault="00665AEF" w:rsidP="00665AEF">
            <w:pPr>
              <w:spacing w:after="0"/>
              <w:jc w:val="right"/>
              <w:rPr>
                <w:rFonts w:ascii="Times New Roman" w:hAnsi="Times New Roman"/>
                <w:sz w:val="18"/>
                <w:szCs w:val="18"/>
                <w:lang w:eastAsia="en-GB"/>
              </w:rPr>
            </w:pPr>
            <w:r>
              <w:rPr>
                <w:sz w:val="18"/>
                <w:szCs w:val="18"/>
              </w:rPr>
              <w:t>200,000</w:t>
            </w:r>
          </w:p>
        </w:tc>
        <w:tc>
          <w:tcPr>
            <w:tcW w:w="1275" w:type="dxa"/>
            <w:tcBorders>
              <w:top w:val="nil"/>
              <w:left w:val="nil"/>
              <w:bottom w:val="single" w:sz="4" w:space="0" w:color="auto"/>
              <w:right w:val="single" w:sz="4" w:space="0" w:color="auto"/>
            </w:tcBorders>
            <w:shd w:val="clear" w:color="auto" w:fill="auto"/>
            <w:noWrap/>
            <w:vAlign w:val="center"/>
            <w:hideMark/>
          </w:tcPr>
          <w:p w14:paraId="216F5C04" w14:textId="2E0E3A33" w:rsidR="00665AEF" w:rsidRPr="006F7397" w:rsidRDefault="00665AEF" w:rsidP="00665AEF">
            <w:pPr>
              <w:spacing w:after="0"/>
              <w:jc w:val="right"/>
              <w:rPr>
                <w:rFonts w:ascii="Times New Roman" w:hAnsi="Times New Roman"/>
                <w:sz w:val="18"/>
                <w:szCs w:val="18"/>
                <w:lang w:eastAsia="en-GB"/>
              </w:rPr>
            </w:pPr>
            <w:r>
              <w:rPr>
                <w:sz w:val="18"/>
                <w:szCs w:val="18"/>
              </w:rPr>
              <w:t>200,000</w:t>
            </w:r>
          </w:p>
        </w:tc>
        <w:tc>
          <w:tcPr>
            <w:tcW w:w="1134" w:type="dxa"/>
            <w:tcBorders>
              <w:top w:val="nil"/>
              <w:left w:val="nil"/>
              <w:bottom w:val="single" w:sz="4" w:space="0" w:color="auto"/>
              <w:right w:val="single" w:sz="4" w:space="0" w:color="auto"/>
            </w:tcBorders>
            <w:shd w:val="clear" w:color="auto" w:fill="auto"/>
            <w:noWrap/>
            <w:vAlign w:val="center"/>
            <w:hideMark/>
          </w:tcPr>
          <w:p w14:paraId="4829C49E" w14:textId="69D153C1" w:rsidR="00665AEF" w:rsidRPr="006F7397" w:rsidRDefault="00665AEF" w:rsidP="00665AEF">
            <w:pPr>
              <w:spacing w:after="0"/>
              <w:jc w:val="right"/>
              <w:rPr>
                <w:rFonts w:ascii="Times New Roman" w:hAnsi="Times New Roman"/>
                <w:sz w:val="18"/>
                <w:szCs w:val="18"/>
                <w:lang w:eastAsia="en-GB"/>
              </w:rPr>
            </w:pPr>
            <w:r>
              <w:rPr>
                <w:sz w:val="18"/>
                <w:szCs w:val="18"/>
              </w:rPr>
              <w:t>200,000</w:t>
            </w:r>
          </w:p>
        </w:tc>
        <w:tc>
          <w:tcPr>
            <w:tcW w:w="1276" w:type="dxa"/>
            <w:tcBorders>
              <w:top w:val="nil"/>
              <w:left w:val="nil"/>
              <w:bottom w:val="single" w:sz="4" w:space="0" w:color="auto"/>
              <w:right w:val="single" w:sz="4" w:space="0" w:color="auto"/>
            </w:tcBorders>
            <w:shd w:val="clear" w:color="auto" w:fill="auto"/>
            <w:noWrap/>
            <w:vAlign w:val="center"/>
            <w:hideMark/>
          </w:tcPr>
          <w:p w14:paraId="0568BFF6" w14:textId="3A56D1A4" w:rsidR="00665AEF" w:rsidRPr="006F7397" w:rsidRDefault="00665AEF" w:rsidP="00665AEF">
            <w:pPr>
              <w:spacing w:after="0"/>
              <w:jc w:val="right"/>
              <w:rPr>
                <w:rFonts w:ascii="Times New Roman" w:hAnsi="Times New Roman"/>
                <w:sz w:val="18"/>
                <w:szCs w:val="18"/>
                <w:lang w:eastAsia="en-GB"/>
              </w:rPr>
            </w:pPr>
            <w:r>
              <w:rPr>
                <w:sz w:val="18"/>
                <w:szCs w:val="18"/>
              </w:rPr>
              <w:t>200,000</w:t>
            </w:r>
          </w:p>
        </w:tc>
        <w:tc>
          <w:tcPr>
            <w:tcW w:w="1121" w:type="dxa"/>
            <w:tcBorders>
              <w:top w:val="nil"/>
              <w:left w:val="nil"/>
              <w:bottom w:val="single" w:sz="4" w:space="0" w:color="auto"/>
              <w:right w:val="single" w:sz="4" w:space="0" w:color="auto"/>
            </w:tcBorders>
            <w:shd w:val="clear" w:color="auto" w:fill="auto"/>
            <w:noWrap/>
            <w:vAlign w:val="center"/>
            <w:hideMark/>
          </w:tcPr>
          <w:p w14:paraId="1E98FCB0" w14:textId="5841303C" w:rsidR="00665AEF" w:rsidRPr="006F7397" w:rsidRDefault="00665AEF" w:rsidP="00665AEF">
            <w:pPr>
              <w:spacing w:after="0"/>
              <w:jc w:val="right"/>
              <w:rPr>
                <w:rFonts w:ascii="Times New Roman" w:hAnsi="Times New Roman"/>
                <w:b/>
                <w:bCs/>
                <w:sz w:val="18"/>
                <w:szCs w:val="18"/>
                <w:lang w:eastAsia="en-GB"/>
              </w:rPr>
            </w:pPr>
            <w:r>
              <w:rPr>
                <w:b/>
                <w:bCs/>
                <w:sz w:val="18"/>
                <w:szCs w:val="18"/>
              </w:rPr>
              <w:t>1,000,000</w:t>
            </w:r>
          </w:p>
        </w:tc>
      </w:tr>
      <w:tr w:rsidR="00665AEF" w:rsidRPr="006F7397" w14:paraId="66458544" w14:textId="77777777" w:rsidTr="00665AEF">
        <w:trPr>
          <w:trHeight w:val="255"/>
        </w:trPr>
        <w:tc>
          <w:tcPr>
            <w:tcW w:w="4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8F4891" w14:textId="6F461FB9" w:rsidR="00665AEF" w:rsidRPr="006F7397" w:rsidRDefault="00665AEF" w:rsidP="00665AEF">
            <w:pPr>
              <w:spacing w:after="0"/>
              <w:jc w:val="left"/>
              <w:rPr>
                <w:rFonts w:ascii="Times New Roman" w:hAnsi="Times New Roman"/>
                <w:color w:val="000000"/>
                <w:sz w:val="18"/>
                <w:szCs w:val="18"/>
                <w:lang w:eastAsia="en-GB"/>
              </w:rPr>
            </w:pPr>
            <w:r>
              <w:rPr>
                <w:color w:val="000000"/>
                <w:sz w:val="18"/>
                <w:szCs w:val="18"/>
              </w:rPr>
              <w:t xml:space="preserve">Ergonomica, Ltd (In-kind) </w:t>
            </w:r>
          </w:p>
        </w:tc>
        <w:tc>
          <w:tcPr>
            <w:tcW w:w="1276" w:type="dxa"/>
            <w:tcBorders>
              <w:top w:val="nil"/>
              <w:left w:val="nil"/>
              <w:bottom w:val="single" w:sz="4" w:space="0" w:color="auto"/>
              <w:right w:val="single" w:sz="4" w:space="0" w:color="auto"/>
            </w:tcBorders>
            <w:shd w:val="clear" w:color="auto" w:fill="auto"/>
            <w:noWrap/>
            <w:vAlign w:val="center"/>
            <w:hideMark/>
          </w:tcPr>
          <w:p w14:paraId="0DDFB6D3" w14:textId="48211BF6" w:rsidR="00665AEF" w:rsidRPr="006F7397" w:rsidRDefault="00665AEF" w:rsidP="00665AEF">
            <w:pPr>
              <w:spacing w:after="0"/>
              <w:jc w:val="right"/>
              <w:rPr>
                <w:rFonts w:ascii="Times New Roman" w:hAnsi="Times New Roman"/>
                <w:sz w:val="18"/>
                <w:szCs w:val="18"/>
                <w:lang w:eastAsia="en-GB"/>
              </w:rPr>
            </w:pPr>
            <w:r>
              <w:rPr>
                <w:sz w:val="18"/>
                <w:szCs w:val="18"/>
              </w:rPr>
              <w:t>196,132</w:t>
            </w:r>
          </w:p>
        </w:tc>
        <w:tc>
          <w:tcPr>
            <w:tcW w:w="1134" w:type="dxa"/>
            <w:tcBorders>
              <w:top w:val="nil"/>
              <w:left w:val="nil"/>
              <w:bottom w:val="single" w:sz="4" w:space="0" w:color="auto"/>
              <w:right w:val="single" w:sz="4" w:space="0" w:color="auto"/>
            </w:tcBorders>
            <w:shd w:val="clear" w:color="auto" w:fill="auto"/>
            <w:noWrap/>
            <w:vAlign w:val="center"/>
            <w:hideMark/>
          </w:tcPr>
          <w:p w14:paraId="5A756F74" w14:textId="149A782C" w:rsidR="00665AEF" w:rsidRPr="006F7397" w:rsidRDefault="00665AEF" w:rsidP="00665AEF">
            <w:pPr>
              <w:spacing w:after="0"/>
              <w:jc w:val="right"/>
              <w:rPr>
                <w:rFonts w:ascii="Times New Roman" w:hAnsi="Times New Roman"/>
                <w:sz w:val="18"/>
                <w:szCs w:val="18"/>
                <w:lang w:eastAsia="en-GB"/>
              </w:rPr>
            </w:pPr>
            <w:r>
              <w:rPr>
                <w:sz w:val="18"/>
                <w:szCs w:val="18"/>
              </w:rPr>
              <w:t>196,132</w:t>
            </w:r>
          </w:p>
        </w:tc>
        <w:tc>
          <w:tcPr>
            <w:tcW w:w="1275" w:type="dxa"/>
            <w:tcBorders>
              <w:top w:val="nil"/>
              <w:left w:val="nil"/>
              <w:bottom w:val="single" w:sz="4" w:space="0" w:color="auto"/>
              <w:right w:val="single" w:sz="4" w:space="0" w:color="auto"/>
            </w:tcBorders>
            <w:shd w:val="clear" w:color="auto" w:fill="auto"/>
            <w:noWrap/>
            <w:vAlign w:val="center"/>
            <w:hideMark/>
          </w:tcPr>
          <w:p w14:paraId="664194D2" w14:textId="0E28B749" w:rsidR="00665AEF" w:rsidRPr="006F7397" w:rsidRDefault="00665AEF" w:rsidP="00665AEF">
            <w:pPr>
              <w:spacing w:after="0"/>
              <w:jc w:val="right"/>
              <w:rPr>
                <w:rFonts w:ascii="Times New Roman" w:hAnsi="Times New Roman"/>
                <w:sz w:val="18"/>
                <w:szCs w:val="18"/>
                <w:lang w:eastAsia="en-GB"/>
              </w:rPr>
            </w:pPr>
            <w:r>
              <w:rPr>
                <w:sz w:val="18"/>
                <w:szCs w:val="18"/>
              </w:rPr>
              <w:t>196,132</w:t>
            </w:r>
          </w:p>
        </w:tc>
        <w:tc>
          <w:tcPr>
            <w:tcW w:w="1134" w:type="dxa"/>
            <w:tcBorders>
              <w:top w:val="nil"/>
              <w:left w:val="nil"/>
              <w:bottom w:val="single" w:sz="4" w:space="0" w:color="auto"/>
              <w:right w:val="single" w:sz="4" w:space="0" w:color="auto"/>
            </w:tcBorders>
            <w:shd w:val="clear" w:color="auto" w:fill="auto"/>
            <w:noWrap/>
            <w:vAlign w:val="center"/>
            <w:hideMark/>
          </w:tcPr>
          <w:p w14:paraId="7CF73AC4" w14:textId="29C07D50" w:rsidR="00665AEF" w:rsidRPr="006F7397" w:rsidRDefault="00665AEF" w:rsidP="00665AEF">
            <w:pPr>
              <w:spacing w:after="0"/>
              <w:jc w:val="right"/>
              <w:rPr>
                <w:rFonts w:ascii="Times New Roman" w:hAnsi="Times New Roman"/>
                <w:sz w:val="18"/>
                <w:szCs w:val="18"/>
                <w:lang w:eastAsia="en-GB"/>
              </w:rPr>
            </w:pPr>
            <w:r>
              <w:rPr>
                <w:sz w:val="18"/>
                <w:szCs w:val="18"/>
              </w:rPr>
              <w:t>196,132</w:t>
            </w:r>
          </w:p>
        </w:tc>
        <w:tc>
          <w:tcPr>
            <w:tcW w:w="1276" w:type="dxa"/>
            <w:tcBorders>
              <w:top w:val="nil"/>
              <w:left w:val="nil"/>
              <w:bottom w:val="single" w:sz="4" w:space="0" w:color="auto"/>
              <w:right w:val="single" w:sz="4" w:space="0" w:color="auto"/>
            </w:tcBorders>
            <w:shd w:val="clear" w:color="auto" w:fill="auto"/>
            <w:noWrap/>
            <w:vAlign w:val="center"/>
            <w:hideMark/>
          </w:tcPr>
          <w:p w14:paraId="3396626C" w14:textId="442D6E7C" w:rsidR="00665AEF" w:rsidRPr="006F7397" w:rsidRDefault="00665AEF" w:rsidP="00EF612A">
            <w:pPr>
              <w:spacing w:after="0"/>
              <w:jc w:val="right"/>
              <w:rPr>
                <w:rFonts w:ascii="Times New Roman" w:hAnsi="Times New Roman"/>
                <w:sz w:val="18"/>
                <w:szCs w:val="18"/>
                <w:lang w:eastAsia="en-GB"/>
              </w:rPr>
            </w:pPr>
            <w:r>
              <w:rPr>
                <w:sz w:val="18"/>
                <w:szCs w:val="18"/>
              </w:rPr>
              <w:t>196,13</w:t>
            </w:r>
            <w:r w:rsidR="00EF612A">
              <w:rPr>
                <w:sz w:val="18"/>
                <w:szCs w:val="18"/>
              </w:rPr>
              <w:t>1</w:t>
            </w:r>
          </w:p>
        </w:tc>
        <w:tc>
          <w:tcPr>
            <w:tcW w:w="1121" w:type="dxa"/>
            <w:tcBorders>
              <w:top w:val="nil"/>
              <w:left w:val="nil"/>
              <w:bottom w:val="single" w:sz="4" w:space="0" w:color="auto"/>
              <w:right w:val="single" w:sz="4" w:space="0" w:color="auto"/>
            </w:tcBorders>
            <w:shd w:val="clear" w:color="auto" w:fill="auto"/>
            <w:noWrap/>
            <w:vAlign w:val="center"/>
            <w:hideMark/>
          </w:tcPr>
          <w:p w14:paraId="2B4A8E65" w14:textId="405399EF" w:rsidR="00665AEF" w:rsidRPr="006F7397" w:rsidRDefault="00665AEF" w:rsidP="00665AEF">
            <w:pPr>
              <w:spacing w:after="0"/>
              <w:jc w:val="right"/>
              <w:rPr>
                <w:rFonts w:ascii="Times New Roman" w:hAnsi="Times New Roman"/>
                <w:b/>
                <w:bCs/>
                <w:sz w:val="18"/>
                <w:szCs w:val="18"/>
                <w:lang w:eastAsia="en-GB"/>
              </w:rPr>
            </w:pPr>
            <w:r>
              <w:rPr>
                <w:b/>
                <w:bCs/>
                <w:sz w:val="18"/>
                <w:szCs w:val="18"/>
              </w:rPr>
              <w:t>980,659</w:t>
            </w:r>
          </w:p>
        </w:tc>
      </w:tr>
      <w:tr w:rsidR="00665AEF" w:rsidRPr="006F7397" w14:paraId="047BC9BE" w14:textId="77777777" w:rsidTr="00665AEF">
        <w:trPr>
          <w:trHeight w:val="255"/>
        </w:trPr>
        <w:tc>
          <w:tcPr>
            <w:tcW w:w="4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1673F9" w14:textId="12E50E3F" w:rsidR="00665AEF" w:rsidRPr="006F7397" w:rsidRDefault="00665AEF" w:rsidP="00665AEF">
            <w:pPr>
              <w:spacing w:after="0"/>
              <w:jc w:val="left"/>
              <w:rPr>
                <w:rFonts w:ascii="Times New Roman" w:hAnsi="Times New Roman"/>
                <w:color w:val="000000"/>
                <w:sz w:val="18"/>
                <w:szCs w:val="18"/>
                <w:lang w:eastAsia="en-GB"/>
              </w:rPr>
            </w:pPr>
            <w:r>
              <w:rPr>
                <w:color w:val="000000"/>
                <w:sz w:val="18"/>
                <w:szCs w:val="18"/>
              </w:rPr>
              <w:t xml:space="preserve">Grundfos (In-kind) </w:t>
            </w:r>
          </w:p>
        </w:tc>
        <w:tc>
          <w:tcPr>
            <w:tcW w:w="1276" w:type="dxa"/>
            <w:tcBorders>
              <w:top w:val="nil"/>
              <w:left w:val="nil"/>
              <w:bottom w:val="single" w:sz="4" w:space="0" w:color="auto"/>
              <w:right w:val="single" w:sz="4" w:space="0" w:color="auto"/>
            </w:tcBorders>
            <w:shd w:val="clear" w:color="auto" w:fill="auto"/>
            <w:noWrap/>
            <w:vAlign w:val="center"/>
            <w:hideMark/>
          </w:tcPr>
          <w:p w14:paraId="3C6BCB02" w14:textId="210D380B" w:rsidR="00665AEF" w:rsidRPr="006F7397" w:rsidRDefault="00665AEF" w:rsidP="00665AEF">
            <w:pPr>
              <w:spacing w:after="0"/>
              <w:jc w:val="right"/>
              <w:rPr>
                <w:rFonts w:ascii="Times New Roman" w:hAnsi="Times New Roman"/>
                <w:sz w:val="18"/>
                <w:szCs w:val="18"/>
                <w:lang w:eastAsia="en-GB"/>
              </w:rPr>
            </w:pPr>
            <w:r>
              <w:rPr>
                <w:sz w:val="18"/>
                <w:szCs w:val="18"/>
              </w:rPr>
              <w:t>171,000</w:t>
            </w:r>
          </w:p>
        </w:tc>
        <w:tc>
          <w:tcPr>
            <w:tcW w:w="1134" w:type="dxa"/>
            <w:tcBorders>
              <w:top w:val="nil"/>
              <w:left w:val="nil"/>
              <w:bottom w:val="single" w:sz="4" w:space="0" w:color="auto"/>
              <w:right w:val="single" w:sz="4" w:space="0" w:color="auto"/>
            </w:tcBorders>
            <w:shd w:val="clear" w:color="auto" w:fill="auto"/>
            <w:noWrap/>
            <w:vAlign w:val="center"/>
            <w:hideMark/>
          </w:tcPr>
          <w:p w14:paraId="0E57E45F" w14:textId="0F807268" w:rsidR="00665AEF" w:rsidRPr="006F7397" w:rsidRDefault="00665AEF" w:rsidP="00665AEF">
            <w:pPr>
              <w:spacing w:after="0"/>
              <w:jc w:val="right"/>
              <w:rPr>
                <w:rFonts w:ascii="Times New Roman" w:hAnsi="Times New Roman"/>
                <w:sz w:val="18"/>
                <w:szCs w:val="18"/>
                <w:lang w:eastAsia="en-GB"/>
              </w:rPr>
            </w:pPr>
            <w:r>
              <w:rPr>
                <w:sz w:val="18"/>
                <w:szCs w:val="18"/>
              </w:rPr>
              <w:t>171,000</w:t>
            </w:r>
          </w:p>
        </w:tc>
        <w:tc>
          <w:tcPr>
            <w:tcW w:w="1275" w:type="dxa"/>
            <w:tcBorders>
              <w:top w:val="nil"/>
              <w:left w:val="nil"/>
              <w:bottom w:val="single" w:sz="4" w:space="0" w:color="auto"/>
              <w:right w:val="single" w:sz="4" w:space="0" w:color="auto"/>
            </w:tcBorders>
            <w:shd w:val="clear" w:color="auto" w:fill="auto"/>
            <w:noWrap/>
            <w:vAlign w:val="center"/>
            <w:hideMark/>
          </w:tcPr>
          <w:p w14:paraId="5CE0BF6A" w14:textId="3633B145" w:rsidR="00665AEF" w:rsidRPr="006F7397" w:rsidRDefault="00665AEF" w:rsidP="00665AEF">
            <w:pPr>
              <w:spacing w:after="0"/>
              <w:jc w:val="right"/>
              <w:rPr>
                <w:rFonts w:ascii="Times New Roman" w:hAnsi="Times New Roman"/>
                <w:sz w:val="18"/>
                <w:szCs w:val="18"/>
                <w:lang w:eastAsia="en-GB"/>
              </w:rPr>
            </w:pPr>
            <w:r>
              <w:rPr>
                <w:sz w:val="18"/>
                <w:szCs w:val="18"/>
              </w:rPr>
              <w:t>171,000</w:t>
            </w:r>
          </w:p>
        </w:tc>
        <w:tc>
          <w:tcPr>
            <w:tcW w:w="1134" w:type="dxa"/>
            <w:tcBorders>
              <w:top w:val="nil"/>
              <w:left w:val="nil"/>
              <w:bottom w:val="single" w:sz="4" w:space="0" w:color="auto"/>
              <w:right w:val="single" w:sz="4" w:space="0" w:color="auto"/>
            </w:tcBorders>
            <w:shd w:val="clear" w:color="auto" w:fill="auto"/>
            <w:noWrap/>
            <w:vAlign w:val="center"/>
            <w:hideMark/>
          </w:tcPr>
          <w:p w14:paraId="351C3A79" w14:textId="2852DDBC" w:rsidR="00665AEF" w:rsidRPr="006F7397" w:rsidRDefault="00665AEF" w:rsidP="00665AEF">
            <w:pPr>
              <w:spacing w:after="0"/>
              <w:jc w:val="right"/>
              <w:rPr>
                <w:rFonts w:ascii="Times New Roman" w:hAnsi="Times New Roman"/>
                <w:sz w:val="18"/>
                <w:szCs w:val="18"/>
                <w:lang w:eastAsia="en-GB"/>
              </w:rPr>
            </w:pPr>
            <w:r>
              <w:rPr>
                <w:sz w:val="18"/>
                <w:szCs w:val="18"/>
              </w:rPr>
              <w:t>171,000</w:t>
            </w:r>
          </w:p>
        </w:tc>
        <w:tc>
          <w:tcPr>
            <w:tcW w:w="1276" w:type="dxa"/>
            <w:tcBorders>
              <w:top w:val="nil"/>
              <w:left w:val="nil"/>
              <w:bottom w:val="single" w:sz="4" w:space="0" w:color="auto"/>
              <w:right w:val="single" w:sz="4" w:space="0" w:color="auto"/>
            </w:tcBorders>
            <w:shd w:val="clear" w:color="auto" w:fill="auto"/>
            <w:noWrap/>
            <w:vAlign w:val="center"/>
            <w:hideMark/>
          </w:tcPr>
          <w:p w14:paraId="16FBFC31" w14:textId="468660DF" w:rsidR="00665AEF" w:rsidRPr="006F7397" w:rsidRDefault="00665AEF" w:rsidP="00665AEF">
            <w:pPr>
              <w:spacing w:after="0"/>
              <w:jc w:val="right"/>
              <w:rPr>
                <w:rFonts w:ascii="Times New Roman" w:hAnsi="Times New Roman"/>
                <w:sz w:val="18"/>
                <w:szCs w:val="18"/>
                <w:lang w:eastAsia="en-GB"/>
              </w:rPr>
            </w:pPr>
            <w:r>
              <w:rPr>
                <w:sz w:val="18"/>
                <w:szCs w:val="18"/>
              </w:rPr>
              <w:t>171,000</w:t>
            </w:r>
          </w:p>
        </w:tc>
        <w:tc>
          <w:tcPr>
            <w:tcW w:w="1121" w:type="dxa"/>
            <w:tcBorders>
              <w:top w:val="nil"/>
              <w:left w:val="nil"/>
              <w:bottom w:val="single" w:sz="4" w:space="0" w:color="auto"/>
              <w:right w:val="single" w:sz="4" w:space="0" w:color="auto"/>
            </w:tcBorders>
            <w:shd w:val="clear" w:color="auto" w:fill="auto"/>
            <w:noWrap/>
            <w:vAlign w:val="center"/>
            <w:hideMark/>
          </w:tcPr>
          <w:p w14:paraId="5C069B2C" w14:textId="1038B10E" w:rsidR="00665AEF" w:rsidRPr="006F7397" w:rsidRDefault="00665AEF" w:rsidP="00665AEF">
            <w:pPr>
              <w:spacing w:after="0"/>
              <w:jc w:val="right"/>
              <w:rPr>
                <w:rFonts w:ascii="Times New Roman" w:hAnsi="Times New Roman"/>
                <w:b/>
                <w:bCs/>
                <w:sz w:val="18"/>
                <w:szCs w:val="18"/>
                <w:lang w:eastAsia="en-GB"/>
              </w:rPr>
            </w:pPr>
            <w:r>
              <w:rPr>
                <w:b/>
                <w:bCs/>
                <w:sz w:val="18"/>
                <w:szCs w:val="18"/>
              </w:rPr>
              <w:t>855,000</w:t>
            </w:r>
          </w:p>
        </w:tc>
      </w:tr>
      <w:tr w:rsidR="00665AEF" w:rsidRPr="006F7397" w14:paraId="220A6331" w14:textId="77777777" w:rsidTr="00665AEF">
        <w:trPr>
          <w:trHeight w:val="255"/>
        </w:trPr>
        <w:tc>
          <w:tcPr>
            <w:tcW w:w="4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89FC19" w14:textId="77777777" w:rsidR="00665AEF" w:rsidRPr="006F7397" w:rsidRDefault="00665AEF" w:rsidP="00665AEF">
            <w:pPr>
              <w:spacing w:after="0"/>
              <w:jc w:val="right"/>
              <w:rPr>
                <w:rFonts w:ascii="Times New Roman" w:hAnsi="Times New Roman"/>
                <w:b/>
                <w:bCs/>
                <w:sz w:val="18"/>
                <w:szCs w:val="18"/>
                <w:lang w:eastAsia="en-GB"/>
              </w:rPr>
            </w:pPr>
            <w:r w:rsidRPr="006F7397">
              <w:rPr>
                <w:rFonts w:ascii="Times New Roman" w:hAnsi="Times New Roman"/>
                <w:b/>
                <w:bCs/>
                <w:sz w:val="18"/>
                <w:szCs w:val="18"/>
                <w:lang w:eastAsia="en-GB"/>
              </w:rPr>
              <w:t>GRAND TOTAL (GEF+co-financing)</w:t>
            </w:r>
          </w:p>
        </w:tc>
        <w:tc>
          <w:tcPr>
            <w:tcW w:w="1276" w:type="dxa"/>
            <w:tcBorders>
              <w:top w:val="nil"/>
              <w:left w:val="nil"/>
              <w:bottom w:val="single" w:sz="4" w:space="0" w:color="auto"/>
              <w:right w:val="single" w:sz="4" w:space="0" w:color="auto"/>
            </w:tcBorders>
            <w:shd w:val="clear" w:color="auto" w:fill="auto"/>
            <w:noWrap/>
            <w:vAlign w:val="center"/>
            <w:hideMark/>
          </w:tcPr>
          <w:p w14:paraId="7D9930AE" w14:textId="26BBA4A2" w:rsidR="00665AEF" w:rsidRPr="006F7397" w:rsidRDefault="00665AEF" w:rsidP="00665AEF">
            <w:pPr>
              <w:spacing w:after="0"/>
              <w:jc w:val="right"/>
              <w:rPr>
                <w:rFonts w:ascii="Times New Roman" w:hAnsi="Times New Roman"/>
                <w:b/>
                <w:bCs/>
                <w:sz w:val="18"/>
                <w:szCs w:val="18"/>
                <w:lang w:eastAsia="en-GB"/>
              </w:rPr>
            </w:pPr>
            <w:r>
              <w:rPr>
                <w:b/>
                <w:bCs/>
                <w:sz w:val="18"/>
                <w:szCs w:val="18"/>
              </w:rPr>
              <w:t>7,889,364</w:t>
            </w:r>
          </w:p>
        </w:tc>
        <w:tc>
          <w:tcPr>
            <w:tcW w:w="1134" w:type="dxa"/>
            <w:tcBorders>
              <w:top w:val="nil"/>
              <w:left w:val="nil"/>
              <w:bottom w:val="single" w:sz="4" w:space="0" w:color="auto"/>
              <w:right w:val="single" w:sz="4" w:space="0" w:color="auto"/>
            </w:tcBorders>
            <w:shd w:val="clear" w:color="auto" w:fill="auto"/>
            <w:noWrap/>
            <w:vAlign w:val="center"/>
            <w:hideMark/>
          </w:tcPr>
          <w:p w14:paraId="78ED8F19" w14:textId="443F64D7" w:rsidR="00665AEF" w:rsidRPr="006F7397" w:rsidRDefault="00665AEF" w:rsidP="00665AEF">
            <w:pPr>
              <w:spacing w:after="0"/>
              <w:jc w:val="right"/>
              <w:rPr>
                <w:rFonts w:ascii="Times New Roman" w:hAnsi="Times New Roman"/>
                <w:b/>
                <w:bCs/>
                <w:sz w:val="18"/>
                <w:szCs w:val="18"/>
                <w:lang w:eastAsia="en-GB"/>
              </w:rPr>
            </w:pPr>
            <w:r>
              <w:rPr>
                <w:b/>
                <w:bCs/>
                <w:sz w:val="18"/>
                <w:szCs w:val="18"/>
              </w:rPr>
              <w:t>16,779,364</w:t>
            </w:r>
          </w:p>
        </w:tc>
        <w:tc>
          <w:tcPr>
            <w:tcW w:w="1275" w:type="dxa"/>
            <w:tcBorders>
              <w:top w:val="nil"/>
              <w:left w:val="nil"/>
              <w:bottom w:val="single" w:sz="4" w:space="0" w:color="auto"/>
              <w:right w:val="single" w:sz="4" w:space="0" w:color="auto"/>
            </w:tcBorders>
            <w:shd w:val="clear" w:color="auto" w:fill="auto"/>
            <w:noWrap/>
            <w:vAlign w:val="center"/>
            <w:hideMark/>
          </w:tcPr>
          <w:p w14:paraId="4C97B714" w14:textId="41D820C5" w:rsidR="00665AEF" w:rsidRPr="006F7397" w:rsidRDefault="00665AEF" w:rsidP="00EF612A">
            <w:pPr>
              <w:spacing w:after="0"/>
              <w:jc w:val="right"/>
              <w:rPr>
                <w:rFonts w:ascii="Times New Roman" w:hAnsi="Times New Roman"/>
                <w:b/>
                <w:bCs/>
                <w:sz w:val="18"/>
                <w:szCs w:val="18"/>
                <w:lang w:eastAsia="en-GB"/>
              </w:rPr>
            </w:pPr>
            <w:r>
              <w:rPr>
                <w:b/>
                <w:bCs/>
                <w:sz w:val="18"/>
                <w:szCs w:val="18"/>
              </w:rPr>
              <w:t>17,674,36</w:t>
            </w:r>
            <w:r w:rsidR="00EF612A">
              <w:rPr>
                <w:b/>
                <w:bCs/>
                <w:sz w:val="18"/>
                <w:szCs w:val="18"/>
              </w:rPr>
              <w:t>5</w:t>
            </w:r>
          </w:p>
        </w:tc>
        <w:tc>
          <w:tcPr>
            <w:tcW w:w="1134" w:type="dxa"/>
            <w:tcBorders>
              <w:top w:val="nil"/>
              <w:left w:val="nil"/>
              <w:bottom w:val="single" w:sz="4" w:space="0" w:color="auto"/>
              <w:right w:val="single" w:sz="4" w:space="0" w:color="auto"/>
            </w:tcBorders>
            <w:shd w:val="clear" w:color="auto" w:fill="auto"/>
            <w:noWrap/>
            <w:vAlign w:val="center"/>
            <w:hideMark/>
          </w:tcPr>
          <w:p w14:paraId="735763FD" w14:textId="7F63A26E" w:rsidR="00665AEF" w:rsidRPr="006F7397" w:rsidRDefault="00665AEF" w:rsidP="00665AEF">
            <w:pPr>
              <w:spacing w:after="0"/>
              <w:jc w:val="right"/>
              <w:rPr>
                <w:rFonts w:ascii="Times New Roman" w:hAnsi="Times New Roman"/>
                <w:b/>
                <w:bCs/>
                <w:sz w:val="18"/>
                <w:szCs w:val="18"/>
                <w:lang w:eastAsia="en-GB"/>
              </w:rPr>
            </w:pPr>
            <w:r>
              <w:rPr>
                <w:b/>
                <w:bCs/>
                <w:sz w:val="18"/>
                <w:szCs w:val="18"/>
              </w:rPr>
              <w:t>14,531,300</w:t>
            </w:r>
          </w:p>
        </w:tc>
        <w:tc>
          <w:tcPr>
            <w:tcW w:w="1276" w:type="dxa"/>
            <w:tcBorders>
              <w:top w:val="nil"/>
              <w:left w:val="nil"/>
              <w:bottom w:val="single" w:sz="4" w:space="0" w:color="auto"/>
              <w:right w:val="single" w:sz="4" w:space="0" w:color="auto"/>
            </w:tcBorders>
            <w:shd w:val="clear" w:color="auto" w:fill="auto"/>
            <w:noWrap/>
            <w:vAlign w:val="center"/>
            <w:hideMark/>
          </w:tcPr>
          <w:p w14:paraId="7AA3C60F" w14:textId="459B2B4D" w:rsidR="00665AEF" w:rsidRPr="006F7397" w:rsidRDefault="00665AEF" w:rsidP="00665AEF">
            <w:pPr>
              <w:spacing w:after="0"/>
              <w:jc w:val="right"/>
              <w:rPr>
                <w:rFonts w:ascii="Times New Roman" w:hAnsi="Times New Roman"/>
                <w:b/>
                <w:bCs/>
                <w:sz w:val="18"/>
                <w:szCs w:val="18"/>
                <w:lang w:eastAsia="en-GB"/>
              </w:rPr>
            </w:pPr>
            <w:r>
              <w:rPr>
                <w:b/>
                <w:bCs/>
                <w:sz w:val="18"/>
                <w:szCs w:val="18"/>
              </w:rPr>
              <w:t>14,444,700</w:t>
            </w:r>
          </w:p>
        </w:tc>
        <w:tc>
          <w:tcPr>
            <w:tcW w:w="1121" w:type="dxa"/>
            <w:tcBorders>
              <w:top w:val="nil"/>
              <w:left w:val="nil"/>
              <w:bottom w:val="single" w:sz="4" w:space="0" w:color="auto"/>
              <w:right w:val="single" w:sz="4" w:space="0" w:color="auto"/>
            </w:tcBorders>
            <w:shd w:val="clear" w:color="auto" w:fill="auto"/>
            <w:noWrap/>
            <w:vAlign w:val="center"/>
            <w:hideMark/>
          </w:tcPr>
          <w:p w14:paraId="77F235E4" w14:textId="5A9BAAC3" w:rsidR="00665AEF" w:rsidRPr="006F7397" w:rsidRDefault="00665AEF" w:rsidP="00665AEF">
            <w:pPr>
              <w:spacing w:after="0"/>
              <w:jc w:val="right"/>
              <w:rPr>
                <w:rFonts w:ascii="Times New Roman" w:hAnsi="Times New Roman"/>
                <w:b/>
                <w:bCs/>
                <w:sz w:val="18"/>
                <w:szCs w:val="18"/>
                <w:lang w:eastAsia="en-GB"/>
              </w:rPr>
            </w:pPr>
            <w:r>
              <w:rPr>
                <w:b/>
                <w:bCs/>
                <w:sz w:val="18"/>
                <w:szCs w:val="18"/>
              </w:rPr>
              <w:t>71,319,094</w:t>
            </w:r>
          </w:p>
        </w:tc>
      </w:tr>
    </w:tbl>
    <w:p w14:paraId="6EA7EB10" w14:textId="1A8C7172" w:rsidR="00916671" w:rsidRDefault="00916671">
      <w:pPr>
        <w:spacing w:after="0"/>
        <w:jc w:val="left"/>
        <w:rPr>
          <w:rFonts w:cs="Arial"/>
          <w:b/>
          <w:smallCaps/>
          <w:szCs w:val="22"/>
          <w:lang w:val="en-US"/>
        </w:rPr>
      </w:pPr>
      <w:bookmarkStart w:id="67" w:name="_Toc207800914"/>
      <w:bookmarkEnd w:id="65"/>
    </w:p>
    <w:p w14:paraId="3EF3CDD6" w14:textId="77777777" w:rsidR="007E7C4B" w:rsidRDefault="007E7C4B">
      <w:pPr>
        <w:spacing w:after="0"/>
        <w:jc w:val="left"/>
        <w:rPr>
          <w:rFonts w:cs="Arial"/>
          <w:b/>
          <w:smallCaps/>
          <w:szCs w:val="22"/>
          <w:lang w:val="en-US"/>
        </w:rPr>
      </w:pPr>
      <w:r>
        <w:rPr>
          <w:rFonts w:cs="Arial"/>
          <w:b/>
          <w:smallCaps/>
          <w:szCs w:val="22"/>
          <w:lang w:val="en-US"/>
        </w:rPr>
        <w:br w:type="page"/>
      </w:r>
    </w:p>
    <w:p w14:paraId="3AF1AB51" w14:textId="1D541D46" w:rsidR="00E1433A" w:rsidRDefault="008653D7" w:rsidP="00E1433A">
      <w:pPr>
        <w:rPr>
          <w:rFonts w:cs="Arial"/>
          <w:b/>
          <w:smallCaps/>
          <w:szCs w:val="22"/>
          <w:lang w:val="en-US"/>
        </w:rPr>
      </w:pPr>
      <w:r>
        <w:rPr>
          <w:rFonts w:cs="Arial"/>
          <w:b/>
          <w:smallCaps/>
          <w:szCs w:val="22"/>
          <w:lang w:val="en-US"/>
        </w:rPr>
        <w:t>budget notes:</w:t>
      </w:r>
    </w:p>
    <w:p w14:paraId="6446087B" w14:textId="77777777" w:rsidR="008653D7" w:rsidRPr="008653D7" w:rsidRDefault="008653D7" w:rsidP="008653D7">
      <w:pPr>
        <w:rPr>
          <w:sz w:val="18"/>
          <w:szCs w:val="18"/>
          <w:lang w:val="en-US"/>
        </w:rPr>
      </w:pPr>
    </w:p>
    <w:p w14:paraId="6DC05084" w14:textId="129ECBB9" w:rsidR="008653D7" w:rsidRDefault="008653D7" w:rsidP="007D6892">
      <w:pPr>
        <w:pStyle w:val="ListParagraph"/>
        <w:numPr>
          <w:ilvl w:val="3"/>
          <w:numId w:val="23"/>
        </w:numPr>
        <w:autoSpaceDE w:val="0"/>
        <w:autoSpaceDN w:val="0"/>
        <w:adjustRightInd w:val="0"/>
        <w:ind w:left="426"/>
        <w:rPr>
          <w:rFonts w:ascii="Arial" w:hAnsi="Arial" w:cs="Arial"/>
          <w:sz w:val="18"/>
          <w:szCs w:val="18"/>
        </w:rPr>
      </w:pPr>
      <w:r w:rsidRPr="005F0F12">
        <w:rPr>
          <w:rFonts w:ascii="Arial" w:hAnsi="Arial" w:cs="Arial"/>
          <w:sz w:val="18"/>
          <w:szCs w:val="18"/>
        </w:rPr>
        <w:t xml:space="preserve">The project manager position has been estimated at 52 weeks per year at an average rate of $900 per week. As the project manager’s duties include both technical work in each component as well as management and administrative work across all components the position is divided </w:t>
      </w:r>
      <w:r w:rsidR="005F0F12" w:rsidRPr="005F0F12">
        <w:rPr>
          <w:rFonts w:ascii="Arial" w:hAnsi="Arial" w:cs="Arial"/>
          <w:sz w:val="18"/>
          <w:szCs w:val="18"/>
        </w:rPr>
        <w:t xml:space="preserve">between the </w:t>
      </w:r>
      <w:r w:rsidR="005F0F12" w:rsidRPr="00E22883">
        <w:rPr>
          <w:rFonts w:ascii="Arial" w:hAnsi="Arial" w:cs="Arial"/>
          <w:sz w:val="18"/>
          <w:szCs w:val="18"/>
        </w:rPr>
        <w:t xml:space="preserve">components (approximately </w:t>
      </w:r>
      <w:r w:rsidR="00C06B91">
        <w:rPr>
          <w:rFonts w:ascii="Arial" w:hAnsi="Arial" w:cs="Arial"/>
          <w:sz w:val="18"/>
          <w:szCs w:val="18"/>
        </w:rPr>
        <w:t>85</w:t>
      </w:r>
      <w:r w:rsidR="005F0F12" w:rsidRPr="00E22883">
        <w:rPr>
          <w:rFonts w:ascii="Arial" w:hAnsi="Arial" w:cs="Arial"/>
          <w:sz w:val="18"/>
          <w:szCs w:val="18"/>
        </w:rPr>
        <w:t>% of time),</w:t>
      </w:r>
      <w:r w:rsidR="005F0F12" w:rsidRPr="005F0F12">
        <w:rPr>
          <w:rFonts w:ascii="Arial" w:hAnsi="Arial" w:cs="Arial"/>
          <w:sz w:val="18"/>
          <w:szCs w:val="18"/>
        </w:rPr>
        <w:t xml:space="preserve"> and project management.</w:t>
      </w:r>
    </w:p>
    <w:p w14:paraId="05DDBF22" w14:textId="77777777" w:rsidR="005F0F12" w:rsidRDefault="005F0F12" w:rsidP="007D6892">
      <w:pPr>
        <w:pStyle w:val="ListParagraph"/>
        <w:numPr>
          <w:ilvl w:val="3"/>
          <w:numId w:val="23"/>
        </w:numPr>
        <w:autoSpaceDE w:val="0"/>
        <w:autoSpaceDN w:val="0"/>
        <w:adjustRightInd w:val="0"/>
        <w:ind w:left="426"/>
        <w:rPr>
          <w:rFonts w:ascii="Arial" w:hAnsi="Arial" w:cs="Arial"/>
          <w:sz w:val="18"/>
          <w:szCs w:val="18"/>
        </w:rPr>
      </w:pPr>
      <w:r>
        <w:rPr>
          <w:rFonts w:ascii="Arial" w:hAnsi="Arial" w:cs="Arial"/>
          <w:sz w:val="18"/>
          <w:szCs w:val="18"/>
        </w:rPr>
        <w:t xml:space="preserve">International consultant rates are estimated at average of $3,500 per week. </w:t>
      </w:r>
    </w:p>
    <w:p w14:paraId="26FA337A" w14:textId="77777777" w:rsidR="005F0F12" w:rsidRDefault="005F0F12" w:rsidP="007D6892">
      <w:pPr>
        <w:pStyle w:val="ListParagraph"/>
        <w:numPr>
          <w:ilvl w:val="3"/>
          <w:numId w:val="23"/>
        </w:numPr>
        <w:autoSpaceDE w:val="0"/>
        <w:autoSpaceDN w:val="0"/>
        <w:adjustRightInd w:val="0"/>
        <w:ind w:left="426"/>
        <w:rPr>
          <w:rFonts w:ascii="Arial" w:hAnsi="Arial" w:cs="Arial"/>
          <w:sz w:val="18"/>
          <w:szCs w:val="18"/>
        </w:rPr>
      </w:pPr>
      <w:r>
        <w:rPr>
          <w:rFonts w:ascii="Arial" w:hAnsi="Arial" w:cs="Arial"/>
          <w:sz w:val="18"/>
          <w:szCs w:val="18"/>
        </w:rPr>
        <w:t>National short-term consultants rates are an average of $1000 per week, and long-term local expert rates range between $550 and $750 depending on seniority.</w:t>
      </w:r>
    </w:p>
    <w:p w14:paraId="679584AB" w14:textId="77777777" w:rsidR="005F0F12" w:rsidRDefault="005F0F12" w:rsidP="007D6892">
      <w:pPr>
        <w:pStyle w:val="ListParagraph"/>
        <w:numPr>
          <w:ilvl w:val="3"/>
          <w:numId w:val="23"/>
        </w:numPr>
        <w:autoSpaceDE w:val="0"/>
        <w:autoSpaceDN w:val="0"/>
        <w:adjustRightInd w:val="0"/>
        <w:ind w:left="426"/>
        <w:rPr>
          <w:rFonts w:ascii="Arial" w:hAnsi="Arial" w:cs="Arial"/>
          <w:sz w:val="18"/>
          <w:szCs w:val="18"/>
        </w:rPr>
      </w:pPr>
      <w:r>
        <w:rPr>
          <w:rFonts w:ascii="Arial" w:hAnsi="Arial" w:cs="Arial"/>
          <w:sz w:val="18"/>
          <w:szCs w:val="18"/>
        </w:rPr>
        <w:t xml:space="preserve">Contracted services include: Outcome 1 – Communication services to support a stakeholder engagement strategy and Legal </w:t>
      </w:r>
      <w:r w:rsidR="00DD4837">
        <w:rPr>
          <w:rFonts w:ascii="Arial" w:hAnsi="Arial" w:cs="Arial"/>
          <w:sz w:val="18"/>
          <w:szCs w:val="18"/>
        </w:rPr>
        <w:t>services supporting work on adoption of strategies by akimats; Outcome 2 – Legal services related to institutional structures and development of public service contracts and engineering design services for investment proposals; Outcome 3 – Communications services related to marketing the fund, and Legal services for fund structuring; Outcome 4 – engineering design services; Outcome 5 – Legal services related to ETS procedures and Communications services related to marketing and dissemination; Project Management – annual project audit.</w:t>
      </w:r>
    </w:p>
    <w:p w14:paraId="6E0F7A8C" w14:textId="77777777" w:rsidR="00141927" w:rsidRPr="00213D8D" w:rsidRDefault="00DD4837" w:rsidP="007D6892">
      <w:pPr>
        <w:pStyle w:val="ListParagraph"/>
        <w:numPr>
          <w:ilvl w:val="3"/>
          <w:numId w:val="23"/>
        </w:numPr>
        <w:autoSpaceDE w:val="0"/>
        <w:autoSpaceDN w:val="0"/>
        <w:adjustRightInd w:val="0"/>
        <w:ind w:left="426"/>
        <w:rPr>
          <w:rFonts w:ascii="Arial" w:hAnsi="Arial" w:cs="Arial"/>
          <w:sz w:val="18"/>
          <w:szCs w:val="18"/>
        </w:rPr>
      </w:pPr>
      <w:r>
        <w:rPr>
          <w:rFonts w:ascii="Arial" w:hAnsi="Arial" w:cs="Arial"/>
          <w:sz w:val="18"/>
          <w:szCs w:val="18"/>
        </w:rPr>
        <w:t>Travel for international consultants is estimated at $3000 per return flight</w:t>
      </w:r>
      <w:r w:rsidR="00D3348A">
        <w:rPr>
          <w:rFonts w:ascii="Arial" w:hAnsi="Arial" w:cs="Arial"/>
          <w:sz w:val="18"/>
          <w:szCs w:val="18"/>
        </w:rPr>
        <w:t>, and DSA (per diem) of $310 per night</w:t>
      </w:r>
      <w:r>
        <w:rPr>
          <w:rFonts w:ascii="Arial" w:hAnsi="Arial" w:cs="Arial"/>
          <w:sz w:val="18"/>
          <w:szCs w:val="18"/>
        </w:rPr>
        <w:t>.</w:t>
      </w:r>
      <w:r w:rsidR="00D3348A">
        <w:rPr>
          <w:rFonts w:ascii="Arial" w:hAnsi="Arial" w:cs="Arial"/>
          <w:sz w:val="18"/>
          <w:szCs w:val="18"/>
        </w:rPr>
        <w:t xml:space="preserve"> 34 international flights over the 5 year project have been budgeted.</w:t>
      </w:r>
      <w:r>
        <w:rPr>
          <w:rFonts w:ascii="Arial" w:hAnsi="Arial" w:cs="Arial"/>
          <w:sz w:val="18"/>
          <w:szCs w:val="18"/>
        </w:rPr>
        <w:t xml:space="preserve"> Travel for project staff and national experts within Kazakhstan is estimated at $</w:t>
      </w:r>
      <w:r w:rsidR="00D3348A">
        <w:rPr>
          <w:rFonts w:ascii="Arial" w:hAnsi="Arial" w:cs="Arial"/>
          <w:sz w:val="18"/>
          <w:szCs w:val="18"/>
        </w:rPr>
        <w:t>200 per return journey and $100 per diem. Since work will be spread throughout the country in at least 15 cities and many experts a large amount of local travel has been budgeted – 481 trips</w:t>
      </w:r>
      <w:r w:rsidR="00141927">
        <w:rPr>
          <w:rFonts w:ascii="Arial" w:hAnsi="Arial" w:cs="Arial"/>
          <w:sz w:val="18"/>
          <w:szCs w:val="18"/>
        </w:rPr>
        <w:t xml:space="preserve"> across all components (this is an average 6.4 expert visits per city per year).</w:t>
      </w:r>
    </w:p>
    <w:p w14:paraId="62DD324F" w14:textId="19F5CC07" w:rsidR="00DD4837" w:rsidRDefault="00141927" w:rsidP="007D6892">
      <w:pPr>
        <w:pStyle w:val="ListParagraph"/>
        <w:numPr>
          <w:ilvl w:val="3"/>
          <w:numId w:val="23"/>
        </w:numPr>
        <w:autoSpaceDE w:val="0"/>
        <w:autoSpaceDN w:val="0"/>
        <w:adjustRightInd w:val="0"/>
        <w:ind w:left="426"/>
        <w:rPr>
          <w:rStyle w:val="srch-url2"/>
          <w:rFonts w:ascii="Arial" w:hAnsi="Arial" w:cs="Arial"/>
          <w:sz w:val="18"/>
          <w:szCs w:val="18"/>
        </w:rPr>
      </w:pPr>
      <w:r w:rsidRPr="00213D8D">
        <w:rPr>
          <w:rFonts w:ascii="Arial" w:hAnsi="Arial" w:cs="Arial"/>
          <w:sz w:val="18"/>
          <w:szCs w:val="18"/>
        </w:rPr>
        <w:t>$3m is allocated to the NAMA fund under outcome 3</w:t>
      </w:r>
      <w:r w:rsidR="00213D8D">
        <w:rPr>
          <w:rFonts w:ascii="Arial" w:hAnsi="Arial" w:cs="Arial"/>
          <w:sz w:val="18"/>
          <w:szCs w:val="18"/>
        </w:rPr>
        <w:t xml:space="preserve">  -</w:t>
      </w:r>
      <w:r w:rsidR="00213D8D" w:rsidRPr="00213D8D">
        <w:rPr>
          <w:rFonts w:ascii="Arial" w:hAnsi="Arial" w:cs="Arial"/>
          <w:sz w:val="18"/>
          <w:szCs w:val="18"/>
        </w:rPr>
        <w:t xml:space="preserve"> </w:t>
      </w:r>
      <w:r w:rsidR="00213D8D">
        <w:rPr>
          <w:rFonts w:ascii="Arial" w:hAnsi="Arial" w:cs="Arial"/>
          <w:sz w:val="18"/>
          <w:szCs w:val="18"/>
        </w:rPr>
        <w:t>t</w:t>
      </w:r>
      <w:r w:rsidR="00213D8D" w:rsidRPr="00213D8D">
        <w:rPr>
          <w:rFonts w:ascii="Arial" w:hAnsi="Arial" w:cs="Arial"/>
          <w:sz w:val="18"/>
          <w:szCs w:val="18"/>
        </w:rPr>
        <w:t>o be implemented fully in line with UNDP’s Guidance on Micro-Capital Grants (</w:t>
      </w:r>
      <w:hyperlink r:id="rId22" w:history="1">
        <w:r w:rsidR="00213D8D" w:rsidRPr="00F3626F">
          <w:rPr>
            <w:rStyle w:val="Hyperlink"/>
            <w:rFonts w:eastAsia="Times New Roman"/>
            <w:noProof w:val="0"/>
            <w:sz w:val="18"/>
            <w:szCs w:val="18"/>
          </w:rPr>
          <w:t>https://intranet.undp.org/global/documents/frm/Guidance-on-Micro-capital-Grants.doc</w:t>
        </w:r>
      </w:hyperlink>
      <w:r w:rsidR="00213D8D">
        <w:rPr>
          <w:rStyle w:val="srch-url2"/>
          <w:rFonts w:ascii="Arial" w:hAnsi="Arial" w:cs="Arial"/>
          <w:sz w:val="18"/>
          <w:szCs w:val="18"/>
        </w:rPr>
        <w:t>)</w:t>
      </w:r>
    </w:p>
    <w:p w14:paraId="5ADFFECD" w14:textId="77777777" w:rsidR="00141927" w:rsidRDefault="00141927" w:rsidP="007D6892">
      <w:pPr>
        <w:pStyle w:val="ListParagraph"/>
        <w:numPr>
          <w:ilvl w:val="3"/>
          <w:numId w:val="23"/>
        </w:numPr>
        <w:autoSpaceDE w:val="0"/>
        <w:autoSpaceDN w:val="0"/>
        <w:adjustRightInd w:val="0"/>
        <w:ind w:left="426"/>
        <w:rPr>
          <w:rFonts w:ascii="Arial" w:hAnsi="Arial" w:cs="Arial"/>
          <w:sz w:val="18"/>
          <w:szCs w:val="18"/>
        </w:rPr>
      </w:pPr>
      <w:r w:rsidRPr="00213D8D">
        <w:rPr>
          <w:rFonts w:ascii="Arial" w:hAnsi="Arial" w:cs="Arial"/>
          <w:sz w:val="18"/>
          <w:szCs w:val="18"/>
        </w:rPr>
        <w:t>This budget line includes incremental costs of $560</w:t>
      </w:r>
      <w:r w:rsidRPr="00141927">
        <w:rPr>
          <w:rFonts w:ascii="Arial" w:hAnsi="Arial" w:cs="Arial"/>
          <w:sz w:val="18"/>
          <w:szCs w:val="18"/>
        </w:rPr>
        <w:t>,000 allocated to the investments in Prigorodnoye</w:t>
      </w:r>
      <w:r>
        <w:rPr>
          <w:rFonts w:ascii="Arial" w:hAnsi="Arial" w:cs="Arial"/>
          <w:sz w:val="18"/>
          <w:szCs w:val="18"/>
        </w:rPr>
        <w:t>.</w:t>
      </w:r>
    </w:p>
    <w:p w14:paraId="5E3EF336" w14:textId="456F585F" w:rsidR="00141927" w:rsidRDefault="00141927" w:rsidP="007D6892">
      <w:pPr>
        <w:pStyle w:val="ListParagraph"/>
        <w:numPr>
          <w:ilvl w:val="3"/>
          <w:numId w:val="23"/>
        </w:numPr>
        <w:autoSpaceDE w:val="0"/>
        <w:autoSpaceDN w:val="0"/>
        <w:adjustRightInd w:val="0"/>
        <w:ind w:left="426"/>
        <w:rPr>
          <w:rFonts w:ascii="Arial" w:hAnsi="Arial" w:cs="Arial"/>
          <w:sz w:val="18"/>
          <w:szCs w:val="18"/>
        </w:rPr>
      </w:pPr>
      <w:r>
        <w:rPr>
          <w:rFonts w:ascii="Arial" w:hAnsi="Arial" w:cs="Arial"/>
          <w:sz w:val="18"/>
          <w:szCs w:val="18"/>
        </w:rPr>
        <w:t>A project assistant has been budgeted for 52 weeks per year at an average rate of $</w:t>
      </w:r>
      <w:r w:rsidR="00E22883">
        <w:rPr>
          <w:rFonts w:ascii="Arial" w:hAnsi="Arial" w:cs="Arial"/>
          <w:sz w:val="18"/>
          <w:szCs w:val="18"/>
        </w:rPr>
        <w:t>45</w:t>
      </w:r>
      <w:r>
        <w:rPr>
          <w:rFonts w:ascii="Arial" w:hAnsi="Arial" w:cs="Arial"/>
          <w:sz w:val="18"/>
          <w:szCs w:val="18"/>
        </w:rPr>
        <w:t>0 per week.</w:t>
      </w:r>
    </w:p>
    <w:p w14:paraId="3005384F" w14:textId="77777777" w:rsidR="008653D7" w:rsidRPr="00916671" w:rsidRDefault="008653D7" w:rsidP="007D6892">
      <w:pPr>
        <w:pStyle w:val="ListParagraph"/>
        <w:numPr>
          <w:ilvl w:val="3"/>
          <w:numId w:val="23"/>
        </w:numPr>
        <w:autoSpaceDE w:val="0"/>
        <w:autoSpaceDN w:val="0"/>
        <w:adjustRightInd w:val="0"/>
        <w:ind w:left="426"/>
        <w:rPr>
          <w:rFonts w:ascii="Arial" w:hAnsi="Arial" w:cs="Arial"/>
          <w:sz w:val="18"/>
          <w:szCs w:val="18"/>
        </w:rPr>
      </w:pPr>
      <w:r w:rsidRPr="00916671">
        <w:rPr>
          <w:rFonts w:ascii="Arial" w:hAnsi="Arial" w:cs="Arial"/>
          <w:sz w:val="18"/>
          <w:szCs w:val="18"/>
        </w:rPr>
        <w:t>This item includes workstations for the Project Manager and Project Assistant plus shared printer and networking equipment.</w:t>
      </w:r>
    </w:p>
    <w:p w14:paraId="534DF26F" w14:textId="77777777" w:rsidR="008653D7" w:rsidRPr="00916671" w:rsidRDefault="00916671" w:rsidP="007D6892">
      <w:pPr>
        <w:pStyle w:val="ListParagraph"/>
        <w:numPr>
          <w:ilvl w:val="3"/>
          <w:numId w:val="23"/>
        </w:numPr>
        <w:autoSpaceDE w:val="0"/>
        <w:autoSpaceDN w:val="0"/>
        <w:adjustRightInd w:val="0"/>
        <w:ind w:left="426"/>
        <w:rPr>
          <w:rFonts w:ascii="Arial" w:hAnsi="Arial" w:cs="Arial"/>
          <w:sz w:val="18"/>
          <w:szCs w:val="18"/>
        </w:rPr>
      </w:pPr>
      <w:r w:rsidRPr="00916671">
        <w:rPr>
          <w:rFonts w:ascii="Arial" w:hAnsi="Arial" w:cs="Arial"/>
          <w:sz w:val="18"/>
          <w:szCs w:val="18"/>
        </w:rPr>
        <w:t>T</w:t>
      </w:r>
      <w:r w:rsidR="008653D7" w:rsidRPr="00916671">
        <w:rPr>
          <w:rFonts w:ascii="Arial" w:hAnsi="Arial" w:cs="Arial"/>
          <w:sz w:val="18"/>
          <w:szCs w:val="18"/>
        </w:rPr>
        <w:t>he budget for travel for Project Management includes costs of travel by members of the Project Board, as well as some travel by the Project Manager and Project Assistant.</w:t>
      </w:r>
      <w:r w:rsidRPr="00916671">
        <w:rPr>
          <w:rFonts w:ascii="Arial" w:hAnsi="Arial" w:cs="Arial"/>
          <w:sz w:val="18"/>
          <w:szCs w:val="18"/>
        </w:rPr>
        <w:t xml:space="preserve"> </w:t>
      </w:r>
      <w:r w:rsidR="008653D7" w:rsidRPr="00916671">
        <w:rPr>
          <w:rFonts w:ascii="Arial" w:hAnsi="Arial" w:cs="Arial"/>
          <w:sz w:val="18"/>
          <w:szCs w:val="18"/>
        </w:rPr>
        <w:t>This line-item is quite modest. Most travel by Project Board members will be covered by co-financing. Most travel by project staff will be covered under technical-assistance</w:t>
      </w:r>
      <w:r>
        <w:rPr>
          <w:rFonts w:ascii="Arial" w:hAnsi="Arial" w:cs="Arial"/>
          <w:sz w:val="18"/>
          <w:szCs w:val="18"/>
        </w:rPr>
        <w:t xml:space="preserve"> </w:t>
      </w:r>
      <w:r w:rsidR="008653D7" w:rsidRPr="00916671">
        <w:rPr>
          <w:rFonts w:ascii="Arial" w:hAnsi="Arial" w:cs="Arial"/>
          <w:sz w:val="18"/>
          <w:szCs w:val="18"/>
        </w:rPr>
        <w:t>components.</w:t>
      </w:r>
    </w:p>
    <w:p w14:paraId="705A6DF4" w14:textId="77777777" w:rsidR="008653D7" w:rsidRPr="00916671" w:rsidRDefault="008653D7" w:rsidP="007D6892">
      <w:pPr>
        <w:pStyle w:val="ListParagraph"/>
        <w:numPr>
          <w:ilvl w:val="3"/>
          <w:numId w:val="23"/>
        </w:numPr>
        <w:autoSpaceDE w:val="0"/>
        <w:autoSpaceDN w:val="0"/>
        <w:adjustRightInd w:val="0"/>
        <w:ind w:left="426"/>
        <w:rPr>
          <w:rFonts w:ascii="Arial" w:hAnsi="Arial" w:cs="Arial"/>
          <w:sz w:val="18"/>
          <w:szCs w:val="18"/>
        </w:rPr>
      </w:pPr>
      <w:r w:rsidRPr="00916671">
        <w:rPr>
          <w:rFonts w:ascii="Arial" w:hAnsi="Arial" w:cs="Arial"/>
          <w:sz w:val="18"/>
          <w:szCs w:val="18"/>
        </w:rPr>
        <w:t>This item includes phone, fax, and Internet service</w:t>
      </w:r>
      <w:r w:rsidR="00916671">
        <w:rPr>
          <w:rFonts w:ascii="Arial" w:hAnsi="Arial" w:cs="Arial"/>
          <w:sz w:val="18"/>
          <w:szCs w:val="18"/>
        </w:rPr>
        <w:t>s</w:t>
      </w:r>
      <w:r w:rsidRPr="00916671">
        <w:rPr>
          <w:rFonts w:ascii="Arial" w:hAnsi="Arial" w:cs="Arial"/>
          <w:sz w:val="18"/>
          <w:szCs w:val="18"/>
        </w:rPr>
        <w:t>.</w:t>
      </w:r>
    </w:p>
    <w:p w14:paraId="58391D7B" w14:textId="77777777" w:rsidR="008653D7" w:rsidRDefault="008653D7" w:rsidP="007D6892">
      <w:pPr>
        <w:pStyle w:val="ListParagraph"/>
        <w:numPr>
          <w:ilvl w:val="3"/>
          <w:numId w:val="23"/>
        </w:numPr>
        <w:autoSpaceDE w:val="0"/>
        <w:autoSpaceDN w:val="0"/>
        <w:adjustRightInd w:val="0"/>
        <w:ind w:left="426"/>
        <w:rPr>
          <w:rFonts w:ascii="Arial" w:hAnsi="Arial" w:cs="Arial"/>
          <w:sz w:val="18"/>
          <w:szCs w:val="18"/>
        </w:rPr>
      </w:pPr>
      <w:r w:rsidRPr="008653D7">
        <w:rPr>
          <w:rFonts w:ascii="Arial" w:hAnsi="Arial" w:cs="Arial"/>
          <w:sz w:val="18"/>
          <w:szCs w:val="18"/>
        </w:rPr>
        <w:t>This item includes direct costs of project Steering Committee meetings, not including travel o</w:t>
      </w:r>
      <w:r w:rsidR="00916671">
        <w:rPr>
          <w:rFonts w:ascii="Arial" w:hAnsi="Arial" w:cs="Arial"/>
          <w:sz w:val="18"/>
          <w:szCs w:val="18"/>
        </w:rPr>
        <w:t>r paid staff or consultant time, as well as office supplies.</w:t>
      </w:r>
    </w:p>
    <w:p w14:paraId="0064EA3C" w14:textId="51496EDD" w:rsidR="00D8269C" w:rsidRPr="00D8269C" w:rsidRDefault="00D8269C" w:rsidP="007D6892">
      <w:pPr>
        <w:pStyle w:val="ListParagraph"/>
        <w:numPr>
          <w:ilvl w:val="3"/>
          <w:numId w:val="23"/>
        </w:numPr>
        <w:autoSpaceDE w:val="0"/>
        <w:autoSpaceDN w:val="0"/>
        <w:adjustRightInd w:val="0"/>
        <w:ind w:left="426"/>
        <w:rPr>
          <w:rFonts w:ascii="Arial" w:hAnsi="Arial" w:cs="Arial"/>
          <w:sz w:val="18"/>
          <w:szCs w:val="18"/>
        </w:rPr>
      </w:pPr>
      <w:r w:rsidRPr="00D8269C">
        <w:rPr>
          <w:rFonts w:ascii="Arial" w:hAnsi="Arial" w:cs="Arial"/>
          <w:sz w:val="18"/>
          <w:szCs w:val="18"/>
        </w:rPr>
        <w:t xml:space="preserve">See Annex </w:t>
      </w:r>
      <w:r>
        <w:rPr>
          <w:rFonts w:ascii="Arial" w:hAnsi="Arial" w:cs="Arial"/>
          <w:sz w:val="18"/>
          <w:szCs w:val="18"/>
        </w:rPr>
        <w:t>G</w:t>
      </w:r>
      <w:r w:rsidRPr="00D8269C">
        <w:rPr>
          <w:rFonts w:ascii="Arial" w:hAnsi="Arial" w:cs="Arial"/>
          <w:sz w:val="18"/>
          <w:szCs w:val="18"/>
        </w:rPr>
        <w:t xml:space="preserve"> for details and estimation of Project Direct Costs</w:t>
      </w:r>
    </w:p>
    <w:p w14:paraId="339F724A" w14:textId="77777777" w:rsidR="00D8269C" w:rsidRPr="00D8269C" w:rsidRDefault="00D8269C" w:rsidP="00D8269C">
      <w:pPr>
        <w:pStyle w:val="ListParagraph"/>
        <w:autoSpaceDE w:val="0"/>
        <w:autoSpaceDN w:val="0"/>
        <w:adjustRightInd w:val="0"/>
        <w:ind w:left="426"/>
        <w:rPr>
          <w:rFonts w:ascii="Arial" w:hAnsi="Arial" w:cs="Arial"/>
          <w:sz w:val="18"/>
          <w:szCs w:val="18"/>
        </w:rPr>
        <w:sectPr w:rsidR="00D8269C" w:rsidRPr="00D8269C" w:rsidSect="009B7E75">
          <w:footerReference w:type="even" r:id="rId23"/>
          <w:footerReference w:type="default" r:id="rId24"/>
          <w:pgSz w:w="15840" w:h="12240" w:orient="landscape" w:code="1"/>
          <w:pgMar w:top="720" w:right="720" w:bottom="720" w:left="720" w:header="720" w:footer="432" w:gutter="0"/>
          <w:cols w:space="708"/>
          <w:titlePg/>
          <w:docGrid w:linePitch="360"/>
        </w:sectPr>
      </w:pPr>
    </w:p>
    <w:p w14:paraId="222CCAA2" w14:textId="77777777" w:rsidR="009B02E0" w:rsidRPr="005B5602" w:rsidRDefault="00E1433A" w:rsidP="00E95FC3">
      <w:pPr>
        <w:pStyle w:val="Heading1"/>
        <w:rPr>
          <w:lang w:val="en-US"/>
        </w:rPr>
      </w:pPr>
      <w:bookmarkStart w:id="68" w:name="_Toc393449003"/>
      <w:r w:rsidRPr="005B5602">
        <w:rPr>
          <w:lang w:val="en-US"/>
        </w:rPr>
        <w:t>Management Arrangements</w:t>
      </w:r>
      <w:bookmarkEnd w:id="67"/>
      <w:bookmarkEnd w:id="68"/>
    </w:p>
    <w:p w14:paraId="2B665F40" w14:textId="77777777" w:rsidR="009B02E0" w:rsidRPr="005B5602" w:rsidRDefault="009B02E0" w:rsidP="009B02E0">
      <w:pPr>
        <w:pStyle w:val="Heading2"/>
        <w:keepLines/>
        <w:spacing w:before="200" w:after="0" w:line="276" w:lineRule="auto"/>
        <w:jc w:val="left"/>
        <w:rPr>
          <w:rFonts w:ascii="Arial" w:hAnsi="Arial"/>
        </w:rPr>
      </w:pPr>
      <w:bookmarkStart w:id="69" w:name="_Toc393449004"/>
      <w:r w:rsidRPr="005B5602">
        <w:rPr>
          <w:rFonts w:ascii="Arial" w:hAnsi="Arial"/>
        </w:rPr>
        <w:t>Project structure</w:t>
      </w:r>
      <w:bookmarkEnd w:id="69"/>
    </w:p>
    <w:p w14:paraId="1160EF26" w14:textId="77777777" w:rsidR="00E1433A" w:rsidRPr="005B5602" w:rsidRDefault="00E1433A" w:rsidP="009B02E0"/>
    <w:p w14:paraId="4EC33090" w14:textId="77777777" w:rsidR="00A3207A" w:rsidRDefault="00C00C34" w:rsidP="00685CB0">
      <w:pPr>
        <w:pStyle w:val="Bodynumbered"/>
      </w:pPr>
      <w:r w:rsidRPr="00AE14A9">
        <w:rPr>
          <w:lang w:eastAsia="en-GB"/>
        </w:rPr>
        <w:t>The project will be nationally executed</w:t>
      </w:r>
      <w:r>
        <w:rPr>
          <w:lang w:eastAsia="en-GB"/>
        </w:rPr>
        <w:t xml:space="preserve"> (NEX</w:t>
      </w:r>
      <w:r>
        <w:rPr>
          <w:rStyle w:val="FootnoteReference"/>
          <w:lang w:eastAsia="en-GB"/>
        </w:rPr>
        <w:footnoteReference w:id="30"/>
      </w:r>
      <w:r>
        <w:rPr>
          <w:lang w:eastAsia="en-GB"/>
        </w:rPr>
        <w:t>)</w:t>
      </w:r>
      <w:r w:rsidRPr="00AE14A9">
        <w:rPr>
          <w:lang w:eastAsia="en-GB"/>
        </w:rPr>
        <w:t xml:space="preserve"> by </w:t>
      </w:r>
      <w:r>
        <w:rPr>
          <w:lang w:eastAsia="en-GB"/>
        </w:rPr>
        <w:t xml:space="preserve">the Ministry of Regional Development (MRD) </w:t>
      </w:r>
      <w:r w:rsidRPr="00AE14A9">
        <w:t xml:space="preserve">that </w:t>
      </w:r>
      <w:r w:rsidRPr="00AE14A9">
        <w:rPr>
          <w:lang w:eastAsia="en-GB"/>
        </w:rPr>
        <w:t>will act both as the Implementing Partner and the Beneficiary of the project. Implementation support will be provided by the UNDP Country Office (see Project Governance Arrangements below). In its capacity of Executing Entity</w:t>
      </w:r>
      <w:r>
        <w:rPr>
          <w:lang w:eastAsia="en-GB"/>
        </w:rPr>
        <w:t>,</w:t>
      </w:r>
      <w:r w:rsidRPr="00AE14A9">
        <w:rPr>
          <w:lang w:eastAsia="en-GB"/>
        </w:rPr>
        <w:t xml:space="preserve"> </w:t>
      </w:r>
      <w:r>
        <w:rPr>
          <w:lang w:eastAsia="en-GB"/>
        </w:rPr>
        <w:t xml:space="preserve">MRD </w:t>
      </w:r>
      <w:r w:rsidRPr="00AE14A9">
        <w:rPr>
          <w:lang w:eastAsia="en-GB"/>
        </w:rPr>
        <w:t xml:space="preserve">will be responsible for overall project management. Besides, </w:t>
      </w:r>
      <w:r>
        <w:rPr>
          <w:lang w:eastAsia="en-GB"/>
        </w:rPr>
        <w:t xml:space="preserve">MRD </w:t>
      </w:r>
      <w:r w:rsidRPr="00AE14A9">
        <w:rPr>
          <w:lang w:eastAsia="en-GB"/>
        </w:rPr>
        <w:t>will be responsible for the facilitation of all project activities such as internationa</w:t>
      </w:r>
      <w:r>
        <w:rPr>
          <w:lang w:eastAsia="en-GB"/>
        </w:rPr>
        <w:t>l consultant missions, training</w:t>
      </w:r>
      <w:r w:rsidRPr="00AE14A9">
        <w:rPr>
          <w:lang w:eastAsia="en-GB"/>
        </w:rPr>
        <w:t xml:space="preserve"> for respective staff, ensuring appropriate access to project sites, relevant data, records, agencies and authorities. UNDP will provide support services including procurement and contracting, human resources management, and financial services in accordance with the relevant UNDP Rules and Procedures and Results-Based Management guidelines.</w:t>
      </w:r>
    </w:p>
    <w:p w14:paraId="312AE126" w14:textId="77777777" w:rsidR="00A3207A" w:rsidRDefault="008C5C73" w:rsidP="00685CB0">
      <w:pPr>
        <w:pStyle w:val="Bodynumbered"/>
      </w:pPr>
      <w:r w:rsidRPr="00685CB0">
        <w:rPr>
          <w:b/>
          <w:lang w:eastAsia="en-GB"/>
        </w:rPr>
        <w:t xml:space="preserve">Project governance </w:t>
      </w:r>
      <w:r w:rsidR="00C00C34" w:rsidRPr="00AE14A9">
        <w:rPr>
          <w:lang w:eastAsia="en-GB"/>
        </w:rPr>
        <w:t>structure will be aligned with UNDP’s new rules for Results Based Management and will be composed of: (i) Project Executive Group – Project Board; (ii) Project Management; (iii) Project Assurance; and (iv) Project Support. The governance structure is described below:</w:t>
      </w:r>
    </w:p>
    <w:p w14:paraId="550C4AAA" w14:textId="77777777" w:rsidR="00F5694C" w:rsidRDefault="00C00C34" w:rsidP="00F5694C">
      <w:pPr>
        <w:pStyle w:val="Bodynumbered"/>
      </w:pPr>
      <w:r w:rsidRPr="007B0C9A">
        <w:rPr>
          <w:u w:val="single"/>
          <w:lang w:eastAsia="en-GB"/>
        </w:rPr>
        <w:t>Project Executive Group:</w:t>
      </w:r>
      <w:r w:rsidRPr="007B0C9A">
        <w:rPr>
          <w:lang w:eastAsia="en-GB"/>
        </w:rPr>
        <w:t xml:space="preserve"> The Project Board </w:t>
      </w:r>
      <w:r w:rsidRPr="00F5694C">
        <w:rPr>
          <w:lang w:eastAsia="en-GB"/>
        </w:rPr>
        <w:t xml:space="preserve">(PB) will be the executive decision making body for the project, </w:t>
      </w:r>
      <w:r w:rsidRPr="00F5694C">
        <w:t xml:space="preserve">providing guidance based upon project progress assessments and related recommendations from the Project Manager (PM). </w:t>
      </w:r>
      <w:r w:rsidR="00F5694C" w:rsidRPr="005B5602">
        <w:t>The Project Board will be set up to provide strategic oversight of the Project, and ensure coordination with key baseline initiative</w:t>
      </w:r>
      <w:r w:rsidR="004A2A83">
        <w:t>s</w:t>
      </w:r>
      <w:r w:rsidR="00F5694C" w:rsidRPr="005B5602">
        <w:t xml:space="preserve"> and national investment programs</w:t>
      </w:r>
      <w:r w:rsidR="004A2A83">
        <w:t>, as well are related activities</w:t>
      </w:r>
      <w:r w:rsidR="00F5694C" w:rsidRPr="005B5602">
        <w:t xml:space="preserve">. The Board will be co-chaired by UNDP and </w:t>
      </w:r>
      <w:r w:rsidR="00F5694C">
        <w:t>Ministry of Regional Development</w:t>
      </w:r>
      <w:r w:rsidR="00F5694C" w:rsidRPr="005B5602">
        <w:t xml:space="preserve"> and will consist of nominees from key partners and stakeholders such as ME</w:t>
      </w:r>
      <w:r w:rsidR="00F5694C">
        <w:t>WR</w:t>
      </w:r>
      <w:r w:rsidR="00F5694C" w:rsidRPr="005B5602">
        <w:t xml:space="preserve">, Chamber for Housing and Communal Affairs, </w:t>
      </w:r>
      <w:r w:rsidR="00F5694C">
        <w:t>participating IFIs</w:t>
      </w:r>
      <w:r w:rsidR="00F5694C" w:rsidRPr="005B5602">
        <w:t xml:space="preserve">, Akimats (the list to be confirmed). </w:t>
      </w:r>
    </w:p>
    <w:p w14:paraId="5399501F" w14:textId="77777777" w:rsidR="00A3207A" w:rsidRDefault="00C00C34" w:rsidP="004A2A83">
      <w:pPr>
        <w:pStyle w:val="Bodynumbered"/>
        <w:numPr>
          <w:ilvl w:val="0"/>
          <w:numId w:val="0"/>
        </w:numPr>
        <w:ind w:left="720"/>
      </w:pPr>
      <w:r w:rsidRPr="00F5694C">
        <w:t>The PB will review and approve annual project reviews and work plans, technical documents, budgets and financial reports. The PB will provide general strategic and implementation guidance to the PM. It will meet annually, and make decisions by consensus. The specific rules and procedures of the PB will be decided upon at the project inception meeting. The Project Board</w:t>
      </w:r>
      <w:r w:rsidRPr="00F5694C">
        <w:rPr>
          <w:b/>
        </w:rPr>
        <w:t xml:space="preserve"> </w:t>
      </w:r>
      <w:r w:rsidRPr="00F5694C">
        <w:t>is responsible for making management decisions for a project in particular when guidance is required by the Project Manager.  The Project Board plays a critical role in project monitoring and evaluations by assuring the quality of these processes and products, and using evaluations for performance improvement, accountability and learning.  It ensures that required resources are committed and arbitrates on any conflicts within the project or negotiates a solution to any problems with external bodies. In addition, it approves the appointment and responsibilities of the Project Manager and any delegation of its Project Assurance responsibilities.  Based on the approved Annual Wo</w:t>
      </w:r>
      <w:r w:rsidRPr="00FA6D5E">
        <w:t>rk Plan, the Project Board can also consider and approve the quarterly plans (if applicable) and also approve any essential deviations from the original plans. In order to ensure UNDP’s ultimate accountability for the project results, Project Board decisio</w:t>
      </w:r>
      <w:r w:rsidRPr="00DA6C0F">
        <w:t>ns will be made in accordance with standards that shall ensure management for development resu</w:t>
      </w:r>
      <w:r w:rsidRPr="00A6220E">
        <w:t>lts, best value for money, fairness, integrity, transparency and effective international competition. In case consensus cannot be reached within the Board, the final decision shall rest with the UNDP Project Manager. The success of the project implementation is dependent upon strong project guidance, coordination and advocacy from the Project Board. The Project Management Unit (PMU) will</w:t>
      </w:r>
      <w:r w:rsidRPr="00AE14A9">
        <w:t xml:space="preserve"> be responsible for arranging </w:t>
      </w:r>
      <w:r>
        <w:t xml:space="preserve">PB </w:t>
      </w:r>
      <w:r w:rsidRPr="00AE14A9">
        <w:t xml:space="preserve">meetings, providing materials to members prior to the meeting, and delineating a clear set of meeting objectives and sub-objectives to be met. </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454"/>
        <w:gridCol w:w="2924"/>
      </w:tblGrid>
      <w:tr w:rsidR="00C00C34" w:rsidRPr="004A2A83" w14:paraId="12ACB75F" w14:textId="77777777" w:rsidTr="00685CB0">
        <w:trPr>
          <w:tblHeader/>
        </w:trPr>
        <w:tc>
          <w:tcPr>
            <w:tcW w:w="7830" w:type="dxa"/>
            <w:tcBorders>
              <w:top w:val="single" w:sz="4" w:space="0" w:color="000000"/>
              <w:left w:val="single" w:sz="4" w:space="0" w:color="000000"/>
              <w:bottom w:val="single" w:sz="4" w:space="0" w:color="000000"/>
              <w:right w:val="single" w:sz="4" w:space="0" w:color="000000"/>
            </w:tcBorders>
            <w:shd w:val="clear" w:color="auto" w:fill="FFCC00"/>
          </w:tcPr>
          <w:p w14:paraId="3BA39279" w14:textId="77777777" w:rsidR="00C00C34" w:rsidRPr="004A2A83" w:rsidRDefault="00C00C34" w:rsidP="00C00C34">
            <w:pPr>
              <w:pStyle w:val="Tabletext"/>
              <w:rPr>
                <w:rFonts w:ascii="Arial" w:hAnsi="Arial" w:cs="Arial"/>
              </w:rPr>
            </w:pPr>
            <w:r w:rsidRPr="004A2A83">
              <w:rPr>
                <w:rFonts w:ascii="Arial" w:hAnsi="Arial" w:cs="Arial"/>
              </w:rPr>
              <w:t>Functions of the Project Board</w:t>
            </w:r>
          </w:p>
        </w:tc>
        <w:tc>
          <w:tcPr>
            <w:tcW w:w="3319" w:type="dxa"/>
            <w:tcBorders>
              <w:top w:val="single" w:sz="4" w:space="0" w:color="000000"/>
              <w:left w:val="single" w:sz="4" w:space="0" w:color="000000"/>
              <w:bottom w:val="single" w:sz="4" w:space="0" w:color="000000"/>
              <w:right w:val="single" w:sz="4" w:space="0" w:color="000000"/>
            </w:tcBorders>
            <w:shd w:val="clear" w:color="auto" w:fill="FFCC00"/>
          </w:tcPr>
          <w:p w14:paraId="0D37044D" w14:textId="77777777" w:rsidR="00C00C34" w:rsidRPr="004A2A83" w:rsidRDefault="00C00C34" w:rsidP="00C00C34">
            <w:pPr>
              <w:pStyle w:val="Tabletext"/>
              <w:rPr>
                <w:rFonts w:ascii="Arial" w:hAnsi="Arial" w:cs="Arial"/>
              </w:rPr>
            </w:pPr>
            <w:r w:rsidRPr="004A2A83">
              <w:rPr>
                <w:rFonts w:ascii="Arial" w:hAnsi="Arial" w:cs="Arial"/>
              </w:rPr>
              <w:t>Representation</w:t>
            </w:r>
          </w:p>
        </w:tc>
      </w:tr>
      <w:tr w:rsidR="00C00C34" w:rsidRPr="004A2A83" w14:paraId="1638E8BD" w14:textId="77777777" w:rsidTr="00C00C34">
        <w:tc>
          <w:tcPr>
            <w:tcW w:w="7830" w:type="dxa"/>
            <w:tcBorders>
              <w:top w:val="single" w:sz="4" w:space="0" w:color="000000"/>
              <w:left w:val="single" w:sz="4" w:space="0" w:color="000000"/>
              <w:bottom w:val="single" w:sz="4" w:space="0" w:color="000000"/>
              <w:right w:val="single" w:sz="4" w:space="0" w:color="000000"/>
            </w:tcBorders>
          </w:tcPr>
          <w:p w14:paraId="0703703C" w14:textId="77777777" w:rsidR="00C00C34" w:rsidRPr="004A2A83" w:rsidRDefault="00C00C34" w:rsidP="00C00C34">
            <w:pPr>
              <w:pStyle w:val="Tabletext"/>
              <w:rPr>
                <w:rFonts w:ascii="Arial" w:hAnsi="Arial" w:cs="Arial"/>
              </w:rPr>
            </w:pPr>
            <w:r w:rsidRPr="004A2A83">
              <w:rPr>
                <w:rFonts w:ascii="Arial" w:hAnsi="Arial" w:cs="Arial"/>
                <w:bCs/>
              </w:rPr>
              <w:t>Executive</w:t>
            </w:r>
            <w:r w:rsidRPr="004A2A83">
              <w:rPr>
                <w:rFonts w:ascii="Arial" w:hAnsi="Arial" w:cs="Arial"/>
              </w:rPr>
              <w:t>: individual representing the project ownership to chair the group.</w:t>
            </w:r>
          </w:p>
          <w:p w14:paraId="29F57488" w14:textId="77777777" w:rsidR="00C00C34" w:rsidRPr="004A2A83" w:rsidRDefault="00C00C34" w:rsidP="00C00C34">
            <w:pPr>
              <w:pStyle w:val="Tabletext"/>
              <w:rPr>
                <w:rFonts w:ascii="Arial" w:hAnsi="Arial" w:cs="Arial"/>
              </w:rPr>
            </w:pPr>
          </w:p>
        </w:tc>
        <w:tc>
          <w:tcPr>
            <w:tcW w:w="3319" w:type="dxa"/>
            <w:tcBorders>
              <w:top w:val="single" w:sz="4" w:space="0" w:color="000000"/>
              <w:left w:val="single" w:sz="4" w:space="0" w:color="000000"/>
              <w:bottom w:val="single" w:sz="4" w:space="0" w:color="000000"/>
              <w:right w:val="single" w:sz="4" w:space="0" w:color="000000"/>
            </w:tcBorders>
          </w:tcPr>
          <w:p w14:paraId="48844ADD" w14:textId="77777777" w:rsidR="00C00C34" w:rsidRPr="004A2A83" w:rsidRDefault="007B0C9A" w:rsidP="007B0C9A">
            <w:pPr>
              <w:pStyle w:val="Tabletext"/>
              <w:rPr>
                <w:rFonts w:ascii="Arial" w:hAnsi="Arial" w:cs="Arial"/>
              </w:rPr>
            </w:pPr>
            <w:r w:rsidRPr="004A2A83">
              <w:rPr>
                <w:rFonts w:ascii="Arial" w:hAnsi="Arial" w:cs="Arial"/>
                <w:lang w:eastAsia="en-GB"/>
              </w:rPr>
              <w:t>MRD</w:t>
            </w:r>
            <w:r w:rsidR="00C00C34" w:rsidRPr="004A2A83">
              <w:rPr>
                <w:rFonts w:ascii="Arial" w:hAnsi="Arial" w:cs="Arial"/>
                <w:lang w:eastAsia="en-GB"/>
              </w:rPr>
              <w:t xml:space="preserve">, </w:t>
            </w:r>
            <w:r w:rsidRPr="004A2A83">
              <w:rPr>
                <w:rFonts w:ascii="Arial" w:hAnsi="Arial" w:cs="Arial"/>
                <w:lang w:eastAsia="en-GB"/>
              </w:rPr>
              <w:t>Vice-Minister</w:t>
            </w:r>
            <w:r w:rsidR="00C00C34" w:rsidRPr="004A2A83">
              <w:rPr>
                <w:rFonts w:ascii="Arial" w:hAnsi="Arial" w:cs="Arial"/>
                <w:lang w:eastAsia="en-GB"/>
              </w:rPr>
              <w:t xml:space="preserve"> will convene the Project Board’s meetings. </w:t>
            </w:r>
          </w:p>
        </w:tc>
      </w:tr>
      <w:tr w:rsidR="00C00C34" w:rsidRPr="004A2A83" w14:paraId="7B3395C3" w14:textId="77777777" w:rsidTr="00C00C34">
        <w:tc>
          <w:tcPr>
            <w:tcW w:w="7830" w:type="dxa"/>
            <w:tcBorders>
              <w:top w:val="single" w:sz="4" w:space="0" w:color="000000"/>
              <w:left w:val="single" w:sz="4" w:space="0" w:color="000000"/>
              <w:bottom w:val="single" w:sz="4" w:space="0" w:color="000000"/>
              <w:right w:val="single" w:sz="4" w:space="0" w:color="000000"/>
            </w:tcBorders>
          </w:tcPr>
          <w:p w14:paraId="20455615" w14:textId="77777777" w:rsidR="00C00C34" w:rsidRPr="004A2A83" w:rsidRDefault="00C00C34" w:rsidP="00C00C34">
            <w:pPr>
              <w:pStyle w:val="Tabletext"/>
              <w:rPr>
                <w:rFonts w:ascii="Arial" w:hAnsi="Arial" w:cs="Arial"/>
              </w:rPr>
            </w:pPr>
            <w:r w:rsidRPr="004A2A83">
              <w:rPr>
                <w:rFonts w:ascii="Arial" w:hAnsi="Arial" w:cs="Arial"/>
                <w:bCs/>
              </w:rPr>
              <w:t>Senior Supplier</w:t>
            </w:r>
            <w:r w:rsidRPr="004A2A83">
              <w:rPr>
                <w:rFonts w:ascii="Arial" w:hAnsi="Arial" w:cs="Arial"/>
              </w:rPr>
              <w:t xml:space="preserve">: individual or group representing the interests of the parties concerned, which provide funding for specific cost sharing projects and/or technical expertise to the project. The Senior Supplier’s primary function within the Board is to provide guidance regarding the technical feasibility of the project.   </w:t>
            </w:r>
          </w:p>
        </w:tc>
        <w:tc>
          <w:tcPr>
            <w:tcW w:w="3319" w:type="dxa"/>
            <w:tcBorders>
              <w:top w:val="single" w:sz="4" w:space="0" w:color="000000"/>
              <w:left w:val="single" w:sz="4" w:space="0" w:color="000000"/>
              <w:bottom w:val="single" w:sz="4" w:space="0" w:color="000000"/>
              <w:right w:val="single" w:sz="4" w:space="0" w:color="000000"/>
            </w:tcBorders>
          </w:tcPr>
          <w:p w14:paraId="1F0418AE" w14:textId="77777777" w:rsidR="00C00C34" w:rsidRPr="004A2A83" w:rsidRDefault="00C00C34" w:rsidP="00C00C34">
            <w:pPr>
              <w:pStyle w:val="Tabletext"/>
              <w:rPr>
                <w:rFonts w:ascii="Arial" w:hAnsi="Arial" w:cs="Arial"/>
              </w:rPr>
            </w:pPr>
            <w:r w:rsidRPr="004A2A83">
              <w:rPr>
                <w:rFonts w:ascii="Arial" w:hAnsi="Arial" w:cs="Arial"/>
                <w:lang w:eastAsia="en-GB"/>
              </w:rPr>
              <w:t>UNDP DRR, or a designated UNDP Development Advisor</w:t>
            </w:r>
          </w:p>
        </w:tc>
      </w:tr>
      <w:tr w:rsidR="00C00C34" w:rsidRPr="004A2A83" w14:paraId="1C0E733C" w14:textId="77777777" w:rsidTr="00C00C34">
        <w:tc>
          <w:tcPr>
            <w:tcW w:w="7830" w:type="dxa"/>
            <w:tcBorders>
              <w:top w:val="single" w:sz="4" w:space="0" w:color="000000"/>
              <w:left w:val="single" w:sz="4" w:space="0" w:color="000000"/>
              <w:bottom w:val="single" w:sz="4" w:space="0" w:color="000000"/>
              <w:right w:val="single" w:sz="4" w:space="0" w:color="000000"/>
            </w:tcBorders>
          </w:tcPr>
          <w:p w14:paraId="05054FC8" w14:textId="77777777" w:rsidR="00C00C34" w:rsidRPr="004A2A83" w:rsidRDefault="00C00C34" w:rsidP="00C00C34">
            <w:pPr>
              <w:pStyle w:val="Tabletext"/>
              <w:rPr>
                <w:rFonts w:ascii="Arial" w:hAnsi="Arial" w:cs="Arial"/>
              </w:rPr>
            </w:pPr>
            <w:r w:rsidRPr="004A2A83">
              <w:rPr>
                <w:rFonts w:ascii="Arial" w:hAnsi="Arial" w:cs="Arial"/>
                <w:bCs/>
              </w:rPr>
              <w:t>Senior Beneficiary</w:t>
            </w:r>
            <w:r w:rsidRPr="004A2A83">
              <w:rPr>
                <w:rFonts w:ascii="Arial" w:hAnsi="Arial" w:cs="Arial"/>
              </w:rPr>
              <w:t xml:space="preserve">: individual or group of individuals representing the interests of those who will ultimately benefit from the project. The Senior Beneficiary’s primary function within the Board is to ensure the realization of project results from the perspective of project beneficiaries. </w:t>
            </w:r>
          </w:p>
        </w:tc>
        <w:tc>
          <w:tcPr>
            <w:tcW w:w="3319" w:type="dxa"/>
            <w:tcBorders>
              <w:top w:val="single" w:sz="4" w:space="0" w:color="000000"/>
              <w:left w:val="single" w:sz="4" w:space="0" w:color="000000"/>
              <w:bottom w:val="single" w:sz="4" w:space="0" w:color="000000"/>
              <w:right w:val="single" w:sz="4" w:space="0" w:color="000000"/>
            </w:tcBorders>
          </w:tcPr>
          <w:p w14:paraId="37D25B89" w14:textId="77777777" w:rsidR="00C00C34" w:rsidRPr="004A2A83" w:rsidRDefault="007B0C9A" w:rsidP="00C00C34">
            <w:pPr>
              <w:pStyle w:val="Tabletext"/>
              <w:rPr>
                <w:rFonts w:ascii="Arial" w:hAnsi="Arial" w:cs="Arial"/>
              </w:rPr>
            </w:pPr>
            <w:r w:rsidRPr="004A2A83">
              <w:rPr>
                <w:rFonts w:ascii="Arial" w:hAnsi="Arial" w:cs="Arial"/>
                <w:lang w:eastAsia="en-GB"/>
              </w:rPr>
              <w:t>MRD</w:t>
            </w:r>
          </w:p>
        </w:tc>
      </w:tr>
      <w:tr w:rsidR="00C00C34" w:rsidRPr="004A2A83" w14:paraId="3E7245BF" w14:textId="77777777" w:rsidTr="00C00C34">
        <w:tc>
          <w:tcPr>
            <w:tcW w:w="7830" w:type="dxa"/>
            <w:tcBorders>
              <w:top w:val="single" w:sz="4" w:space="0" w:color="000000"/>
              <w:left w:val="single" w:sz="4" w:space="0" w:color="000000"/>
              <w:bottom w:val="single" w:sz="4" w:space="0" w:color="000000"/>
              <w:right w:val="single" w:sz="4" w:space="0" w:color="000000"/>
            </w:tcBorders>
          </w:tcPr>
          <w:p w14:paraId="71677DD1" w14:textId="77777777" w:rsidR="00C00C34" w:rsidRPr="004A2A83" w:rsidRDefault="00C00C34" w:rsidP="00C00C34">
            <w:pPr>
              <w:pStyle w:val="Tabletext"/>
              <w:rPr>
                <w:rFonts w:ascii="Arial" w:hAnsi="Arial" w:cs="Arial"/>
              </w:rPr>
            </w:pPr>
            <w:r w:rsidRPr="004A2A83">
              <w:rPr>
                <w:rFonts w:ascii="Arial" w:hAnsi="Arial" w:cs="Arial"/>
                <w:bCs/>
              </w:rPr>
              <w:t xml:space="preserve">Project Assurance: </w:t>
            </w:r>
            <w:r w:rsidRPr="004A2A83">
              <w:rPr>
                <w:rFonts w:ascii="Arial" w:hAnsi="Arial" w:cs="Arial"/>
              </w:rPr>
              <w:t xml:space="preserve">supports the Project Board Executive by carrying out objective and independent project oversight and monitoring functions.  The Project Manager and Project Assurance roles should never be held by the same individual for the same project.  </w:t>
            </w:r>
          </w:p>
        </w:tc>
        <w:tc>
          <w:tcPr>
            <w:tcW w:w="3319" w:type="dxa"/>
            <w:tcBorders>
              <w:top w:val="single" w:sz="4" w:space="0" w:color="000000"/>
              <w:left w:val="single" w:sz="4" w:space="0" w:color="000000"/>
              <w:bottom w:val="single" w:sz="4" w:space="0" w:color="000000"/>
              <w:right w:val="single" w:sz="4" w:space="0" w:color="000000"/>
            </w:tcBorders>
          </w:tcPr>
          <w:p w14:paraId="2A529D88" w14:textId="77777777" w:rsidR="00C00C34" w:rsidRPr="004A2A83" w:rsidRDefault="00C00C34" w:rsidP="00C00C34">
            <w:pPr>
              <w:pStyle w:val="Tabletext"/>
              <w:rPr>
                <w:rFonts w:ascii="Arial" w:hAnsi="Arial" w:cs="Arial"/>
              </w:rPr>
            </w:pPr>
            <w:r w:rsidRPr="004A2A83">
              <w:rPr>
                <w:rFonts w:ascii="Arial" w:hAnsi="Arial" w:cs="Arial"/>
              </w:rPr>
              <w:t>UNDP Staff member</w:t>
            </w:r>
          </w:p>
        </w:tc>
      </w:tr>
    </w:tbl>
    <w:p w14:paraId="40EA73F9" w14:textId="77777777" w:rsidR="00C00C34" w:rsidRPr="00AE14A9" w:rsidRDefault="00C00C34" w:rsidP="00C00C34">
      <w:pPr>
        <w:pStyle w:val="Footer"/>
        <w:tabs>
          <w:tab w:val="left" w:pos="556"/>
        </w:tabs>
      </w:pPr>
    </w:p>
    <w:p w14:paraId="7D6FEB26" w14:textId="77777777" w:rsidR="00A3207A" w:rsidRPr="004A2A83" w:rsidRDefault="00C00C34" w:rsidP="00685CB0">
      <w:pPr>
        <w:pStyle w:val="Bodynumbered"/>
        <w:rPr>
          <w:rStyle w:val="Emphasis"/>
          <w:rFonts w:cs="Arial"/>
          <w:lang w:val="en-US"/>
        </w:rPr>
      </w:pPr>
      <w:r w:rsidRPr="00F5694C">
        <w:t>Project Management. The National Project Manager will be tasked with the day-to-day management of project activities, as well as with financial and administrative reporting. The Project Manager will be responsible for project implementation and</w:t>
      </w:r>
      <w:r w:rsidRPr="00D2490E">
        <w:t xml:space="preserve"> will be guided by Annual Work Plans and follow the RBM standards. The Project Manager will prepare Annual Work plans in advance of each successive year and submit them to the Project Executive Group for approval. The National Project Manager will be supported by the Admin/Finance Assistant and by one rayon field director, one at the pilot rayon level. The National Project Manager will have the authority to run the project on a daily basis on behalf of the Implementing Partner within the constraints laid down by the Group. PM’s prime responsibility is to ensure that the project produces the planned outputs and achieves the planned indicators by undertaking necessary activities specified in the project document to the required standard of quality and within the specified constraints of time and cost. This will require linking the indicators to the work pla</w:t>
      </w:r>
      <w:r w:rsidRPr="00DC6DA9">
        <w:t>n to ensure RBM</w:t>
      </w:r>
      <w:r w:rsidRPr="004A2A83">
        <w:rPr>
          <w:rFonts w:cs="Arial"/>
        </w:rPr>
        <w:t>.</w:t>
      </w:r>
      <w:r w:rsidRPr="004A2A83">
        <w:rPr>
          <w:rStyle w:val="Emphasis"/>
          <w:rFonts w:cs="Arial"/>
        </w:rPr>
        <w:t xml:space="preserve">  </w:t>
      </w:r>
    </w:p>
    <w:p w14:paraId="499D0CE3" w14:textId="77777777" w:rsidR="00A3207A" w:rsidRDefault="00C00C34" w:rsidP="00685CB0">
      <w:pPr>
        <w:pStyle w:val="Bodynumbered"/>
      </w:pPr>
      <w:r w:rsidRPr="00AE14A9">
        <w:t>Project Assurance</w:t>
      </w:r>
      <w:r>
        <w:t>:</w:t>
      </w:r>
      <w:r w:rsidRPr="00AE14A9">
        <w:t xml:space="preserve"> UNDP will designate a Development Advisor to provide independent project oversight and monitoring functions, to ensure that project activities are managed and milestones accomplished. The UNDP Development Advisor will be responsible for reviewing Risk, Issues and Lessons Learned logs, and ensuring compliance with the Monitoring and Communications Plan. The UNDP-GEF Regional Technical Advisor will also play an important project assurance role by supporting the annual APR/PIR process. </w:t>
      </w:r>
    </w:p>
    <w:p w14:paraId="29043283" w14:textId="77777777" w:rsidR="00C00C34" w:rsidRDefault="00C00C34" w:rsidP="00C00C34">
      <w:pPr>
        <w:pStyle w:val="Bodynumbered"/>
      </w:pPr>
      <w:r w:rsidRPr="00C00C34">
        <w:rPr>
          <w:u w:val="single"/>
          <w:lang w:eastAsia="en-GB"/>
        </w:rPr>
        <w:t>Project Support:</w:t>
      </w:r>
      <w:r w:rsidRPr="00AE14A9">
        <w:rPr>
          <w:lang w:eastAsia="en-GB"/>
        </w:rPr>
        <w:t xml:space="preserve"> UNDP will provide financial and administrative support to the project including procurement, contracting, travel and payments.</w:t>
      </w:r>
    </w:p>
    <w:p w14:paraId="2112A176" w14:textId="77777777" w:rsidR="0021677F" w:rsidRDefault="0021677F" w:rsidP="0021677F">
      <w:pPr>
        <w:pStyle w:val="Bodynumbered"/>
        <w:numPr>
          <w:ilvl w:val="0"/>
          <w:numId w:val="0"/>
        </w:numPr>
        <w:ind w:left="720" w:hanging="360"/>
      </w:pPr>
    </w:p>
    <w:p w14:paraId="62C8E57C" w14:textId="77777777" w:rsidR="00685CB0" w:rsidRDefault="008276A4" w:rsidP="00685CB0">
      <w:r>
        <w:rPr>
          <w:rFonts w:ascii="Times New Roman" w:hAnsi="Times New Roman"/>
          <w:i/>
          <w:noProof/>
          <w:lang w:val="en-US"/>
        </w:rPr>
        <mc:AlternateContent>
          <mc:Choice Requires="wpg">
            <w:drawing>
              <wp:inline distT="0" distB="0" distL="0" distR="0" wp14:anchorId="64CCE6F4" wp14:editId="23C4F988">
                <wp:extent cx="5825490" cy="3771900"/>
                <wp:effectExtent l="0" t="0" r="22860" b="57150"/>
                <wp:docPr id="4" name="Group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825490" cy="3771900"/>
                          <a:chOff x="1440" y="4848"/>
                          <a:chExt cx="9360" cy="5760"/>
                        </a:xfrm>
                      </wpg:grpSpPr>
                      <wps:wsp>
                        <wps:cNvPr id="6" name="AutoShape 11"/>
                        <wps:cNvSpPr>
                          <a:spLocks noChangeAspect="1" noChangeArrowheads="1" noTextEdit="1"/>
                        </wps:cNvSpPr>
                        <wps:spPr bwMode="auto">
                          <a:xfrm>
                            <a:off x="1440" y="4848"/>
                            <a:ext cx="9360" cy="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Rectangle 12"/>
                        <wps:cNvSpPr>
                          <a:spLocks noChangeArrowheads="1"/>
                        </wps:cNvSpPr>
                        <wps:spPr bwMode="auto">
                          <a:xfrm>
                            <a:off x="4860" y="7909"/>
                            <a:ext cx="2160" cy="89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41481A7" w14:textId="77777777" w:rsidR="00BA2E09" w:rsidRDefault="00BA2E09" w:rsidP="00685CB0">
                              <w:pPr>
                                <w:jc w:val="center"/>
                                <w:rPr>
                                  <w:b/>
                                  <w:sz w:val="18"/>
                                  <w:szCs w:val="18"/>
                                </w:rPr>
                              </w:pPr>
                            </w:p>
                            <w:p w14:paraId="11BEB0EC" w14:textId="77777777" w:rsidR="00BA2E09" w:rsidRDefault="00BA2E09" w:rsidP="00685CB0">
                              <w:pPr>
                                <w:jc w:val="center"/>
                                <w:rPr>
                                  <w:b/>
                                  <w:sz w:val="18"/>
                                  <w:szCs w:val="18"/>
                                </w:rPr>
                              </w:pPr>
                              <w:r>
                                <w:rPr>
                                  <w:b/>
                                  <w:sz w:val="18"/>
                                  <w:szCs w:val="18"/>
                                </w:rPr>
                                <w:t>Project Manager</w:t>
                              </w:r>
                            </w:p>
                            <w:p w14:paraId="5B960BA0" w14:textId="77777777" w:rsidR="00BA2E09" w:rsidRPr="00EB563F" w:rsidRDefault="00BA2E09" w:rsidP="00685CB0">
                              <w:pPr>
                                <w:jc w:val="center"/>
                                <w:rPr>
                                  <w:sz w:val="20"/>
                                  <w:szCs w:val="20"/>
                                </w:rPr>
                              </w:pPr>
                            </w:p>
                          </w:txbxContent>
                        </wps:txbx>
                        <wps:bodyPr rot="0" vert="horz" wrap="square" lIns="91440" tIns="45720" rIns="91440" bIns="45720" anchor="t" anchorCtr="0" upright="1">
                          <a:noAutofit/>
                        </wps:bodyPr>
                      </wps:wsp>
                      <wps:wsp>
                        <wps:cNvPr id="8" name="Rectangle 13"/>
                        <wps:cNvSpPr>
                          <a:spLocks noChangeArrowheads="1"/>
                        </wps:cNvSpPr>
                        <wps:spPr bwMode="auto">
                          <a:xfrm>
                            <a:off x="2340" y="5748"/>
                            <a:ext cx="7380" cy="46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305DD13" w14:textId="77777777" w:rsidR="00BA2E09" w:rsidRDefault="00BA2E09" w:rsidP="00685CB0">
                              <w:pPr>
                                <w:jc w:val="center"/>
                                <w:rPr>
                                  <w:b/>
                                </w:rPr>
                              </w:pPr>
                              <w:r>
                                <w:rPr>
                                  <w:b/>
                                </w:rPr>
                                <w:t>Project Board (PB)</w:t>
                              </w:r>
                            </w:p>
                          </w:txbxContent>
                        </wps:txbx>
                        <wps:bodyPr rot="0" vert="horz" wrap="square" lIns="91440" tIns="45720" rIns="91440" bIns="45720" anchor="t" anchorCtr="0" upright="1">
                          <a:noAutofit/>
                        </wps:bodyPr>
                      </wps:wsp>
                      <wps:wsp>
                        <wps:cNvPr id="9" name="Rectangle 14"/>
                        <wps:cNvSpPr>
                          <a:spLocks noChangeArrowheads="1"/>
                        </wps:cNvSpPr>
                        <wps:spPr bwMode="auto">
                          <a:xfrm>
                            <a:off x="2340" y="6108"/>
                            <a:ext cx="234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B5CF613" w14:textId="77777777" w:rsidR="00BA2E09" w:rsidRDefault="00BA2E09" w:rsidP="00685CB0">
                              <w:pPr>
                                <w:jc w:val="center"/>
                                <w:rPr>
                                  <w:b/>
                                  <w:bCs/>
                                  <w:sz w:val="18"/>
                                  <w:szCs w:val="18"/>
                                </w:rPr>
                              </w:pPr>
                              <w:r w:rsidRPr="00CA0EEF">
                                <w:rPr>
                                  <w:b/>
                                  <w:bCs/>
                                  <w:sz w:val="18"/>
                                  <w:szCs w:val="18"/>
                                </w:rPr>
                                <w:t xml:space="preserve">Senior </w:t>
                              </w:r>
                              <w:r>
                                <w:rPr>
                                  <w:b/>
                                  <w:bCs/>
                                  <w:sz w:val="18"/>
                                  <w:szCs w:val="18"/>
                                </w:rPr>
                                <w:t xml:space="preserve">Beneficiary:  </w:t>
                              </w:r>
                            </w:p>
                            <w:p w14:paraId="28590FFE" w14:textId="77777777" w:rsidR="00BA2E09" w:rsidRPr="00D82B11" w:rsidRDefault="00BA2E09" w:rsidP="00685CB0">
                              <w:pPr>
                                <w:jc w:val="center"/>
                                <w:rPr>
                                  <w:sz w:val="18"/>
                                  <w:szCs w:val="18"/>
                                </w:rPr>
                              </w:pPr>
                              <w:r>
                                <w:rPr>
                                  <w:spacing w:val="-2"/>
                                  <w:sz w:val="20"/>
                                  <w:szCs w:val="20"/>
                                  <w:lang w:eastAsia="en-GB"/>
                                </w:rPr>
                                <w:t>MRD &amp; MEWR</w:t>
                              </w:r>
                            </w:p>
                          </w:txbxContent>
                        </wps:txbx>
                        <wps:bodyPr rot="0" vert="horz" wrap="square" lIns="91440" tIns="45720" rIns="91440" bIns="45720" anchor="t" anchorCtr="0" upright="1">
                          <a:noAutofit/>
                        </wps:bodyPr>
                      </wps:wsp>
                      <wps:wsp>
                        <wps:cNvPr id="10" name="Rectangle 15"/>
                        <wps:cNvSpPr>
                          <a:spLocks noChangeArrowheads="1"/>
                        </wps:cNvSpPr>
                        <wps:spPr bwMode="auto">
                          <a:xfrm>
                            <a:off x="468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A20D526" w14:textId="77777777" w:rsidR="00BA2E09" w:rsidRPr="00267911" w:rsidRDefault="00BA2E09" w:rsidP="00685CB0">
                              <w:pPr>
                                <w:spacing w:before="100" w:beforeAutospacing="1" w:after="100" w:afterAutospacing="1"/>
                                <w:jc w:val="center"/>
                                <w:rPr>
                                  <w:rFonts w:cs="Arial"/>
                                  <w:sz w:val="20"/>
                                  <w:szCs w:val="20"/>
                                </w:rPr>
                              </w:pPr>
                              <w:r w:rsidRPr="00CA0EEF">
                                <w:rPr>
                                  <w:b/>
                                  <w:sz w:val="18"/>
                                  <w:szCs w:val="18"/>
                                </w:rPr>
                                <w:t>Executive</w:t>
                              </w:r>
                              <w:r>
                                <w:rPr>
                                  <w:b/>
                                  <w:sz w:val="18"/>
                                  <w:szCs w:val="18"/>
                                </w:rPr>
                                <w:t>:</w:t>
                              </w:r>
                              <w:r>
                                <w:rPr>
                                  <w:rFonts w:cs="Arial"/>
                                  <w:sz w:val="20"/>
                                  <w:szCs w:val="20"/>
                                </w:rPr>
                                <w:t xml:space="preserve"> MRD</w:t>
                              </w:r>
                            </w:p>
                            <w:p w14:paraId="489DDD5C" w14:textId="77777777" w:rsidR="00BA2E09" w:rsidRPr="00EB563F" w:rsidRDefault="00BA2E09" w:rsidP="00685CB0">
                              <w:pPr>
                                <w:jc w:val="center"/>
                                <w:rPr>
                                  <w:b/>
                                  <w:sz w:val="20"/>
                                  <w:szCs w:val="20"/>
                                </w:rPr>
                              </w:pPr>
                            </w:p>
                          </w:txbxContent>
                        </wps:txbx>
                        <wps:bodyPr rot="0" vert="horz" wrap="square" lIns="91440" tIns="45720" rIns="91440" bIns="45720" anchor="t" anchorCtr="0" upright="1">
                          <a:noAutofit/>
                        </wps:bodyPr>
                      </wps:wsp>
                      <wps:wsp>
                        <wps:cNvPr id="11" name="Rectangle 16"/>
                        <wps:cNvSpPr>
                          <a:spLocks noChangeArrowheads="1"/>
                        </wps:cNvSpPr>
                        <wps:spPr bwMode="auto">
                          <a:xfrm>
                            <a:off x="7200" y="6108"/>
                            <a:ext cx="2520" cy="9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987C9BA" w14:textId="77777777" w:rsidR="00BA2E09" w:rsidRPr="00CA0EEF" w:rsidRDefault="00BA2E09" w:rsidP="00685CB0">
                              <w:pPr>
                                <w:jc w:val="center"/>
                                <w:rPr>
                                  <w:b/>
                                  <w:bCs/>
                                  <w:sz w:val="18"/>
                                  <w:szCs w:val="18"/>
                                </w:rPr>
                              </w:pPr>
                              <w:r w:rsidRPr="00CA0EEF">
                                <w:rPr>
                                  <w:b/>
                                  <w:bCs/>
                                  <w:sz w:val="18"/>
                                  <w:szCs w:val="18"/>
                                </w:rPr>
                                <w:t>Senior Supplier</w:t>
                              </w:r>
                              <w:r>
                                <w:rPr>
                                  <w:b/>
                                  <w:bCs/>
                                  <w:sz w:val="18"/>
                                  <w:szCs w:val="18"/>
                                </w:rPr>
                                <w:t>:</w:t>
                              </w:r>
                            </w:p>
                            <w:p w14:paraId="4952D988" w14:textId="77777777" w:rsidR="00BA2E09" w:rsidRPr="00EB563F" w:rsidRDefault="00BA2E09" w:rsidP="00685CB0">
                              <w:pPr>
                                <w:jc w:val="center"/>
                                <w:rPr>
                                  <w:sz w:val="20"/>
                                  <w:szCs w:val="20"/>
                                  <w:lang w:val="es-ES"/>
                                </w:rPr>
                              </w:pPr>
                              <w:r>
                                <w:rPr>
                                  <w:sz w:val="20"/>
                                  <w:szCs w:val="20"/>
                                  <w:lang w:val="es-ES"/>
                                </w:rPr>
                                <w:t>UNDP-DRR</w:t>
                              </w:r>
                            </w:p>
                          </w:txbxContent>
                        </wps:txbx>
                        <wps:bodyPr rot="0" vert="horz" wrap="square" lIns="91440" tIns="45720" rIns="91440" bIns="45720" anchor="t" anchorCtr="0" upright="1">
                          <a:noAutofit/>
                        </wps:bodyPr>
                      </wps:wsp>
                      <wps:wsp>
                        <wps:cNvPr id="12" name="AutoShape 17"/>
                        <wps:cNvCnPr>
                          <a:cxnSpLocks noChangeShapeType="1"/>
                        </wps:cNvCnPr>
                        <wps:spPr bwMode="auto">
                          <a:xfrm>
                            <a:off x="5940" y="7008"/>
                            <a:ext cx="1" cy="90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Rectangle 18"/>
                        <wps:cNvSpPr>
                          <a:spLocks noChangeArrowheads="1"/>
                        </wps:cNvSpPr>
                        <wps:spPr bwMode="auto">
                          <a:xfrm>
                            <a:off x="1800" y="7188"/>
                            <a:ext cx="252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B484EBD" w14:textId="77777777" w:rsidR="00BA2E09" w:rsidRDefault="00BA2E09" w:rsidP="00685CB0">
                              <w:pPr>
                                <w:jc w:val="center"/>
                                <w:rPr>
                                  <w:b/>
                                  <w:sz w:val="18"/>
                                  <w:szCs w:val="18"/>
                                </w:rPr>
                              </w:pPr>
                              <w:r>
                                <w:rPr>
                                  <w:b/>
                                  <w:sz w:val="18"/>
                                  <w:szCs w:val="18"/>
                                </w:rPr>
                                <w:t>Project Assurance</w:t>
                              </w:r>
                            </w:p>
                            <w:p w14:paraId="7001650D" w14:textId="77777777" w:rsidR="00BA2E09" w:rsidRPr="0086371F" w:rsidRDefault="00BA2E09" w:rsidP="00685CB0">
                              <w:pPr>
                                <w:jc w:val="center"/>
                                <w:rPr>
                                  <w:sz w:val="16"/>
                                  <w:szCs w:val="16"/>
                                </w:rPr>
                              </w:pPr>
                              <w:r w:rsidRPr="0086371F">
                                <w:rPr>
                                  <w:sz w:val="16"/>
                                  <w:szCs w:val="16"/>
                                </w:rPr>
                                <w:t>(</w:t>
                              </w:r>
                              <w:r>
                                <w:rPr>
                                  <w:sz w:val="16"/>
                                  <w:szCs w:val="16"/>
                                </w:rPr>
                                <w:t>by Board members or delegated to other individuals</w:t>
                              </w:r>
                              <w:r w:rsidRPr="0086371F">
                                <w:rPr>
                                  <w:sz w:val="16"/>
                                  <w:szCs w:val="16"/>
                                </w:rPr>
                                <w:t>)</w:t>
                              </w:r>
                            </w:p>
                            <w:p w14:paraId="008E8D00" w14:textId="77777777" w:rsidR="00BA2E09" w:rsidRPr="00EB563F" w:rsidRDefault="00BA2E09" w:rsidP="00685CB0">
                              <w:pPr>
                                <w:pStyle w:val="BodyText3"/>
                                <w:jc w:val="center"/>
                                <w:rPr>
                                  <w:b/>
                                  <w:bCs/>
                                  <w:sz w:val="20"/>
                                </w:rPr>
                              </w:pPr>
                            </w:p>
                          </w:txbxContent>
                        </wps:txbx>
                        <wps:bodyPr rot="0" vert="horz" wrap="square" lIns="91440" tIns="45720" rIns="91440" bIns="45720" anchor="t" anchorCtr="0" upright="1">
                          <a:noAutofit/>
                        </wps:bodyPr>
                      </wps:wsp>
                      <wps:wsp>
                        <wps:cNvPr id="15" name="Rectangle 19"/>
                        <wps:cNvSpPr>
                          <a:spLocks noChangeArrowheads="1"/>
                        </wps:cNvSpPr>
                        <wps:spPr bwMode="auto">
                          <a:xfrm>
                            <a:off x="7678" y="7641"/>
                            <a:ext cx="2873" cy="1129"/>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3848849" w14:textId="77777777" w:rsidR="00BA2E09" w:rsidRDefault="00BA2E09" w:rsidP="00685CB0">
                              <w:pPr>
                                <w:jc w:val="center"/>
                                <w:rPr>
                                  <w:b/>
                                  <w:sz w:val="18"/>
                                  <w:szCs w:val="18"/>
                                </w:rPr>
                              </w:pPr>
                              <w:r>
                                <w:rPr>
                                  <w:b/>
                                  <w:sz w:val="18"/>
                                  <w:szCs w:val="18"/>
                                </w:rPr>
                                <w:t>Project Support:</w:t>
                              </w:r>
                            </w:p>
                            <w:p w14:paraId="7E6D2E9C" w14:textId="77777777" w:rsidR="00BA2E09" w:rsidRDefault="00BA2E09" w:rsidP="00685CB0">
                              <w:pPr>
                                <w:jc w:val="center"/>
                                <w:rPr>
                                  <w:b/>
                                  <w:sz w:val="18"/>
                                  <w:szCs w:val="18"/>
                                </w:rPr>
                              </w:pPr>
                              <w:r>
                                <w:rPr>
                                  <w:b/>
                                  <w:sz w:val="18"/>
                                  <w:szCs w:val="18"/>
                                </w:rPr>
                                <w:t>Administrative Assistant</w:t>
                              </w:r>
                            </w:p>
                            <w:p w14:paraId="3DA20B8F" w14:textId="77777777" w:rsidR="00BA2E09" w:rsidRDefault="00BA2E09" w:rsidP="00685CB0">
                              <w:pPr>
                                <w:jc w:val="center"/>
                                <w:rPr>
                                  <w:b/>
                                  <w:sz w:val="18"/>
                                  <w:szCs w:val="18"/>
                                </w:rPr>
                              </w:pPr>
                              <w:r>
                                <w:rPr>
                                  <w:b/>
                                  <w:sz w:val="18"/>
                                  <w:szCs w:val="18"/>
                                </w:rPr>
                                <w:t>Procurement Specialist</w:t>
                              </w:r>
                            </w:p>
                            <w:p w14:paraId="0CA25494" w14:textId="77777777" w:rsidR="00BA2E09" w:rsidRDefault="00BA2E09" w:rsidP="00685CB0">
                              <w:pPr>
                                <w:jc w:val="center"/>
                                <w:rPr>
                                  <w:b/>
                                  <w:sz w:val="18"/>
                                  <w:szCs w:val="18"/>
                                </w:rPr>
                              </w:pPr>
                              <w:r>
                                <w:rPr>
                                  <w:b/>
                                  <w:sz w:val="18"/>
                                  <w:szCs w:val="18"/>
                                </w:rPr>
                                <w:t>PR Specialist</w:t>
                              </w:r>
                            </w:p>
                            <w:p w14:paraId="4A936D42" w14:textId="77777777" w:rsidR="00BA2E09" w:rsidRDefault="00BA2E09" w:rsidP="00685CB0">
                              <w:pPr>
                                <w:spacing w:before="120"/>
                                <w:jc w:val="center"/>
                                <w:rPr>
                                  <w:sz w:val="18"/>
                                  <w:szCs w:val="18"/>
                                </w:rPr>
                              </w:pPr>
                            </w:p>
                          </w:txbxContent>
                        </wps:txbx>
                        <wps:bodyPr rot="0" vert="horz" wrap="square" lIns="91440" tIns="45720" rIns="91440" bIns="45720" anchor="t" anchorCtr="0" upright="1">
                          <a:noAutofit/>
                        </wps:bodyPr>
                      </wps:wsp>
                      <wps:wsp>
                        <wps:cNvPr id="16" name="AutoShape 21"/>
                        <wps:cNvSpPr>
                          <a:spLocks noChangeArrowheads="1"/>
                        </wps:cNvSpPr>
                        <wps:spPr bwMode="auto">
                          <a:xfrm>
                            <a:off x="2160" y="5028"/>
                            <a:ext cx="7740" cy="540"/>
                          </a:xfrm>
                          <a:prstGeom prst="roundRect">
                            <a:avLst>
                              <a:gd name="adj" fmla="val 16667"/>
                            </a:avLst>
                          </a:prstGeom>
                          <a:solidFill>
                            <a:srgbClr val="99CCFF"/>
                          </a:solidFill>
                          <a:ln w="9525">
                            <a:solidFill>
                              <a:srgbClr val="000000"/>
                            </a:solidFill>
                            <a:round/>
                            <a:headEnd/>
                            <a:tailEnd/>
                          </a:ln>
                        </wps:spPr>
                        <wps:txbx>
                          <w:txbxContent>
                            <w:p w14:paraId="0BFE12DC" w14:textId="77777777" w:rsidR="00BA2E09" w:rsidRPr="001D0B24" w:rsidRDefault="00BA2E09" w:rsidP="00685CB0">
                              <w:pPr>
                                <w:spacing w:after="0"/>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17" name="Rectangle 22"/>
                        <wps:cNvSpPr>
                          <a:spLocks noChangeArrowheads="1"/>
                        </wps:cNvSpPr>
                        <wps:spPr bwMode="auto">
                          <a:xfrm>
                            <a:off x="2160" y="9212"/>
                            <a:ext cx="2383" cy="1221"/>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C5FECCD" w14:textId="77777777" w:rsidR="00BA2E09" w:rsidRDefault="00BA2E09" w:rsidP="00685CB0">
                              <w:pPr>
                                <w:jc w:val="center"/>
                                <w:rPr>
                                  <w:b/>
                                  <w:sz w:val="18"/>
                                  <w:szCs w:val="18"/>
                                </w:rPr>
                              </w:pPr>
                              <w:r>
                                <w:rPr>
                                  <w:b/>
                                  <w:sz w:val="18"/>
                                  <w:szCs w:val="18"/>
                                </w:rPr>
                                <w:t>Outcomes 1 &amp; 5</w:t>
                              </w:r>
                            </w:p>
                            <w:p w14:paraId="770C2E64" w14:textId="77777777" w:rsidR="00BA2E09" w:rsidRDefault="00BA2E09" w:rsidP="00685CB0">
                              <w:pPr>
                                <w:jc w:val="center"/>
                                <w:rPr>
                                  <w:b/>
                                  <w:sz w:val="18"/>
                                  <w:szCs w:val="18"/>
                                </w:rPr>
                              </w:pPr>
                              <w:r>
                                <w:rPr>
                                  <w:b/>
                                  <w:sz w:val="18"/>
                                  <w:szCs w:val="18"/>
                                </w:rPr>
                                <w:t>Low carbon urban planning &amp; capacity building specialist</w:t>
                              </w:r>
                            </w:p>
                            <w:p w14:paraId="295C9BD4" w14:textId="77777777" w:rsidR="00BA2E09" w:rsidRDefault="00BA2E09" w:rsidP="00685CB0">
                              <w:pPr>
                                <w:jc w:val="center"/>
                                <w:rPr>
                                  <w:sz w:val="18"/>
                                  <w:szCs w:val="18"/>
                                </w:rPr>
                              </w:pPr>
                            </w:p>
                            <w:p w14:paraId="60D2E443" w14:textId="77777777" w:rsidR="00BA2E09" w:rsidRDefault="00BA2E09" w:rsidP="00685CB0">
                              <w:pPr>
                                <w:jc w:val="center"/>
                                <w:rPr>
                                  <w:sz w:val="18"/>
                                  <w:szCs w:val="18"/>
                                </w:rPr>
                              </w:pPr>
                            </w:p>
                          </w:txbxContent>
                        </wps:txbx>
                        <wps:bodyPr rot="0" vert="horz" wrap="square" lIns="91440" tIns="45720" rIns="91440" bIns="45720" anchor="t" anchorCtr="0" upright="1">
                          <a:noAutofit/>
                        </wps:bodyPr>
                      </wps:wsp>
                      <wps:wsp>
                        <wps:cNvPr id="18" name="Rectangle 23"/>
                        <wps:cNvSpPr>
                          <a:spLocks noChangeArrowheads="1"/>
                        </wps:cNvSpPr>
                        <wps:spPr bwMode="auto">
                          <a:xfrm>
                            <a:off x="7494" y="9212"/>
                            <a:ext cx="2390" cy="1221"/>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F3C0AD2" w14:textId="77777777" w:rsidR="00BA2E09" w:rsidRDefault="00BA2E09" w:rsidP="00685CB0">
                              <w:pPr>
                                <w:jc w:val="center"/>
                                <w:rPr>
                                  <w:b/>
                                  <w:sz w:val="18"/>
                                  <w:szCs w:val="18"/>
                                </w:rPr>
                              </w:pPr>
                              <w:r>
                                <w:rPr>
                                  <w:b/>
                                  <w:sz w:val="18"/>
                                  <w:szCs w:val="18"/>
                                </w:rPr>
                                <w:t>Outcomes 1&amp; 4</w:t>
                              </w:r>
                            </w:p>
                            <w:p w14:paraId="2D77DEED" w14:textId="77777777" w:rsidR="00BA2E09" w:rsidRDefault="00BA2E09" w:rsidP="00685CB0">
                              <w:pPr>
                                <w:jc w:val="center"/>
                                <w:rPr>
                                  <w:b/>
                                  <w:sz w:val="18"/>
                                  <w:szCs w:val="18"/>
                                </w:rPr>
                              </w:pPr>
                              <w:r>
                                <w:rPr>
                                  <w:b/>
                                  <w:sz w:val="18"/>
                                  <w:szCs w:val="18"/>
                                </w:rPr>
                                <w:t>Energy efficiency and RE specialist</w:t>
                              </w:r>
                            </w:p>
                            <w:p w14:paraId="6AAFEC42" w14:textId="77777777" w:rsidR="00BA2E09" w:rsidRPr="00EB563F" w:rsidRDefault="00BA2E09" w:rsidP="00685CB0">
                              <w:pPr>
                                <w:jc w:val="center"/>
                                <w:rPr>
                                  <w:sz w:val="20"/>
                                  <w:szCs w:val="20"/>
                                  <w:lang w:val="en-US"/>
                                </w:rPr>
                              </w:pPr>
                            </w:p>
                          </w:txbxContent>
                        </wps:txbx>
                        <wps:bodyPr rot="0" vert="horz" wrap="square" lIns="91440" tIns="45720" rIns="91440" bIns="45720" anchor="t" anchorCtr="0" upright="1">
                          <a:noAutofit/>
                        </wps:bodyPr>
                      </wps:wsp>
                      <wps:wsp>
                        <wps:cNvPr id="19" name="AutoShape 24"/>
                        <wps:cNvCnPr>
                          <a:cxnSpLocks noChangeShapeType="1"/>
                        </wps:cNvCnPr>
                        <wps:spPr bwMode="auto">
                          <a:xfrm rot="10800000" flipV="1">
                            <a:off x="3246" y="9035"/>
                            <a:ext cx="2790" cy="177"/>
                          </a:xfrm>
                          <a:prstGeom prst="bentConnector3">
                            <a:avLst>
                              <a:gd name="adj1" fmla="val 99773"/>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0" name="AutoShape 25"/>
                        <wps:cNvCnPr>
                          <a:cxnSpLocks noChangeShapeType="1"/>
                        </wps:cNvCnPr>
                        <wps:spPr bwMode="auto">
                          <a:xfrm>
                            <a:off x="5847" y="9037"/>
                            <a:ext cx="2791" cy="175"/>
                          </a:xfrm>
                          <a:prstGeom prst="bentConnector3">
                            <a:avLst>
                              <a:gd name="adj1" fmla="val 10047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1" name="Rectangle 26"/>
                        <wps:cNvSpPr>
                          <a:spLocks noChangeArrowheads="1"/>
                        </wps:cNvSpPr>
                        <wps:spPr bwMode="auto">
                          <a:xfrm>
                            <a:off x="4929" y="9212"/>
                            <a:ext cx="2388" cy="1221"/>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E151EDD" w14:textId="77777777" w:rsidR="00BA2E09" w:rsidRDefault="00BA2E09" w:rsidP="00685CB0">
                              <w:pPr>
                                <w:jc w:val="center"/>
                                <w:rPr>
                                  <w:b/>
                                  <w:sz w:val="18"/>
                                  <w:szCs w:val="18"/>
                                </w:rPr>
                              </w:pPr>
                              <w:r>
                                <w:rPr>
                                  <w:b/>
                                  <w:sz w:val="18"/>
                                  <w:szCs w:val="18"/>
                                </w:rPr>
                                <w:t>Outcome 2 &amp; 3</w:t>
                              </w:r>
                            </w:p>
                            <w:p w14:paraId="5B4DCF49" w14:textId="77777777" w:rsidR="00BA2E09" w:rsidRDefault="00BA2E09" w:rsidP="00685CB0">
                              <w:pPr>
                                <w:jc w:val="center"/>
                                <w:rPr>
                                  <w:b/>
                                  <w:sz w:val="18"/>
                                  <w:szCs w:val="18"/>
                                </w:rPr>
                              </w:pPr>
                              <w:r>
                                <w:rPr>
                                  <w:b/>
                                  <w:sz w:val="18"/>
                                  <w:szCs w:val="18"/>
                                </w:rPr>
                                <w:t>Low carbon urban financing &amp; investment specialist</w:t>
                              </w:r>
                            </w:p>
                            <w:p w14:paraId="53161CE7" w14:textId="77777777" w:rsidR="00BA2E09" w:rsidRPr="00EB563F" w:rsidRDefault="00BA2E09" w:rsidP="00685CB0">
                              <w:pPr>
                                <w:jc w:val="center"/>
                                <w:rPr>
                                  <w:sz w:val="20"/>
                                  <w:szCs w:val="20"/>
                                </w:rPr>
                              </w:pPr>
                            </w:p>
                          </w:txbxContent>
                        </wps:txbx>
                        <wps:bodyPr rot="0" vert="horz" wrap="square" lIns="91440" tIns="45720" rIns="91440" bIns="45720" anchor="t" anchorCtr="0" upright="1">
                          <a:noAutofit/>
                        </wps:bodyPr>
                      </wps:wsp>
                      <wps:wsp>
                        <wps:cNvPr id="22" name="AutoShape 27"/>
                        <wps:cNvCnPr>
                          <a:cxnSpLocks noChangeShapeType="1"/>
                        </wps:cNvCnPr>
                        <wps:spPr bwMode="auto">
                          <a:xfrm>
                            <a:off x="5940" y="8808"/>
                            <a:ext cx="0" cy="402"/>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AutoShape 28"/>
                        <wps:cNvCnPr>
                          <a:cxnSpLocks noChangeShapeType="1"/>
                        </wps:cNvCnPr>
                        <wps:spPr bwMode="auto">
                          <a:xfrm rot="-5400000">
                            <a:off x="4410" y="5658"/>
                            <a:ext cx="180" cy="288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4CCE6F4" id="Group 10" o:spid="_x0000_s1030" style="width:458.7pt;height:297pt;mso-position-horizontal-relative:char;mso-position-vertical-relative:line" coordorigin="1440,4848" coordsize="936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">
                <o:lock v:ext="edit" aspectratio="t"/>
                <v:rect id="AutoShape 11" o:spid="_x0000_s1031" style="position:absolute;left:1440;top:4848;width:9360;height:57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p7asMA&#10;AADaAAAADwAAAGRycy9kb3ducmV2LnhtbESPT4vCMBTE7wt+h/AEL4um60GkGkUE2bIsiPXP+dE8&#10;22LzUpts2/32RhA8DjPzG2a57k0lWmpcaVnB1yQCQZxZXXKu4HTcjecgnEfWWFkmBf/kYL0afCwx&#10;1rbjA7Wpz0WAsItRQeF9HUvpsoIMuomtiYN3tY1BH2STS91gF+CmktMomkmDJYeFAmvaFpTd0j+j&#10;oMv27eX4+y33n5fE8j25b9Pzj1KjYb9ZgPDU+3f41U60ghk8r4Qb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p7asMAAADaAAAADwAAAAAAAAAAAAAAAACYAgAAZHJzL2Rv&#10;d25yZXYueG1sUEsFBgAAAAAEAAQA9QAAAIgDAAAAAA==&#10;" filled="f" stroked="f">
                  <o:lock v:ext="edit" aspectratio="t" text="t"/>
                </v:rect>
                <v:rect id="Rectangle 12" o:spid="_x0000_s1032" style="position:absolute;left:4860;top:7909;width:2160;height: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2fpcMA&#10;AADaAAAADwAAAGRycy9kb3ducmV2LnhtbESPT4vCMBTE74LfITzBm6aKukvXKMuCoL2o3T/nR/O2&#10;LTYvtYm2+uk3C4LHYWZ+wyzXnanElRpXWlYwGUcgiDOrS84VfH1uRq8gnEfWWFkmBTdysF71e0uM&#10;tW35SNfU5yJA2MWooPC+jqV0WUEG3djWxMH7tY1BH2STS91gG+CmktMoWkiDJYeFAmv6KCg7pRej&#10;wOx33239Y5LdfZYcbuk8KavFWanhoHt/A+Gp88/wo73VCl7g/0q4A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2fpcMAAADaAAAADwAAAAAAAAAAAAAAAACYAgAAZHJzL2Rv&#10;d25yZXYueG1sUEsFBgAAAAAEAAQA9QAAAIgDAAAAAA==&#10;" fillcolor="#fc9">
                  <v:shadow on="t" color="black" opacity=".5" offset="6pt,6pt"/>
                  <v:textbox>
                    <w:txbxContent>
                      <w:p w14:paraId="341481A7" w14:textId="77777777" w:rsidR="00BA2E09" w:rsidRDefault="00BA2E09" w:rsidP="00685CB0">
                        <w:pPr>
                          <w:jc w:val="center"/>
                          <w:rPr>
                            <w:b/>
                            <w:sz w:val="18"/>
                            <w:szCs w:val="18"/>
                          </w:rPr>
                        </w:pPr>
                      </w:p>
                      <w:p w14:paraId="11BEB0EC" w14:textId="77777777" w:rsidR="00BA2E09" w:rsidRDefault="00BA2E09" w:rsidP="00685CB0">
                        <w:pPr>
                          <w:jc w:val="center"/>
                          <w:rPr>
                            <w:b/>
                            <w:sz w:val="18"/>
                            <w:szCs w:val="18"/>
                          </w:rPr>
                        </w:pPr>
                        <w:r>
                          <w:rPr>
                            <w:b/>
                            <w:sz w:val="18"/>
                            <w:szCs w:val="18"/>
                          </w:rPr>
                          <w:t>Project Manager</w:t>
                        </w:r>
                      </w:p>
                      <w:p w14:paraId="5B960BA0" w14:textId="77777777" w:rsidR="00BA2E09" w:rsidRPr="00EB563F" w:rsidRDefault="00BA2E09" w:rsidP="00685CB0">
                        <w:pPr>
                          <w:jc w:val="center"/>
                          <w:rPr>
                            <w:sz w:val="20"/>
                            <w:szCs w:val="20"/>
                          </w:rPr>
                        </w:pPr>
                      </w:p>
                    </w:txbxContent>
                  </v:textbox>
                </v:rect>
                <v:rect id="Rectangle 13" o:spid="_x0000_s1033" style="position:absolute;left:2340;top:5748;width:7380;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4vSMEA&#10;AADaAAAADwAAAGRycy9kb3ducmV2LnhtbERPz2vCMBS+D/Y/hDfYbU3nYEg1FtkoeJjCqoLHR/Ns&#10;q81Ll2S1/e+Xw8Djx/d7mY+mEwM531pW8JqkIIgrq1uuFRz2xcschA/IGjvLpGAiD/nq8WGJmbY3&#10;/qahDLWIIewzVNCE0GdS+qohgz6xPXHkztYZDBG6WmqHtxhuOjlL03dpsOXY0GBPHw1V1/LXKKhs&#10;WRr3OX7tTm9TcTnaMP0MW6Wen8b1AkSgMdzF/+6NVhC3xivxBsj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L0jBAAAA2gAAAA8AAAAAAAAAAAAAAAAAmAIAAGRycy9kb3du&#10;cmV2LnhtbFBLBQYAAAAABAAEAPUAAACGAwAAAAA=&#10;" fillcolor="#f90">
                  <v:shadow on="t" color="black" opacity=".5" offset="6pt,6pt"/>
                  <v:textbox>
                    <w:txbxContent>
                      <w:p w14:paraId="5305DD13" w14:textId="77777777" w:rsidR="00BA2E09" w:rsidRDefault="00BA2E09" w:rsidP="00685CB0">
                        <w:pPr>
                          <w:jc w:val="center"/>
                          <w:rPr>
                            <w:b/>
                          </w:rPr>
                        </w:pPr>
                        <w:r>
                          <w:rPr>
                            <w:b/>
                          </w:rPr>
                          <w:t>Project Board (PB)</w:t>
                        </w:r>
                      </w:p>
                    </w:txbxContent>
                  </v:textbox>
                </v:rect>
                <v:rect id="Rectangle 14" o:spid="_x0000_s1034" style="position:absolute;left:2340;top:6108;width:234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cRBcQA&#10;AADaAAAADwAAAGRycy9kb3ducmV2LnhtbESPzW7CMBCE75V4B2srcanAKYcEAgahAhKoXPh5gCVe&#10;ktB4HdkG0revK1XqcTQz32hmi8404kHO15YVvA8TEMSF1TWXCs6nzWAMwgdkjY1lUvBNHhbz3ssM&#10;c22ffKDHMZQiQtjnqKAKoc2l9EVFBv3QtsTRu1pnMETpSqkdPiPcNHKUJKk0WHNcqLClj4qKr+Pd&#10;KBjtst29/Hy7YHrLrqv92m1OaaZU/7VbTkEE6sJ/+K+91Qom8Hsl3gA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HEQXEAAAA2gAAAA8AAAAAAAAAAAAAAAAAmAIAAGRycy9k&#10;b3ducmV2LnhtbFBLBQYAAAAABAAEAPUAAACJAwAAAAA=&#10;" fillcolor="#fc0">
                  <v:shadow on="t" color="black" opacity=".5" offset="6pt,6pt"/>
                  <v:textbox>
                    <w:txbxContent>
                      <w:p w14:paraId="2B5CF613" w14:textId="77777777" w:rsidR="00BA2E09" w:rsidRDefault="00BA2E09" w:rsidP="00685CB0">
                        <w:pPr>
                          <w:jc w:val="center"/>
                          <w:rPr>
                            <w:b/>
                            <w:bCs/>
                            <w:sz w:val="18"/>
                            <w:szCs w:val="18"/>
                          </w:rPr>
                        </w:pPr>
                        <w:r w:rsidRPr="00CA0EEF">
                          <w:rPr>
                            <w:b/>
                            <w:bCs/>
                            <w:sz w:val="18"/>
                            <w:szCs w:val="18"/>
                          </w:rPr>
                          <w:t xml:space="preserve">Senior </w:t>
                        </w:r>
                        <w:r>
                          <w:rPr>
                            <w:b/>
                            <w:bCs/>
                            <w:sz w:val="18"/>
                            <w:szCs w:val="18"/>
                          </w:rPr>
                          <w:t xml:space="preserve">Beneficiary:  </w:t>
                        </w:r>
                      </w:p>
                      <w:p w14:paraId="28590FFE" w14:textId="77777777" w:rsidR="00BA2E09" w:rsidRPr="00D82B11" w:rsidRDefault="00BA2E09" w:rsidP="00685CB0">
                        <w:pPr>
                          <w:jc w:val="center"/>
                          <w:rPr>
                            <w:sz w:val="18"/>
                            <w:szCs w:val="18"/>
                          </w:rPr>
                        </w:pPr>
                        <w:r>
                          <w:rPr>
                            <w:spacing w:val="-2"/>
                            <w:sz w:val="20"/>
                            <w:szCs w:val="20"/>
                            <w:lang w:eastAsia="en-GB"/>
                          </w:rPr>
                          <w:t>MRD &amp; MEWR</w:t>
                        </w:r>
                      </w:p>
                    </w:txbxContent>
                  </v:textbox>
                </v:rect>
                <v:rect id="Rectangle 15" o:spid="_x0000_s1035" style="position:absolute;left:4680;top:6108;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qNssYA&#10;AADbAAAADwAAAGRycy9kb3ducmV2LnhtbESPzW7CQAyE70h9h5Ur9YLKphwSlLIg1BapqFz4eQA3&#10;a5KUrDfaXSB9+/pQiZutGc98ni8H16krhdh6NvAyyUARV962XBs4HtbPM1AxIVvsPJOBX4qwXDyM&#10;5lhaf+MdXfepVhLCsUQDTUp9qXWsGnIYJ74nFu3kg8Mka6i1DXiTcNfpaZbl2mHL0tBgT28NVef9&#10;xRmYborNpf4af2P+U5zetx9hfcgLY54eh9UrqERDupv/rz+t4Au9/CID6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3qNssYAAADbAAAADwAAAAAAAAAAAAAAAACYAgAAZHJz&#10;L2Rvd25yZXYueG1sUEsFBgAAAAAEAAQA9QAAAIsDAAAAAA==&#10;" fillcolor="#fc0">
                  <v:shadow on="t" color="black" opacity=".5" offset="6pt,6pt"/>
                  <v:textbox>
                    <w:txbxContent>
                      <w:p w14:paraId="2A20D526" w14:textId="77777777" w:rsidR="00BA2E09" w:rsidRPr="00267911" w:rsidRDefault="00BA2E09" w:rsidP="00685CB0">
                        <w:pPr>
                          <w:spacing w:before="100" w:beforeAutospacing="1" w:after="100" w:afterAutospacing="1"/>
                          <w:jc w:val="center"/>
                          <w:rPr>
                            <w:rFonts w:cs="Arial"/>
                            <w:sz w:val="20"/>
                            <w:szCs w:val="20"/>
                          </w:rPr>
                        </w:pPr>
                        <w:r w:rsidRPr="00CA0EEF">
                          <w:rPr>
                            <w:b/>
                            <w:sz w:val="18"/>
                            <w:szCs w:val="18"/>
                          </w:rPr>
                          <w:t>Executive</w:t>
                        </w:r>
                        <w:r>
                          <w:rPr>
                            <w:b/>
                            <w:sz w:val="18"/>
                            <w:szCs w:val="18"/>
                          </w:rPr>
                          <w:t>:</w:t>
                        </w:r>
                        <w:r>
                          <w:rPr>
                            <w:rFonts w:cs="Arial"/>
                            <w:sz w:val="20"/>
                            <w:szCs w:val="20"/>
                          </w:rPr>
                          <w:t xml:space="preserve"> MRD</w:t>
                        </w:r>
                      </w:p>
                      <w:p w14:paraId="489DDD5C" w14:textId="77777777" w:rsidR="00BA2E09" w:rsidRPr="00EB563F" w:rsidRDefault="00BA2E09" w:rsidP="00685CB0">
                        <w:pPr>
                          <w:jc w:val="center"/>
                          <w:rPr>
                            <w:b/>
                            <w:sz w:val="20"/>
                            <w:szCs w:val="20"/>
                          </w:rPr>
                        </w:pPr>
                      </w:p>
                    </w:txbxContent>
                  </v:textbox>
                </v:rect>
                <v:rect id="Rectangle 16" o:spid="_x0000_s1036" style="position:absolute;left:7200;top:6108;width:25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YoKcIA&#10;AADbAAAADwAAAGRycy9kb3ducmV2LnhtbERPyW7CMBC9V+IfrEHiUhUHDgkKGFSxSCB6YfmAaTwk&#10;ofE4sg2Ev8eVKvU2T2+d2aIzjbiT87VlBaNhAoK4sLrmUsH5tPmYgPABWWNjmRQ8ycNi3nubYa7t&#10;gw90P4ZSxBD2OSqoQmhzKX1RkUE/tC1x5C7WGQwRulJqh48Ybho5TpJUGqw5NlTY0rKi4ud4MwrG&#10;u2x3K/fv35hes8vqa+02pzRTatDvPqcgAnXhX/zn3uo4fwS/v8QD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NigpwgAAANsAAAAPAAAAAAAAAAAAAAAAAJgCAABkcnMvZG93&#10;bnJldi54bWxQSwUGAAAAAAQABAD1AAAAhwMAAAAA&#10;" fillcolor="#fc0">
                  <v:shadow on="t" color="black" opacity=".5" offset="6pt,6pt"/>
                  <v:textbox>
                    <w:txbxContent>
                      <w:p w14:paraId="5987C9BA" w14:textId="77777777" w:rsidR="00BA2E09" w:rsidRPr="00CA0EEF" w:rsidRDefault="00BA2E09" w:rsidP="00685CB0">
                        <w:pPr>
                          <w:jc w:val="center"/>
                          <w:rPr>
                            <w:b/>
                            <w:bCs/>
                            <w:sz w:val="18"/>
                            <w:szCs w:val="18"/>
                          </w:rPr>
                        </w:pPr>
                        <w:r w:rsidRPr="00CA0EEF">
                          <w:rPr>
                            <w:b/>
                            <w:bCs/>
                            <w:sz w:val="18"/>
                            <w:szCs w:val="18"/>
                          </w:rPr>
                          <w:t>Senior Supplier</w:t>
                        </w:r>
                        <w:r>
                          <w:rPr>
                            <w:b/>
                            <w:bCs/>
                            <w:sz w:val="18"/>
                            <w:szCs w:val="18"/>
                          </w:rPr>
                          <w:t>:</w:t>
                        </w:r>
                      </w:p>
                      <w:p w14:paraId="4952D988" w14:textId="77777777" w:rsidR="00BA2E09" w:rsidRPr="00EB563F" w:rsidRDefault="00BA2E09" w:rsidP="00685CB0">
                        <w:pPr>
                          <w:jc w:val="center"/>
                          <w:rPr>
                            <w:sz w:val="20"/>
                            <w:szCs w:val="20"/>
                            <w:lang w:val="es-ES"/>
                          </w:rPr>
                        </w:pPr>
                        <w:r>
                          <w:rPr>
                            <w:sz w:val="20"/>
                            <w:szCs w:val="20"/>
                            <w:lang w:val="es-ES"/>
                          </w:rPr>
                          <w:t>UNDP-DRR</w:t>
                        </w:r>
                      </w:p>
                    </w:txbxContent>
                  </v:textbox>
                </v:rect>
                <v:shapetype id="_x0000_t32" coordsize="21600,21600" o:spt="32" o:oned="t" path="m,l21600,21600e" filled="f">
                  <v:path arrowok="t" fillok="f" o:connecttype="none"/>
                  <o:lock v:ext="edit" shapetype="t"/>
                </v:shapetype>
                <v:shape id="AutoShape 17" o:spid="_x0000_s1037" type="#_x0000_t32" style="position:absolute;left:5940;top:7008;width:1;height:90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exUcIAAADbAAAADwAAAGRycy9kb3ducmV2LnhtbERPTWsCMRC9F/ofwhR6KZpVqJTVKGtB&#10;qAUPar2Pm3ET3EzWTdTtvzeC4G0e73Mms87V4kJtsJ4VDPoZCOLSa8uVgr/tovcFIkRkjbVnUvBP&#10;AWbT15cJ5tpfeU2XTaxECuGQowITY5NLGUpDDkPfN8SJO/jWYUywraRu8ZrCXS2HWTaSDi2nBoMN&#10;fRsqj5uzU7BaDubF3tjl7/pkV5+Loj5XHzul3t+6YgwiUhef4of7R6f5Q7j/kg6Q0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JexUcIAAADbAAAADwAAAAAAAAAAAAAA&#10;AAChAgAAZHJzL2Rvd25yZXYueG1sUEsFBgAAAAAEAAQA+QAAAJADAAAAAA==&#10;"/>
                <v:rect id="Rectangle 18" o:spid="_x0000_s1038" style="position:absolute;left:1800;top:7188;width:252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gTxcIA&#10;AADbAAAADwAAAGRycy9kb3ducmV2LnhtbERP22rCQBB9L/gPywi+FN3UQiLRVcQqVOqLlw8Ys2MS&#10;zc6G3VXTv+8WCn2bw7nObNGZRjzI+dqygrdRAoK4sLrmUsHpuBlOQPiArLGxTAq+ycNi3nuZYa7t&#10;k/f0OIRSxBD2OSqoQmhzKX1RkUE/si1x5C7WGQwRulJqh88Ybho5TpJUGqw5NlTY0qqi4na4GwXj&#10;bba9l1+vZ0yv2eVjt3abY5opNeh3yymIQF34F/+5P3Wc/w6/v8QD5P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qBPFwgAAANsAAAAPAAAAAAAAAAAAAAAAAJgCAABkcnMvZG93&#10;bnJldi54bWxQSwUGAAAAAAQABAD1AAAAhwMAAAAA&#10;" fillcolor="#fc0">
                  <v:shadow on="t" color="black" opacity=".5" offset="6pt,6pt"/>
                  <v:textbox>
                    <w:txbxContent>
                      <w:p w14:paraId="0B484EBD" w14:textId="77777777" w:rsidR="00BA2E09" w:rsidRDefault="00BA2E09" w:rsidP="00685CB0">
                        <w:pPr>
                          <w:jc w:val="center"/>
                          <w:rPr>
                            <w:b/>
                            <w:sz w:val="18"/>
                            <w:szCs w:val="18"/>
                          </w:rPr>
                        </w:pPr>
                        <w:r>
                          <w:rPr>
                            <w:b/>
                            <w:sz w:val="18"/>
                            <w:szCs w:val="18"/>
                          </w:rPr>
                          <w:t>Project Assurance</w:t>
                        </w:r>
                      </w:p>
                      <w:p w14:paraId="7001650D" w14:textId="77777777" w:rsidR="00BA2E09" w:rsidRPr="0086371F" w:rsidRDefault="00BA2E09" w:rsidP="00685CB0">
                        <w:pPr>
                          <w:jc w:val="center"/>
                          <w:rPr>
                            <w:sz w:val="16"/>
                            <w:szCs w:val="16"/>
                          </w:rPr>
                        </w:pPr>
                        <w:r w:rsidRPr="0086371F">
                          <w:rPr>
                            <w:sz w:val="16"/>
                            <w:szCs w:val="16"/>
                          </w:rPr>
                          <w:t>(</w:t>
                        </w:r>
                        <w:r>
                          <w:rPr>
                            <w:sz w:val="16"/>
                            <w:szCs w:val="16"/>
                          </w:rPr>
                          <w:t>by Board members or delegated to other individuals</w:t>
                        </w:r>
                        <w:r w:rsidRPr="0086371F">
                          <w:rPr>
                            <w:sz w:val="16"/>
                            <w:szCs w:val="16"/>
                          </w:rPr>
                          <w:t>)</w:t>
                        </w:r>
                      </w:p>
                      <w:p w14:paraId="008E8D00" w14:textId="77777777" w:rsidR="00BA2E09" w:rsidRPr="00EB563F" w:rsidRDefault="00BA2E09" w:rsidP="00685CB0">
                        <w:pPr>
                          <w:pStyle w:val="BodyText3"/>
                          <w:jc w:val="center"/>
                          <w:rPr>
                            <w:b/>
                            <w:bCs/>
                            <w:sz w:val="20"/>
                          </w:rPr>
                        </w:pPr>
                      </w:p>
                    </w:txbxContent>
                  </v:textbox>
                </v:rect>
                <v:rect id="Rectangle 19" o:spid="_x0000_s1039" style="position:absolute;left:7678;top:7641;width:2873;height:1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PSEMIA&#10;AADbAAAADwAAAGRycy9kb3ducmV2LnhtbERPS2vCQBC+F/wPywje6saiItFVRCjUXLTxcR6yYxLM&#10;zqbZ1cT++q5Q8DYf33MWq85U4k6NKy0rGA0jEMSZ1SXnCo6Hz/cZCOeRNVaWScGDHKyWvbcFxtq2&#10;/E331OcihLCLUUHhfR1L6bKCDLqhrYkDd7GNQR9gk0vdYBvCTSU/omgqDZYcGgqsaVNQdk1vRoHZ&#10;bU9tfTbJ9nec7B/pJCmr6Y9Sg363noPw1PmX+N/9pcP8CTx/CQfI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49IQwgAAANsAAAAPAAAAAAAAAAAAAAAAAJgCAABkcnMvZG93&#10;bnJldi54bWxQSwUGAAAAAAQABAD1AAAAhwMAAAAA&#10;" fillcolor="#fc9">
                  <v:shadow on="t" color="black" opacity=".5" offset="6pt,6pt"/>
                  <v:textbox>
                    <w:txbxContent>
                      <w:p w14:paraId="33848849" w14:textId="77777777" w:rsidR="00BA2E09" w:rsidRDefault="00BA2E09" w:rsidP="00685CB0">
                        <w:pPr>
                          <w:jc w:val="center"/>
                          <w:rPr>
                            <w:b/>
                            <w:sz w:val="18"/>
                            <w:szCs w:val="18"/>
                          </w:rPr>
                        </w:pPr>
                        <w:r>
                          <w:rPr>
                            <w:b/>
                            <w:sz w:val="18"/>
                            <w:szCs w:val="18"/>
                          </w:rPr>
                          <w:t>Project Support:</w:t>
                        </w:r>
                      </w:p>
                      <w:p w14:paraId="7E6D2E9C" w14:textId="77777777" w:rsidR="00BA2E09" w:rsidRDefault="00BA2E09" w:rsidP="00685CB0">
                        <w:pPr>
                          <w:jc w:val="center"/>
                          <w:rPr>
                            <w:b/>
                            <w:sz w:val="18"/>
                            <w:szCs w:val="18"/>
                          </w:rPr>
                        </w:pPr>
                        <w:r>
                          <w:rPr>
                            <w:b/>
                            <w:sz w:val="18"/>
                            <w:szCs w:val="18"/>
                          </w:rPr>
                          <w:t>Administrative Assistant</w:t>
                        </w:r>
                      </w:p>
                      <w:p w14:paraId="3DA20B8F" w14:textId="77777777" w:rsidR="00BA2E09" w:rsidRDefault="00BA2E09" w:rsidP="00685CB0">
                        <w:pPr>
                          <w:jc w:val="center"/>
                          <w:rPr>
                            <w:b/>
                            <w:sz w:val="18"/>
                            <w:szCs w:val="18"/>
                          </w:rPr>
                        </w:pPr>
                        <w:r>
                          <w:rPr>
                            <w:b/>
                            <w:sz w:val="18"/>
                            <w:szCs w:val="18"/>
                          </w:rPr>
                          <w:t>Procurement Specialist</w:t>
                        </w:r>
                      </w:p>
                      <w:p w14:paraId="0CA25494" w14:textId="77777777" w:rsidR="00BA2E09" w:rsidRDefault="00BA2E09" w:rsidP="00685CB0">
                        <w:pPr>
                          <w:jc w:val="center"/>
                          <w:rPr>
                            <w:b/>
                            <w:sz w:val="18"/>
                            <w:szCs w:val="18"/>
                          </w:rPr>
                        </w:pPr>
                        <w:r>
                          <w:rPr>
                            <w:b/>
                            <w:sz w:val="18"/>
                            <w:szCs w:val="18"/>
                          </w:rPr>
                          <w:t>PR Specialist</w:t>
                        </w:r>
                      </w:p>
                      <w:p w14:paraId="4A936D42" w14:textId="77777777" w:rsidR="00BA2E09" w:rsidRDefault="00BA2E09" w:rsidP="00685CB0">
                        <w:pPr>
                          <w:spacing w:before="120"/>
                          <w:jc w:val="center"/>
                          <w:rPr>
                            <w:sz w:val="18"/>
                            <w:szCs w:val="18"/>
                          </w:rPr>
                        </w:pPr>
                      </w:p>
                    </w:txbxContent>
                  </v:textbox>
                </v:rect>
                <v:roundrect id="AutoShape 21" o:spid="_x0000_s1040" style="position:absolute;left:2160;top:5028;width:7740;height:5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ZU+8EA&#10;AADbAAAADwAAAGRycy9kb3ducmV2LnhtbERPTWvCQBC9C/0PyxR6042hSojZiA1U2lNRC8XbkB2T&#10;YHY2ZFfd/vuuUPA2j/c5xTqYXlxpdJ1lBfNZAoK4trrjRsH34X2agXAeWWNvmRT8koN1+TQpMNf2&#10;xju67n0jYgi7HBW03g+5lK5uyaCb2YE4cic7GvQRjo3UI95iuOllmiRLabDj2NDiQFVL9Xl/MQrk&#10;Mas+F6/H9Cd8cb1N5ds5q4JSL89hswLhKfiH+N/9oeP8Jdx/iQfI8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wWVPvBAAAA2wAAAA8AAAAAAAAAAAAAAAAAmAIAAGRycy9kb3du&#10;cmV2LnhtbFBLBQYAAAAABAAEAPUAAACGAwAAAAA=&#10;" fillcolor="#9cf">
                  <v:textbox>
                    <w:txbxContent>
                      <w:p w14:paraId="0BFE12DC" w14:textId="77777777" w:rsidR="00BA2E09" w:rsidRPr="001D0B24" w:rsidRDefault="00BA2E09" w:rsidP="00685CB0">
                        <w:pPr>
                          <w:spacing w:after="0"/>
                          <w:jc w:val="center"/>
                          <w:rPr>
                            <w:b/>
                            <w:sz w:val="24"/>
                          </w:rPr>
                        </w:pPr>
                        <w:r w:rsidRPr="001D0B24">
                          <w:rPr>
                            <w:b/>
                            <w:sz w:val="24"/>
                          </w:rPr>
                          <w:t>Project Organisation Structure</w:t>
                        </w:r>
                      </w:p>
                    </w:txbxContent>
                  </v:textbox>
                </v:roundrect>
                <v:rect id="Rectangle 22" o:spid="_x0000_s1041" style="position:absolute;left:2160;top:9212;width:2383;height:1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62asIA&#10;AADbAAAADwAAAGRycy9kb3ducmV2LnhtbERPTWsCMRC9F/ofwhR6KZptwaqrUUqlUPbWVcHjsBk3&#10;azeTJUl16683guBtHu9z5svetuJIPjSOFbwOMxDEldMN1wo266/BBESIyBpbx6TgnwIsF48Pc8y1&#10;O/EPHctYixTCIUcFJsYulzJUhiyGoeuIE7d33mJM0NdSezylcNvKtyx7lxYbTg0GO/o0VP2Wf1bB&#10;iynXq/5wHm1XRVHE6W7sw9Qr9fzUf8xAROrjXXxzf+s0fwzXX9IBcnE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XrZqwgAAANsAAAAPAAAAAAAAAAAAAAAAAJgCAABkcnMvZG93&#10;bnJldi54bWxQSwUGAAAAAAQABAD1AAAAhwMAAAAA&#10;" fillcolor="#ff9">
                  <v:shadow on="t" color="black" opacity=".5" offset="6pt,6pt"/>
                  <v:textbox>
                    <w:txbxContent>
                      <w:p w14:paraId="2C5FECCD" w14:textId="77777777" w:rsidR="00BA2E09" w:rsidRDefault="00BA2E09" w:rsidP="00685CB0">
                        <w:pPr>
                          <w:jc w:val="center"/>
                          <w:rPr>
                            <w:b/>
                            <w:sz w:val="18"/>
                            <w:szCs w:val="18"/>
                          </w:rPr>
                        </w:pPr>
                        <w:r>
                          <w:rPr>
                            <w:b/>
                            <w:sz w:val="18"/>
                            <w:szCs w:val="18"/>
                          </w:rPr>
                          <w:t>Outcomes 1 &amp; 5</w:t>
                        </w:r>
                      </w:p>
                      <w:p w14:paraId="770C2E64" w14:textId="77777777" w:rsidR="00BA2E09" w:rsidRDefault="00BA2E09" w:rsidP="00685CB0">
                        <w:pPr>
                          <w:jc w:val="center"/>
                          <w:rPr>
                            <w:b/>
                            <w:sz w:val="18"/>
                            <w:szCs w:val="18"/>
                          </w:rPr>
                        </w:pPr>
                        <w:r>
                          <w:rPr>
                            <w:b/>
                            <w:sz w:val="18"/>
                            <w:szCs w:val="18"/>
                          </w:rPr>
                          <w:t>Low carbon urban planning &amp; capacity building specialist</w:t>
                        </w:r>
                      </w:p>
                      <w:p w14:paraId="295C9BD4" w14:textId="77777777" w:rsidR="00BA2E09" w:rsidRDefault="00BA2E09" w:rsidP="00685CB0">
                        <w:pPr>
                          <w:jc w:val="center"/>
                          <w:rPr>
                            <w:sz w:val="18"/>
                            <w:szCs w:val="18"/>
                          </w:rPr>
                        </w:pPr>
                      </w:p>
                      <w:p w14:paraId="60D2E443" w14:textId="77777777" w:rsidR="00BA2E09" w:rsidRDefault="00BA2E09" w:rsidP="00685CB0">
                        <w:pPr>
                          <w:jc w:val="center"/>
                          <w:rPr>
                            <w:sz w:val="18"/>
                            <w:szCs w:val="18"/>
                          </w:rPr>
                        </w:pPr>
                      </w:p>
                    </w:txbxContent>
                  </v:textbox>
                </v:rect>
                <v:rect id="Rectangle 23" o:spid="_x0000_s1042" style="position:absolute;left:7494;top:9212;width:2390;height:1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EiGMUA&#10;AADbAAAADwAAAGRycy9kb3ducmV2LnhtbESPQUsDMRCF74L/IYzQi9ishapdmxaxFMre3Cp4HDbj&#10;ZnUzWZK03fbXOwfB2wzvzXvfLNej79WRYuoCG7ifFqCIm2A7bg2877d3T6BSRrbYByYDZ0qwXl1f&#10;LbG04cRvdKxzqySEU4kGXM5DqXVqHHlM0zAQi/YVoscsa2y1jXiScN/rWVE8aI8dS4PDgV4dNT/1&#10;wRu4dfV+M35f5h+bqqry4vMxpkU0ZnIzvjyDyjTmf/Pf9c4KvsDKLzKA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wSIYxQAAANsAAAAPAAAAAAAAAAAAAAAAAJgCAABkcnMv&#10;ZG93bnJldi54bWxQSwUGAAAAAAQABAD1AAAAigMAAAAA&#10;" fillcolor="#ff9">
                  <v:shadow on="t" color="black" opacity=".5" offset="6pt,6pt"/>
                  <v:textbox>
                    <w:txbxContent>
                      <w:p w14:paraId="2F3C0AD2" w14:textId="77777777" w:rsidR="00BA2E09" w:rsidRDefault="00BA2E09" w:rsidP="00685CB0">
                        <w:pPr>
                          <w:jc w:val="center"/>
                          <w:rPr>
                            <w:b/>
                            <w:sz w:val="18"/>
                            <w:szCs w:val="18"/>
                          </w:rPr>
                        </w:pPr>
                        <w:r>
                          <w:rPr>
                            <w:b/>
                            <w:sz w:val="18"/>
                            <w:szCs w:val="18"/>
                          </w:rPr>
                          <w:t>Outcomes 1&amp; 4</w:t>
                        </w:r>
                      </w:p>
                      <w:p w14:paraId="2D77DEED" w14:textId="77777777" w:rsidR="00BA2E09" w:rsidRDefault="00BA2E09" w:rsidP="00685CB0">
                        <w:pPr>
                          <w:jc w:val="center"/>
                          <w:rPr>
                            <w:b/>
                            <w:sz w:val="18"/>
                            <w:szCs w:val="18"/>
                          </w:rPr>
                        </w:pPr>
                        <w:r>
                          <w:rPr>
                            <w:b/>
                            <w:sz w:val="18"/>
                            <w:szCs w:val="18"/>
                          </w:rPr>
                          <w:t>Energy efficiency and RE specialist</w:t>
                        </w:r>
                      </w:p>
                      <w:p w14:paraId="6AAFEC42" w14:textId="77777777" w:rsidR="00BA2E09" w:rsidRPr="00EB563F" w:rsidRDefault="00BA2E09" w:rsidP="00685CB0">
                        <w:pPr>
                          <w:jc w:val="center"/>
                          <w:rPr>
                            <w:sz w:val="20"/>
                            <w:szCs w:val="20"/>
                            <w:lang w:val="en-US"/>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4" o:spid="_x0000_s1043" type="#_x0000_t34" style="position:absolute;left:3246;top:9035;width:2790;height:177;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tyn8MAAADbAAAADwAAAGRycy9kb3ducmV2LnhtbERPTWvCQBC9F/wPywi91Y09tEl0FbFU&#10;WjyUJiIeh+yYRLOzIbs1yb/vCoXe5vE+Z7keTCNu1LnasoL5LAJBXFhdc6ngkL8/xSCcR9bYWCYF&#10;IzlYryYPS0y17fmbbpkvRQhhl6KCyvs2ldIVFRl0M9sSB+5sO4M+wK6UusM+hJtGPkfRizRYc2io&#10;sKVtRcU1+zEKON8lx4Hy8fS5e7X7LH67fEW5Uo/TYbMA4Wnw/+I/94cO8xO4/xIOkK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Lcp/DAAAA2wAAAA8AAAAAAAAAAAAA&#10;AAAAoQIAAGRycy9kb3ducmV2LnhtbFBLBQYAAAAABAAEAPkAAACRAwAAAAA=&#10;" adj="21551"/>
                <v:shape id="AutoShape 25" o:spid="_x0000_s1044" type="#_x0000_t34" style="position:absolute;left:5847;top:9037;width:2791;height:175;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FmrMAAAADbAAAADwAAAGRycy9kb3ducmV2LnhtbERPTWvCQBC9C/6HZYTezMYcSo2uUiqF&#10;9mSrFnocsmM2mJ2N2VXT/vrOoeDx8b6X68G36kp9bAIbmGU5KOIq2IZrA4f96/QJVEzIFtvAZOCH&#10;IqxX49ESSxtu/EnXXaqVhHAs0YBLqSu1jpUjjzELHbFwx9B7TAL7WtsebxLuW13k+aP22LA0OOzo&#10;xVF12l28gTxtZh/n4vL77qPbfndf89P2zRrzMBmeF6ASDeku/ncLD4Wsly/yA/Tq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RRZqzAAAAA2wAAAA8AAAAAAAAAAAAAAAAA&#10;oQIAAGRycy9kb3ducmV2LnhtbFBLBQYAAAAABAAEAPkAAACOAwAAAAA=&#10;" adj="21702"/>
                <v:rect id="Rectangle 26" o:spid="_x0000_s1045" style="position:absolute;left:4929;top:9212;width:2388;height:1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dBOMQA&#10;AADbAAAADwAAAGRycy9kb3ducmV2LnhtbESPQWsCMRSE74L/ITyhF6lZBbVujVIqBdmbq4UeH5vX&#10;zbablyVJddtf3wiCx2FmvmHW29624kw+NI4VTCcZCOLK6YZrBafj2+MTiBCRNbaOScEvBdhuhoM1&#10;5tpd+EDnMtYiQTjkqMDE2OVShsqQxTBxHXHyPp23GJP0tdQeLwluWznLsoW02HBaMNjRq6Hqu/yx&#10;CsamPO76r7/5+64oirj6WPqw8ko9jPqXZxCR+ngP39p7rWA2heuX9APk5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XQTjEAAAA2wAAAA8AAAAAAAAAAAAAAAAAmAIAAGRycy9k&#10;b3ducmV2LnhtbFBLBQYAAAAABAAEAPUAAACJAwAAAAA=&#10;" fillcolor="#ff9">
                  <v:shadow on="t" color="black" opacity=".5" offset="6pt,6pt"/>
                  <v:textbox>
                    <w:txbxContent>
                      <w:p w14:paraId="0E151EDD" w14:textId="77777777" w:rsidR="00BA2E09" w:rsidRDefault="00BA2E09" w:rsidP="00685CB0">
                        <w:pPr>
                          <w:jc w:val="center"/>
                          <w:rPr>
                            <w:b/>
                            <w:sz w:val="18"/>
                            <w:szCs w:val="18"/>
                          </w:rPr>
                        </w:pPr>
                        <w:r>
                          <w:rPr>
                            <w:b/>
                            <w:sz w:val="18"/>
                            <w:szCs w:val="18"/>
                          </w:rPr>
                          <w:t>Outcome 2 &amp; 3</w:t>
                        </w:r>
                      </w:p>
                      <w:p w14:paraId="5B4DCF49" w14:textId="77777777" w:rsidR="00BA2E09" w:rsidRDefault="00BA2E09" w:rsidP="00685CB0">
                        <w:pPr>
                          <w:jc w:val="center"/>
                          <w:rPr>
                            <w:b/>
                            <w:sz w:val="18"/>
                            <w:szCs w:val="18"/>
                          </w:rPr>
                        </w:pPr>
                        <w:r>
                          <w:rPr>
                            <w:b/>
                            <w:sz w:val="18"/>
                            <w:szCs w:val="18"/>
                          </w:rPr>
                          <w:t>Low carbon urban financing &amp; investment specialist</w:t>
                        </w:r>
                      </w:p>
                      <w:p w14:paraId="53161CE7" w14:textId="77777777" w:rsidR="00BA2E09" w:rsidRPr="00EB563F" w:rsidRDefault="00BA2E09" w:rsidP="00685CB0">
                        <w:pPr>
                          <w:jc w:val="center"/>
                          <w:rPr>
                            <w:sz w:val="20"/>
                            <w:szCs w:val="20"/>
                          </w:rPr>
                        </w:pPr>
                      </w:p>
                    </w:txbxContent>
                  </v:textbox>
                </v:rect>
                <v:shape id="AutoShape 27" o:spid="_x0000_s1046" type="#_x0000_t32" style="position:absolute;left:5940;top:8808;width:0;height:4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t77MQAAADbAAAADwAAAGRycy9kb3ducmV2LnhtbESPQWsCMRSE7wX/Q3iCl1KzLihla5S1&#10;IFTBg7a9v25eN6Gbl3UTdf33RhB6HGbmG2a+7F0jztQF61nBZJyBIK68tlwr+Ppcv7yCCBFZY+OZ&#10;FFwpwHIxeJpjof2F93Q+xFokCIcCFZgY20LKUBlyGMa+JU7er+8cxiS7WuoOLwnuGpln2Uw6tJwW&#10;DLb0bqj6O5ycgt1msip/jN1s90e7m67L5lQ/fys1GvblG4hIffwPP9ofWkGew/1L+gFyc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3vsxAAAANsAAAAPAAAAAAAAAAAA&#10;AAAAAKECAABkcnMvZG93bnJldi54bWxQSwUGAAAAAAQABAD5AAAAkgMAAAAA&#10;"/>
                <v:shape id="AutoShape 28" o:spid="_x0000_s1047" type="#_x0000_t34" style="position:absolute;left:4410;top:5658;width:180;height:288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TUCMUAAADbAAAADwAAAGRycy9kb3ducmV2LnhtbESPQWvCQBSE74X+h+UVvBTdGKyW1FWK&#10;VAh4qorY22v2mQ1m34bsqtFf3y0IHoeZ+YaZzjtbizO1vnKsYDhIQBAXTldcKthulv13ED4ga6wd&#10;k4IreZjPnp+mmGl34W86r0MpIoR9hgpMCE0mpS8MWfQD1xBH7+BaiyHKtpS6xUuE21qmSTKWFiuO&#10;CwYbWhgqjuuTVTB6+xlPcvOV3narPf3aYf66WeyV6r10nx8gAnXhEb63c60gHcH/l/gD5Ow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LTUCMUAAADbAAAADwAAAAAAAAAA&#10;AAAAAAChAgAAZHJzL2Rvd25yZXYueG1sUEsFBgAAAAAEAAQA+QAAAJMDAAAAAA==&#10;"/>
                <w10:anchorlock/>
              </v:group>
            </w:pict>
          </mc:Fallback>
        </mc:AlternateContent>
      </w:r>
    </w:p>
    <w:p w14:paraId="5018BA09" w14:textId="77777777" w:rsidR="007315E6" w:rsidRDefault="007315E6" w:rsidP="007315E6"/>
    <w:p w14:paraId="5FA5CC00" w14:textId="77777777" w:rsidR="007315E6" w:rsidRDefault="007315E6" w:rsidP="007315E6"/>
    <w:p w14:paraId="769008F1" w14:textId="77777777" w:rsidR="007315E6" w:rsidRPr="00911641" w:rsidRDefault="007315E6" w:rsidP="007315E6">
      <w:pPr>
        <w:tabs>
          <w:tab w:val="left" w:pos="2282"/>
        </w:tabs>
      </w:pPr>
    </w:p>
    <w:p w14:paraId="0EB409CD" w14:textId="77777777" w:rsidR="00E1433A" w:rsidRPr="005B5602" w:rsidRDefault="00E1433A" w:rsidP="00E1433A">
      <w:pPr>
        <w:rPr>
          <w:rFonts w:cs="Arial"/>
          <w:i/>
          <w:sz w:val="20"/>
          <w:szCs w:val="20"/>
          <w:lang w:val="en-US"/>
        </w:rPr>
      </w:pPr>
    </w:p>
    <w:p w14:paraId="2BE8C7E1" w14:textId="77777777" w:rsidR="009B02E0" w:rsidRDefault="009B02E0" w:rsidP="009B02E0">
      <w:pPr>
        <w:pStyle w:val="Heading2"/>
        <w:keepLines/>
        <w:spacing w:before="200" w:after="0" w:line="276" w:lineRule="auto"/>
        <w:jc w:val="left"/>
        <w:rPr>
          <w:rFonts w:ascii="Arial" w:hAnsi="Arial"/>
        </w:rPr>
      </w:pPr>
      <w:bookmarkStart w:id="70" w:name="_Toc393449005"/>
      <w:bookmarkStart w:id="71" w:name="_Toc207800915"/>
      <w:r w:rsidRPr="005B5602">
        <w:rPr>
          <w:rFonts w:ascii="Arial" w:hAnsi="Arial"/>
        </w:rPr>
        <w:t>Key stakeholders</w:t>
      </w:r>
      <w:r w:rsidR="004A2A83">
        <w:rPr>
          <w:rFonts w:ascii="Arial" w:hAnsi="Arial"/>
        </w:rPr>
        <w:t xml:space="preserve"> and coordination</w:t>
      </w:r>
      <w:bookmarkEnd w:id="70"/>
    </w:p>
    <w:p w14:paraId="1C48C461" w14:textId="77777777" w:rsidR="004A2A83" w:rsidRPr="004A2A83" w:rsidRDefault="004A2A83" w:rsidP="004A2A83"/>
    <w:p w14:paraId="2EA27536" w14:textId="77777777" w:rsidR="00F4355C" w:rsidRPr="005B5602" w:rsidRDefault="00F4355C" w:rsidP="0084188F">
      <w:pPr>
        <w:rPr>
          <w:b/>
          <w:i/>
        </w:rPr>
      </w:pPr>
      <w:r w:rsidRPr="005B5602">
        <w:rPr>
          <w:b/>
          <w:i/>
        </w:rPr>
        <w:t>Public sector</w:t>
      </w:r>
    </w:p>
    <w:p w14:paraId="29776665" w14:textId="77777777" w:rsidR="00F4355C" w:rsidRPr="005B5602" w:rsidRDefault="00CA5EF4" w:rsidP="00F4355C">
      <w:pPr>
        <w:pStyle w:val="Bodynumbered"/>
      </w:pPr>
      <w:r>
        <w:t>Ministry of Regional Development (MRD) with its Committee</w:t>
      </w:r>
      <w:r w:rsidR="00F4355C" w:rsidRPr="005B5602">
        <w:t xml:space="preserve"> for Construction and Housing &amp;</w:t>
      </w:r>
      <w:r>
        <w:t xml:space="preserve"> </w:t>
      </w:r>
      <w:r w:rsidR="00F4355C" w:rsidRPr="005B5602">
        <w:t>Communal Affairs (</w:t>
      </w:r>
      <w:r>
        <w:t>C</w:t>
      </w:r>
      <w:r w:rsidR="00F4355C" w:rsidRPr="005B5602">
        <w:t xml:space="preserve">CHCA) is the central executive authority in the field of architecture, urban planning and construction, housing relations, municipal services.  In line with its mandate, </w:t>
      </w:r>
      <w:r>
        <w:t>MRD</w:t>
      </w:r>
      <w:r w:rsidRPr="005B5602">
        <w:t xml:space="preserve"> </w:t>
      </w:r>
      <w:r w:rsidR="00F4355C" w:rsidRPr="005B5602">
        <w:t xml:space="preserve">will be the leading executing agency for this project. It also oversees municipal waste management, water supply and sanitation, power distribution (0,4 kV), municipal gas and heat supply (except for thermal power station with capacity 100 Gcal/hour and more). The </w:t>
      </w:r>
      <w:r w:rsidR="00F4355C" w:rsidRPr="005B5602">
        <w:rPr>
          <w:bCs/>
        </w:rPr>
        <w:t xml:space="preserve">Center for Utilities Modernization and Development </w:t>
      </w:r>
      <w:r>
        <w:rPr>
          <w:bCs/>
        </w:rPr>
        <w:t xml:space="preserve">under MRD </w:t>
      </w:r>
      <w:r w:rsidR="000164ED">
        <w:rPr>
          <w:bCs/>
        </w:rPr>
        <w:t xml:space="preserve">has been established </w:t>
      </w:r>
      <w:r w:rsidR="00F4355C" w:rsidRPr="005B5602">
        <w:t xml:space="preserve">as the principal body in charge of the implementation of National Modernization Program (NMP) and the designated entity for operation and management of the National Fund for Urban Modernization. The </w:t>
      </w:r>
      <w:r w:rsidR="000164ED">
        <w:t>Ministry</w:t>
      </w:r>
      <w:r w:rsidR="000164ED" w:rsidRPr="005B5602">
        <w:t xml:space="preserve"> </w:t>
      </w:r>
      <w:r w:rsidR="00F4355C" w:rsidRPr="005B5602">
        <w:t>and its Center will therefore play critical role in directing NMP funding to priority climate change mitigation actions in cities and to ensuring that the public funding can serve to catalyze investment from the private sector.</w:t>
      </w:r>
    </w:p>
    <w:p w14:paraId="649FF8FF" w14:textId="77777777" w:rsidR="00F4355C" w:rsidRPr="005B5602" w:rsidRDefault="00F4355C" w:rsidP="00F4355C">
      <w:pPr>
        <w:pStyle w:val="Bodynumbered"/>
      </w:pPr>
      <w:r w:rsidRPr="005B5602">
        <w:t>Ministry of Environment</w:t>
      </w:r>
      <w:r w:rsidR="002161E5">
        <w:t xml:space="preserve"> and Water Resources </w:t>
      </w:r>
      <w:r w:rsidRPr="005B5602">
        <w:t>(ME</w:t>
      </w:r>
      <w:r w:rsidR="002161E5">
        <w:t>WR</w:t>
      </w:r>
      <w:r w:rsidRPr="005B5602">
        <w:t xml:space="preserve">) is the governing body and policy maker for climate change management at the national level. It oversees the preparation of national GHG inventory and is responsible for introduction of ETS, elaboration of nationally appropriate mitigation actions, the establishment and monitoring of national emission reduction targets. It also provides methodological guidelines for GHG emission accounting by private and public sector. </w:t>
      </w:r>
      <w:r w:rsidR="000164ED" w:rsidRPr="005B5602">
        <w:t>ME</w:t>
      </w:r>
      <w:r w:rsidR="000164ED">
        <w:t>WR</w:t>
      </w:r>
      <w:r w:rsidR="000164ED" w:rsidRPr="005B5602">
        <w:t xml:space="preserve"> </w:t>
      </w:r>
      <w:r w:rsidRPr="005B5602">
        <w:t>will have a key role in the establishment of criteria for the definition of urban mitigation actions, the development of the national registry and MRV methodologies, and ensuring quality of city inventories, MRV and NAMAs. ME</w:t>
      </w:r>
      <w:r w:rsidR="000164ED">
        <w:t>WR</w:t>
      </w:r>
      <w:r w:rsidRPr="005B5602">
        <w:t xml:space="preserve"> will be the main governmental agency responsible for implementation of Components 1 and 5. </w:t>
      </w:r>
    </w:p>
    <w:p w14:paraId="68203357" w14:textId="77777777" w:rsidR="00F4355C" w:rsidRPr="005B5602" w:rsidRDefault="00F4355C" w:rsidP="00F4355C">
      <w:pPr>
        <w:pStyle w:val="Bodynumbered"/>
      </w:pPr>
      <w:r w:rsidRPr="005B5602">
        <w:t xml:space="preserve">Local authorities (akimats) will be key partners in project implementation, they will be directly involved in all project activities, i.e. identification, development, implementation, and monitoring of urban mitigation actions in partnership with relevant national authorities, private sector and civil society. </w:t>
      </w:r>
    </w:p>
    <w:p w14:paraId="365E6F3E" w14:textId="77777777" w:rsidR="00F4355C" w:rsidRPr="005B5602" w:rsidRDefault="00F4355C" w:rsidP="0084188F">
      <w:pPr>
        <w:rPr>
          <w:b/>
          <w:i/>
        </w:rPr>
      </w:pPr>
      <w:r w:rsidRPr="005B5602">
        <w:rPr>
          <w:b/>
          <w:i/>
        </w:rPr>
        <w:t xml:space="preserve">Private sector </w:t>
      </w:r>
    </w:p>
    <w:p w14:paraId="5FDE60CF" w14:textId="34497461" w:rsidR="00F4355C" w:rsidRDefault="00F4355C" w:rsidP="006765DE">
      <w:pPr>
        <w:pStyle w:val="Bodynumbered"/>
      </w:pPr>
      <w:r w:rsidRPr="005B5602">
        <w:t xml:space="preserve">The private sector is an important partner and beneficiary of the project. </w:t>
      </w:r>
      <w:r w:rsidR="006765DE" w:rsidRPr="005B5602">
        <w:t>To leverage maximum private sector participation, the project will partner with the National Chamber for Communal Affairs and Housing, the entity which represents over 200 urban enterprises, such as heat and water supply companies, ESCOs, management companies, etc.</w:t>
      </w:r>
      <w:r w:rsidR="006765DE">
        <w:t xml:space="preserve"> </w:t>
      </w:r>
      <w:r w:rsidR="00553B40">
        <w:t>Grundfos Central Asia has expressed its interested to partner</w:t>
      </w:r>
      <w:r w:rsidR="00553B40" w:rsidRPr="00553B40">
        <w:t xml:space="preserve"> with the project</w:t>
      </w:r>
      <w:r w:rsidR="00553B40">
        <w:t xml:space="preserve"> and will contribute w</w:t>
      </w:r>
      <w:r w:rsidR="00553B40" w:rsidRPr="00553B40">
        <w:t xml:space="preserve">ith pump audits and follow-up investment activities of total budget up to US$ 4 million. Grundfos </w:t>
      </w:r>
      <w:r w:rsidR="00553B40">
        <w:t xml:space="preserve">is also potentially working on </w:t>
      </w:r>
      <w:r w:rsidR="00553B40" w:rsidRPr="00553B40">
        <w:t xml:space="preserve">NAMA related activities </w:t>
      </w:r>
      <w:r w:rsidR="00553B40">
        <w:t xml:space="preserve">in the future with funding </w:t>
      </w:r>
      <w:r w:rsidR="00553B40" w:rsidRPr="00553B40">
        <w:t xml:space="preserve">from the Government of Denmark. </w:t>
      </w:r>
      <w:r w:rsidR="006765DE">
        <w:t>The project will</w:t>
      </w:r>
      <w:r w:rsidR="00854E83">
        <w:t xml:space="preserve"> also</w:t>
      </w:r>
      <w:r w:rsidR="006765DE">
        <w:t xml:space="preserve"> engage the Karaganda ESCO (Ergonomika company) and </w:t>
      </w:r>
      <w:r w:rsidR="006765DE" w:rsidRPr="00BB516D">
        <w:t>Vodnye Resursy Marketing</w:t>
      </w:r>
      <w:r w:rsidR="006765DE">
        <w:t>,</w:t>
      </w:r>
      <w:r w:rsidR="006765DE" w:rsidRPr="00BB516D">
        <w:t xml:space="preserve"> </w:t>
      </w:r>
      <w:r w:rsidR="006765DE">
        <w:t>Ltd -- the water utility company in Shymkent—in integrated municipal-level planning, including targets setting and investment prioritization. The</w:t>
      </w:r>
      <w:r w:rsidR="006765DE" w:rsidRPr="009B10B6">
        <w:t xml:space="preserve"> private ESCO in Karaganda that was created by </w:t>
      </w:r>
      <w:r w:rsidR="006765DE">
        <w:t xml:space="preserve">the </w:t>
      </w:r>
      <w:r w:rsidR="006765DE" w:rsidRPr="009B10B6">
        <w:t>private company “Ergonomika” LLC</w:t>
      </w:r>
      <w:r w:rsidR="006765DE">
        <w:t>, with support of UNDP and GEF along with others (see Annex B)</w:t>
      </w:r>
      <w:r w:rsidR="006765DE" w:rsidRPr="009B10B6">
        <w:t>.</w:t>
      </w:r>
      <w:r w:rsidR="006765DE">
        <w:t xml:space="preserve"> Experience and lessons learned of these companies will be shared at project workshops and training, and exchange visits </w:t>
      </w:r>
      <w:r w:rsidR="006765DE" w:rsidRPr="009C653C">
        <w:t xml:space="preserve">serves </w:t>
      </w:r>
      <w:r w:rsidR="006765DE">
        <w:t>to demonstrate ways of</w:t>
      </w:r>
      <w:r w:rsidR="006765DE" w:rsidRPr="009C653C">
        <w:t xml:space="preserve"> private sector participation i</w:t>
      </w:r>
      <w:r w:rsidR="006765DE">
        <w:t>n</w:t>
      </w:r>
      <w:r w:rsidR="006765DE" w:rsidRPr="009C653C">
        <w:t xml:space="preserve"> municipal services.</w:t>
      </w:r>
      <w:r w:rsidR="006765DE">
        <w:t xml:space="preserve"> A</w:t>
      </w:r>
      <w:r w:rsidR="009B10B6" w:rsidRPr="009B10B6">
        <w:t xml:space="preserve"> number of engineering consulting companies focusing mainly on energy efficiency in the industrial sector</w:t>
      </w:r>
      <w:r w:rsidR="006765DE">
        <w:t xml:space="preserve"> exist, and the project will work with these where possible and appropriate</w:t>
      </w:r>
      <w:r w:rsidR="009B10B6">
        <w:t xml:space="preserve">. </w:t>
      </w:r>
      <w:r w:rsidRPr="005B5602">
        <w:t>The project will also directly engage with largest industrial entities covered under ETS to understand the scope of their demand for and facilitate the supply of cost-effective emission reduction from urban NAMAs.</w:t>
      </w:r>
    </w:p>
    <w:p w14:paraId="7134C362" w14:textId="77777777" w:rsidR="00F4355C" w:rsidRPr="005B5602" w:rsidRDefault="00F4355C" w:rsidP="0084188F">
      <w:pPr>
        <w:rPr>
          <w:b/>
          <w:i/>
        </w:rPr>
      </w:pPr>
      <w:r w:rsidRPr="005B5602">
        <w:rPr>
          <w:b/>
          <w:i/>
        </w:rPr>
        <w:t>NGOs and community-based organizations</w:t>
      </w:r>
    </w:p>
    <w:p w14:paraId="10386CCF" w14:textId="77777777" w:rsidR="00F4355C" w:rsidRPr="005B5602" w:rsidRDefault="00F4355C" w:rsidP="00F4355C">
      <w:pPr>
        <w:pStyle w:val="Bodynumbered"/>
      </w:pPr>
      <w:r w:rsidRPr="005B5602">
        <w:t xml:space="preserve">Climate Change Coordination Center (C4) is the main Kazakhstani NGO which is involved in a number of advocacy, capacity buildings and analytical projects, such as national GHG inventory, provision of training on climate mitigation for public and private entities, and has been instrumental in developing and promoting important legal and regulatory changes on climate change, energy efficiency and renewable energy. The project will leverage Center’s expertise for local capacity building, abatement cost assessment and other technical training activities at local level. </w:t>
      </w:r>
    </w:p>
    <w:p w14:paraId="5FB2EB62" w14:textId="77777777" w:rsidR="00F4355C" w:rsidRPr="005B5602" w:rsidRDefault="00F4355C" w:rsidP="00F4355C">
      <w:pPr>
        <w:pStyle w:val="Bodynumbered"/>
      </w:pPr>
      <w:r w:rsidRPr="005B5602">
        <w:t xml:space="preserve">Central Asian Regional Environmental Center (CAREC) is the prominent regional NGOs actively engaged in climate change awareness and advocacy across Central Asia. CAREC’s role in the project will be to support PR and communication about urban mitigation actions among urban residents and nation-wide. </w:t>
      </w:r>
    </w:p>
    <w:p w14:paraId="6DFCF28E" w14:textId="77777777" w:rsidR="00F4355C" w:rsidRPr="005B5602" w:rsidRDefault="00F4355C" w:rsidP="00F4355C">
      <w:pPr>
        <w:pStyle w:val="Bodynumbered"/>
      </w:pPr>
      <w:r w:rsidRPr="005B5602">
        <w:t>Associations of apartment owners, women groups and other local NGOs will be closely involved in and consulted during identification and design of urban NAMAs. They will also benefit from the training and knowledge management activities supported by the project.</w:t>
      </w:r>
    </w:p>
    <w:p w14:paraId="1BF21744" w14:textId="77777777" w:rsidR="00F4355C" w:rsidRPr="005B5602" w:rsidRDefault="00F4355C" w:rsidP="0084188F">
      <w:pPr>
        <w:rPr>
          <w:b/>
          <w:i/>
        </w:rPr>
      </w:pPr>
      <w:r w:rsidRPr="005B5602">
        <w:rPr>
          <w:b/>
          <w:i/>
        </w:rPr>
        <w:t>Financial sector</w:t>
      </w:r>
    </w:p>
    <w:p w14:paraId="317351EA" w14:textId="3EE45642" w:rsidR="00E95FC3" w:rsidRDefault="00F4355C" w:rsidP="009B02E0">
      <w:pPr>
        <w:pStyle w:val="Bodynumbered"/>
      </w:pPr>
      <w:r w:rsidRPr="005B5602">
        <w:t xml:space="preserve">The project involves an innovative partnership with the Eurasian Development Bank (EADB). EADB will </w:t>
      </w:r>
      <w:r w:rsidR="00134AAF">
        <w:t xml:space="preserve">contribute </w:t>
      </w:r>
      <w:r w:rsidR="00E44CF3">
        <w:t>substantial (US$ 30</w:t>
      </w:r>
      <w:r w:rsidRPr="005B5602">
        <w:t xml:space="preserve"> mln) financial contribution for NAMA financial framework</w:t>
      </w:r>
      <w:r w:rsidR="00D04752">
        <w:t xml:space="preserve"> and contribute</w:t>
      </w:r>
      <w:r w:rsidRPr="005B5602">
        <w:t xml:space="preserve"> its expertise with assessing and structuring financing for energy and infrastructure projects.  EADB’s strategy from 2010 lists municipal infrastructure and energy efficiency projects among its key priorities in the region and Kazakhstan specifically. The proposed partnership is mutually beneficial for the Government, UNDP-GEF and the Bank as it builds on each partner’s strong comparative advantages in political, technical and financial areas, such combination is critical for the catalytic impact of the project to be achieved.  </w:t>
      </w:r>
    </w:p>
    <w:p w14:paraId="301A390D" w14:textId="77777777" w:rsidR="00D04752" w:rsidRDefault="00D04752" w:rsidP="006C2D1E">
      <w:pPr>
        <w:pStyle w:val="Bodynumbered"/>
      </w:pPr>
      <w:r>
        <w:t>Other key international institutions financing Municipal Infrastructure include the European Bank for Reconstruction and Development (EBRD), with whom UNDP are working on the Almaty Sustainable Transport project, and the International Finance Corporation (IFC)</w:t>
      </w:r>
      <w:r w:rsidR="00236A9D">
        <w:t xml:space="preserve">. EBRD </w:t>
      </w:r>
      <w:r w:rsidR="00236A9D" w:rsidRPr="00236A9D">
        <w:t xml:space="preserve">the largest non-oil and gas investor and the largest foreign investor in </w:t>
      </w:r>
      <w:r w:rsidR="00236A9D">
        <w:t xml:space="preserve">Kazakhstan and is working closely with the Government to </w:t>
      </w:r>
      <w:r w:rsidR="006C2D1E">
        <w:t>improve environmental and municipal infrustracture</w:t>
      </w:r>
      <w:r w:rsidR="00553B40">
        <w:t xml:space="preserve"> through investment and technical assistance</w:t>
      </w:r>
      <w:r w:rsidR="006C2D1E">
        <w:t>. The IFC also promotes the development of the private sector through investments and advisory services to support the diversification and competitiveness of the economy.  IFC’s strategy in Kazakhstan includes improving access to infrastructure. In addition to direct investments, IFC is providing advisory services to improve corporate governance and help the government structure PPPs.</w:t>
      </w:r>
      <w:r w:rsidR="00553B40">
        <w:t xml:space="preserve"> EBRD and IFC strongly support the project and have expressed their interest to finance suitable projects that are developed as a result of the project activities.</w:t>
      </w:r>
    </w:p>
    <w:p w14:paraId="790B86A7" w14:textId="77777777" w:rsidR="004A2A83" w:rsidRPr="005B5602" w:rsidRDefault="001176E9" w:rsidP="004A2A83">
      <w:pPr>
        <w:pStyle w:val="Bodynumbered"/>
        <w:keepNext/>
        <w:keepLines/>
      </w:pPr>
      <w:r>
        <w:t xml:space="preserve">As described above, one of the functions of the </w:t>
      </w:r>
      <w:r w:rsidR="004A2A83">
        <w:t xml:space="preserve">Project </w:t>
      </w:r>
      <w:r w:rsidR="004A2A83" w:rsidRPr="00EC3EB4">
        <w:t>Board will be ensure appropriate coordination between project partners and their on-going initiatives</w:t>
      </w:r>
      <w:r>
        <w:t xml:space="preserve">. These include </w:t>
      </w:r>
      <w:r w:rsidR="004A2A83" w:rsidRPr="00182B17">
        <w:t>UNDP’s</w:t>
      </w:r>
      <w:r w:rsidR="004A2A83" w:rsidRPr="005B5602">
        <w:t xml:space="preserve"> </w:t>
      </w:r>
      <w:r>
        <w:t>on</w:t>
      </w:r>
      <w:r w:rsidR="004A2A83" w:rsidRPr="005B5602">
        <w:t>going GEF-supported sectoral projects in building, transport and lighting sectors</w:t>
      </w:r>
      <w:r>
        <w:t xml:space="preserve"> including</w:t>
      </w:r>
      <w:r w:rsidR="004A2A83" w:rsidRPr="005B5602">
        <w:t>:</w:t>
      </w:r>
    </w:p>
    <w:p w14:paraId="4A39BA31" w14:textId="77777777" w:rsidR="004A2A83" w:rsidRPr="005B5602" w:rsidRDefault="004A2A83" w:rsidP="007D6892">
      <w:pPr>
        <w:pStyle w:val="Bullets1st"/>
        <w:numPr>
          <w:ilvl w:val="0"/>
          <w:numId w:val="26"/>
        </w:numPr>
        <w:ind w:left="720"/>
      </w:pPr>
      <w:r>
        <w:rPr>
          <w:i/>
        </w:rPr>
        <w:t>UNDP-</w:t>
      </w:r>
      <w:r w:rsidRPr="005B5602">
        <w:rPr>
          <w:i/>
        </w:rPr>
        <w:t>GEF Enabling Activity:</w:t>
      </w:r>
      <w:r>
        <w:t xml:space="preserve"> This project has been approved recently and will </w:t>
      </w:r>
      <w:r w:rsidRPr="005B5602">
        <w:t xml:space="preserve">support </w:t>
      </w:r>
      <w:r>
        <w:t xml:space="preserve">the </w:t>
      </w:r>
      <w:r w:rsidRPr="005B5602">
        <w:t xml:space="preserve">preparation of </w:t>
      </w:r>
      <w:r>
        <w:t xml:space="preserve">the </w:t>
      </w:r>
      <w:r w:rsidRPr="005B5602">
        <w:t xml:space="preserve">national GHG inventory and </w:t>
      </w:r>
      <w:r>
        <w:t>4</w:t>
      </w:r>
      <w:r w:rsidRPr="00DC6DA9">
        <w:rPr>
          <w:vertAlign w:val="superscript"/>
        </w:rPr>
        <w:t>th</w:t>
      </w:r>
      <w:r>
        <w:t xml:space="preserve"> </w:t>
      </w:r>
      <w:r w:rsidRPr="005B5602">
        <w:t xml:space="preserve">National Communication to UNFCCC. The project implemented by KAZNIEK will be an important source of baseline data, analysis, as well as technical skills and knowledge for development of urban inventories, NAMAs and MRVs. </w:t>
      </w:r>
    </w:p>
    <w:p w14:paraId="23A8B7A7" w14:textId="77777777" w:rsidR="004A2A83" w:rsidRPr="005B5602" w:rsidRDefault="004A2A83" w:rsidP="007D6892">
      <w:pPr>
        <w:pStyle w:val="Bullets1st"/>
        <w:numPr>
          <w:ilvl w:val="0"/>
          <w:numId w:val="26"/>
        </w:numPr>
        <w:ind w:left="720"/>
      </w:pPr>
      <w:r w:rsidRPr="005B5602">
        <w:rPr>
          <w:i/>
        </w:rPr>
        <w:t>UNDP-GEF “Removing Barriers to Energy Efficiency in Municipal Heat and Hot Water Supply”:</w:t>
      </w:r>
      <w:r w:rsidRPr="005B5602">
        <w:t xml:space="preserve"> The project </w:t>
      </w:r>
      <w:r>
        <w:t>has been completed</w:t>
      </w:r>
      <w:r w:rsidRPr="005B5602">
        <w:t xml:space="preserve">, </w:t>
      </w:r>
      <w:r>
        <w:t xml:space="preserve">and </w:t>
      </w:r>
      <w:r w:rsidRPr="005B5602">
        <w:t>its results and lessons learn</w:t>
      </w:r>
      <w:r>
        <w:t>ed</w:t>
      </w:r>
      <w:r w:rsidRPr="005B5602">
        <w:t xml:space="preserve"> are essential for the success of the proposed project. First, it facilitated the development and adoption of the revised Law on Energy Saving, including specific provisions to stimulate energy efficiency in municipal heating sector, such as differentiated heat tariff, ESCO modality and EE requirements for district-heating systems. It also supported the establishment of the first </w:t>
      </w:r>
      <w:r>
        <w:t>ESCO</w:t>
      </w:r>
      <w:r w:rsidRPr="005B5602">
        <w:t xml:space="preserve"> in Kazakhstan, which is now acting as the main implementing partner and the source of private co-financing for the publicly funded NMP. The project also successfully piloted tripartite partnership agreements between the municipalities, private sector and association of apartment owners </w:t>
      </w:r>
      <w:r>
        <w:t>for financing and implementing</w:t>
      </w:r>
      <w:r w:rsidRPr="005B5602">
        <w:t xml:space="preserve"> EE retrofit projects in residential sector. </w:t>
      </w:r>
    </w:p>
    <w:p w14:paraId="1A9A50F2" w14:textId="77777777" w:rsidR="004A2A83" w:rsidRPr="005B5602" w:rsidRDefault="004A2A83" w:rsidP="007D6892">
      <w:pPr>
        <w:pStyle w:val="Bullets1st"/>
        <w:numPr>
          <w:ilvl w:val="0"/>
          <w:numId w:val="26"/>
        </w:numPr>
        <w:ind w:left="720"/>
      </w:pPr>
      <w:r w:rsidRPr="005B5602">
        <w:rPr>
          <w:i/>
        </w:rPr>
        <w:t>UNDP-GEF “</w:t>
      </w:r>
      <w:r w:rsidRPr="005B5602">
        <w:rPr>
          <w:rFonts w:cs="Microsoft Sans Serif"/>
          <w:i/>
        </w:rPr>
        <w:t>Energy-Efficient Design and Construction of Residential Buildings</w:t>
      </w:r>
      <w:r w:rsidRPr="005B5602">
        <w:rPr>
          <w:i/>
        </w:rPr>
        <w:t xml:space="preserve">”: </w:t>
      </w:r>
      <w:r>
        <w:t>This on-going project</w:t>
      </w:r>
      <w:r w:rsidRPr="005B5602">
        <w:t xml:space="preserve"> supports the introduction and enforcement of EE building codes</w:t>
      </w:r>
      <w:r>
        <w:t>,</w:t>
      </w:r>
      <w:r w:rsidRPr="005B5602">
        <w:t xml:space="preserve"> and works with publicly funded construction programs to integrate energy efficiency consideration in the design of new residential buildings.</w:t>
      </w:r>
      <w:r w:rsidRPr="005B5602">
        <w:rPr>
          <w:i/>
        </w:rPr>
        <w:t xml:space="preserve"> </w:t>
      </w:r>
      <w:r w:rsidRPr="005B5602">
        <w:t>Bearing in mind that improvement of energy efficiency in building stock offers large and cost-effective GHG emission reduction opportunities in urban sector, this UNDP-GEF project will provide essential analytical data and hands-on experience for the design of prospective NAMAs in urban building sector.</w:t>
      </w:r>
    </w:p>
    <w:p w14:paraId="2D200E23" w14:textId="77777777" w:rsidR="004A2A83" w:rsidRPr="005B5602" w:rsidRDefault="004A2A83" w:rsidP="007D6892">
      <w:pPr>
        <w:pStyle w:val="Bullets1st"/>
        <w:keepLines/>
        <w:numPr>
          <w:ilvl w:val="0"/>
          <w:numId w:val="26"/>
        </w:numPr>
        <w:ind w:left="720"/>
      </w:pPr>
      <w:r w:rsidRPr="005B5602">
        <w:t>UNDP-GEF “</w:t>
      </w:r>
      <w:r w:rsidRPr="005B5602">
        <w:rPr>
          <w:i/>
        </w:rPr>
        <w:t>City of Almaty Sustainable Transport (CAST)</w:t>
      </w:r>
      <w:r w:rsidRPr="005B5602">
        <w:t xml:space="preserve">” project </w:t>
      </w:r>
      <w:r>
        <w:t>f</w:t>
      </w:r>
      <w:r w:rsidRPr="005B5602">
        <w:t>ocus</w:t>
      </w:r>
      <w:r>
        <w:t>es</w:t>
      </w:r>
      <w:r w:rsidRPr="005B5602">
        <w:t xml:space="preserve"> on promoting sustainable urban transport in Kazakhstan’s largest city</w:t>
      </w:r>
      <w:r>
        <w:t xml:space="preserve"> -</w:t>
      </w:r>
      <w:r w:rsidRPr="005B5602">
        <w:t xml:space="preserve"> Almaty. Project experience with GHG accounting and monitoring system</w:t>
      </w:r>
      <w:r>
        <w:t>s</w:t>
      </w:r>
      <w:r w:rsidRPr="005B5602">
        <w:t xml:space="preserve"> for urban transport, as well as with the design and implementation of pilot sustainable urban transport solutions and their respective MRVs, will be essential for developing urban NAMAs in transport sector in Almaty and other Kazakhstani cities. </w:t>
      </w:r>
    </w:p>
    <w:p w14:paraId="41CB0D5C" w14:textId="77777777" w:rsidR="004A2A83" w:rsidRPr="005B5602" w:rsidRDefault="004A2A83" w:rsidP="007D6892">
      <w:pPr>
        <w:pStyle w:val="Bullets1st"/>
        <w:numPr>
          <w:ilvl w:val="0"/>
          <w:numId w:val="26"/>
        </w:numPr>
        <w:ind w:left="720"/>
      </w:pPr>
      <w:r w:rsidRPr="005B5602">
        <w:rPr>
          <w:i/>
        </w:rPr>
        <w:t>UNDP-GEF “Promoting of Energy Efficient Lighting”</w:t>
      </w:r>
      <w:r>
        <w:t>: T</w:t>
      </w:r>
      <w:r w:rsidRPr="005B5602">
        <w:t>his on-going project work</w:t>
      </w:r>
      <w:r>
        <w:t xml:space="preserve">s </w:t>
      </w:r>
      <w:r w:rsidRPr="005B5602">
        <w:t xml:space="preserve">with the Ministry of Industry and Energy to set up </w:t>
      </w:r>
      <w:r>
        <w:t xml:space="preserve">a </w:t>
      </w:r>
      <w:r w:rsidRPr="005B5602">
        <w:t xml:space="preserve">comprehensive policy framework for phasing-out inefficient lighting in Kazakhstan, </w:t>
      </w:r>
      <w:r>
        <w:t xml:space="preserve">and </w:t>
      </w:r>
      <w:r w:rsidRPr="005B5602">
        <w:t>to develop and implement advanced EE solutions for public lighting, such as LED, in cooperation with the municipality of Almaty. As in the case of CAST, this project will provide important baseline data, GHG accounting tools and methodologies, as well as technical knowledge from pilot projects for the design, costing and implementation of urban NAMAs in lighting sector.</w:t>
      </w:r>
    </w:p>
    <w:p w14:paraId="25CC688D" w14:textId="77777777" w:rsidR="004A2A83" w:rsidRPr="005B5602" w:rsidRDefault="001176E9" w:rsidP="006C2D1E">
      <w:pPr>
        <w:pStyle w:val="Bodynumbered"/>
      </w:pPr>
      <w:bookmarkStart w:id="72" w:name="_Ref249345600"/>
      <w:r w:rsidRPr="000A485D">
        <w:t xml:space="preserve">Another relevant ongoing initiative in the urban sector is led by </w:t>
      </w:r>
      <w:r w:rsidRPr="001176E9">
        <w:t>the EBRD, which has approved the use of financing from the Clean Technology Fund, combined</w:t>
      </w:r>
      <w:r w:rsidRPr="00632E93">
        <w:t xml:space="preserve"> with a loan, to upgrade district heating in the city of Almaty</w:t>
      </w:r>
      <w:r w:rsidRPr="00632E93">
        <w:rPr>
          <w:rStyle w:val="FootnoteReference"/>
        </w:rPr>
        <w:footnoteReference w:id="31"/>
      </w:r>
      <w:r w:rsidRPr="00632E93">
        <w:t>.</w:t>
      </w:r>
      <w:bookmarkEnd w:id="72"/>
    </w:p>
    <w:p w14:paraId="2DD3B2CE" w14:textId="77777777" w:rsidR="00E1433A" w:rsidRPr="005B5602" w:rsidRDefault="00E1433A" w:rsidP="00E95FC3">
      <w:pPr>
        <w:pStyle w:val="Heading1"/>
        <w:rPr>
          <w:lang w:val="en-US"/>
        </w:rPr>
      </w:pPr>
      <w:bookmarkStart w:id="73" w:name="_Toc393449006"/>
      <w:r w:rsidRPr="005B5602">
        <w:rPr>
          <w:lang w:val="en-US"/>
        </w:rPr>
        <w:t>Monitoring Framework and Evaluation</w:t>
      </w:r>
      <w:bookmarkEnd w:id="71"/>
      <w:bookmarkEnd w:id="73"/>
    </w:p>
    <w:p w14:paraId="2D7F4A8D" w14:textId="77777777" w:rsidR="00E1433A" w:rsidRPr="0021677F" w:rsidRDefault="00E1433A" w:rsidP="00E1433A">
      <w:pPr>
        <w:spacing w:after="0"/>
        <w:jc w:val="left"/>
        <w:rPr>
          <w:rFonts w:cs="Arial"/>
          <w:szCs w:val="22"/>
          <w:lang w:val="en-US"/>
        </w:rPr>
      </w:pPr>
      <w:r w:rsidRPr="0021677F">
        <w:rPr>
          <w:szCs w:val="22"/>
          <w:lang w:val="en-US"/>
        </w:rPr>
        <w:t xml:space="preserve">The </w:t>
      </w:r>
      <w:r w:rsidR="00416BDF" w:rsidRPr="0021677F">
        <w:rPr>
          <w:szCs w:val="22"/>
          <w:lang w:val="en-US"/>
        </w:rPr>
        <w:t>P</w:t>
      </w:r>
      <w:r w:rsidRPr="0021677F">
        <w:rPr>
          <w:szCs w:val="22"/>
          <w:lang w:val="en-US"/>
        </w:rPr>
        <w:t>roject will be monitored through the foll</w:t>
      </w:r>
      <w:r w:rsidR="005B4C71" w:rsidRPr="0021677F">
        <w:rPr>
          <w:szCs w:val="22"/>
          <w:lang w:val="en-US"/>
        </w:rPr>
        <w:t>owing M&amp; E activities.  The M&amp; E budget is provided in the table below.</w:t>
      </w:r>
      <w:r w:rsidRPr="0021677F">
        <w:rPr>
          <w:szCs w:val="22"/>
          <w:lang w:val="en-US"/>
        </w:rPr>
        <w:t xml:space="preserve">  </w:t>
      </w:r>
    </w:p>
    <w:p w14:paraId="075BC22B" w14:textId="77777777" w:rsidR="00E1433A" w:rsidRPr="0021677F" w:rsidRDefault="00E1433A" w:rsidP="00E1433A">
      <w:pPr>
        <w:rPr>
          <w:rFonts w:cs="Arial"/>
          <w:szCs w:val="22"/>
          <w:lang w:val="en-US"/>
        </w:rPr>
      </w:pPr>
    </w:p>
    <w:p w14:paraId="66348EE9" w14:textId="77777777" w:rsidR="00E1433A" w:rsidRPr="0021677F" w:rsidRDefault="00E1433A" w:rsidP="00E1433A">
      <w:pPr>
        <w:rPr>
          <w:rFonts w:cs="Arial"/>
          <w:b/>
          <w:szCs w:val="22"/>
          <w:u w:val="single"/>
          <w:lang w:val="en-US"/>
        </w:rPr>
      </w:pPr>
      <w:r w:rsidRPr="0021677F">
        <w:rPr>
          <w:rFonts w:cs="Arial"/>
          <w:b/>
          <w:szCs w:val="22"/>
          <w:lang w:val="en-US"/>
        </w:rPr>
        <w:t>Project start:</w:t>
      </w:r>
      <w:r w:rsidRPr="0021677F">
        <w:rPr>
          <w:rFonts w:cs="Arial"/>
          <w:szCs w:val="22"/>
          <w:lang w:val="en-US"/>
        </w:rPr>
        <w:t xml:space="preserve">  </w:t>
      </w:r>
    </w:p>
    <w:p w14:paraId="095B6FB1" w14:textId="77777777" w:rsidR="00B65C96" w:rsidRPr="007315E6" w:rsidRDefault="00E1433A" w:rsidP="00F5694C">
      <w:pPr>
        <w:pStyle w:val="ParaCharChar"/>
        <w:rPr>
          <w:u w:val="none"/>
        </w:rPr>
      </w:pPr>
      <w:r w:rsidRPr="007315E6">
        <w:rPr>
          <w:u w:val="none"/>
        </w:rPr>
        <w:t>A Project Inception Workshop will be held</w:t>
      </w:r>
      <w:r w:rsidR="005B4C71" w:rsidRPr="007315E6">
        <w:rPr>
          <w:u w:val="none"/>
        </w:rPr>
        <w:t xml:space="preserve"> within the first </w:t>
      </w:r>
      <w:r w:rsidR="0062685C" w:rsidRPr="007315E6">
        <w:rPr>
          <w:u w:val="none"/>
        </w:rPr>
        <w:t>2</w:t>
      </w:r>
      <w:r w:rsidR="005B4C71" w:rsidRPr="007315E6">
        <w:rPr>
          <w:u w:val="none"/>
        </w:rPr>
        <w:t xml:space="preserve"> months of project start </w:t>
      </w:r>
      <w:r w:rsidRPr="007315E6">
        <w:rPr>
          <w:u w:val="none"/>
        </w:rPr>
        <w:t xml:space="preserve">with those with assigned roles in the project organization structure, UNDP country office and where appropriate/feasible regional technical policy and programme advisors </w:t>
      </w:r>
      <w:r w:rsidR="00351AC2" w:rsidRPr="007315E6">
        <w:rPr>
          <w:u w:val="none"/>
        </w:rPr>
        <w:t xml:space="preserve">as well as other stakeholders.  </w:t>
      </w:r>
      <w:r w:rsidR="00B65C96" w:rsidRPr="007315E6">
        <w:rPr>
          <w:u w:val="none"/>
        </w:rPr>
        <w:t>The Inception Workshop</w:t>
      </w:r>
      <w:r w:rsidR="009B6C2A" w:rsidRPr="007315E6">
        <w:rPr>
          <w:u w:val="none"/>
        </w:rPr>
        <w:t xml:space="preserve"> is crucial </w:t>
      </w:r>
      <w:r w:rsidR="005808AC" w:rsidRPr="007315E6">
        <w:rPr>
          <w:u w:val="none"/>
        </w:rPr>
        <w:t>to building ownership for the project results and to plan the first year annual work plan.</w:t>
      </w:r>
      <w:r w:rsidR="00B65C96" w:rsidRPr="007315E6">
        <w:rPr>
          <w:u w:val="none"/>
        </w:rPr>
        <w:t xml:space="preserve"> </w:t>
      </w:r>
    </w:p>
    <w:p w14:paraId="13D8941F" w14:textId="77777777" w:rsidR="004E1C0F" w:rsidRPr="007315E6" w:rsidRDefault="00B65C96" w:rsidP="00F5694C">
      <w:pPr>
        <w:pStyle w:val="ParaCharChar"/>
        <w:rPr>
          <w:u w:val="none"/>
        </w:rPr>
      </w:pPr>
      <w:r w:rsidRPr="007315E6">
        <w:rPr>
          <w:u w:val="none"/>
        </w:rPr>
        <w:t xml:space="preserve"> </w:t>
      </w:r>
    </w:p>
    <w:p w14:paraId="76B7334A" w14:textId="77777777" w:rsidR="00E1433A" w:rsidRPr="0021677F" w:rsidRDefault="00E1433A"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Arial"/>
          <w:szCs w:val="22"/>
          <w:lang w:val="en-US"/>
        </w:rPr>
      </w:pPr>
      <w:r w:rsidRPr="0021677F">
        <w:rPr>
          <w:rFonts w:cs="Arial"/>
          <w:szCs w:val="22"/>
          <w:lang w:val="en-US"/>
        </w:rPr>
        <w:t xml:space="preserve">The Inception Workshop </w:t>
      </w:r>
      <w:r w:rsidR="005B4C71" w:rsidRPr="0021677F">
        <w:rPr>
          <w:rFonts w:cs="Arial"/>
          <w:szCs w:val="22"/>
          <w:lang w:val="en-US"/>
        </w:rPr>
        <w:t xml:space="preserve">should </w:t>
      </w:r>
      <w:r w:rsidRPr="0021677F">
        <w:rPr>
          <w:rFonts w:cs="Arial"/>
          <w:szCs w:val="22"/>
          <w:lang w:val="en-US"/>
        </w:rPr>
        <w:t>address</w:t>
      </w:r>
      <w:r w:rsidR="00351AC2" w:rsidRPr="0021677F">
        <w:rPr>
          <w:rFonts w:cs="Arial"/>
          <w:szCs w:val="22"/>
          <w:lang w:val="en-US"/>
        </w:rPr>
        <w:t xml:space="preserve"> a number of </w:t>
      </w:r>
      <w:r w:rsidR="005B4C71" w:rsidRPr="0021677F">
        <w:rPr>
          <w:rFonts w:cs="Arial"/>
          <w:szCs w:val="22"/>
          <w:lang w:val="en-US"/>
        </w:rPr>
        <w:t xml:space="preserve">key </w:t>
      </w:r>
      <w:r w:rsidR="00351AC2" w:rsidRPr="0021677F">
        <w:rPr>
          <w:rFonts w:cs="Arial"/>
          <w:szCs w:val="22"/>
          <w:lang w:val="en-US"/>
        </w:rPr>
        <w:t>issues including</w:t>
      </w:r>
      <w:r w:rsidRPr="0021677F">
        <w:rPr>
          <w:rFonts w:cs="Arial"/>
          <w:szCs w:val="22"/>
          <w:lang w:val="en-US"/>
        </w:rPr>
        <w:t>:</w:t>
      </w:r>
    </w:p>
    <w:p w14:paraId="6D378967" w14:textId="77777777" w:rsidR="005B4C71" w:rsidRPr="0021677F" w:rsidRDefault="005B4C71" w:rsidP="007D6892">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Arial"/>
          <w:szCs w:val="22"/>
          <w:lang w:val="en-US"/>
        </w:rPr>
      </w:pPr>
      <w:r w:rsidRPr="0021677F">
        <w:rPr>
          <w:rFonts w:cs="Arial"/>
          <w:szCs w:val="22"/>
          <w:lang w:val="en-US"/>
        </w:rPr>
        <w:t>Assist all partners to fully understand and take ownership of the project.  Detail the roles, support services and complementary responsibilities of UNDP CO and RCU staff vis à 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069F2770" w14:textId="77777777" w:rsidR="00351AC2" w:rsidRPr="0021677F" w:rsidRDefault="005B4C71" w:rsidP="007D6892">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Arial"/>
          <w:szCs w:val="22"/>
          <w:lang w:val="en-US"/>
        </w:rPr>
      </w:pPr>
      <w:r w:rsidRPr="0021677F">
        <w:rPr>
          <w:rFonts w:cs="Arial"/>
          <w:szCs w:val="22"/>
          <w:lang w:val="en-US"/>
        </w:rPr>
        <w:t xml:space="preserve">Based on the </w:t>
      </w:r>
      <w:r w:rsidR="00E1433A" w:rsidRPr="0021677F">
        <w:rPr>
          <w:rFonts w:cs="Arial"/>
          <w:szCs w:val="22"/>
          <w:lang w:val="en-US"/>
        </w:rPr>
        <w:t>project results framework and the relevant GEF Tracking Tool if appropriate</w:t>
      </w:r>
      <w:r w:rsidRPr="0021677F">
        <w:rPr>
          <w:rFonts w:cs="Arial"/>
          <w:szCs w:val="22"/>
          <w:lang w:val="en-US"/>
        </w:rPr>
        <w:t xml:space="preserve">, finalize the first annual work plan.  </w:t>
      </w:r>
      <w:r w:rsidR="00E1433A" w:rsidRPr="0021677F">
        <w:rPr>
          <w:rFonts w:cs="Arial"/>
          <w:szCs w:val="22"/>
          <w:lang w:val="en-US"/>
        </w:rPr>
        <w:t xml:space="preserve">Review and agree on the indicators, targets and their means of verification, and recheck assumptions and risks.  </w:t>
      </w:r>
    </w:p>
    <w:p w14:paraId="22B8A046" w14:textId="77777777" w:rsidR="00E1433A" w:rsidRPr="0021677F" w:rsidRDefault="00E1433A" w:rsidP="007D6892">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Arial"/>
          <w:szCs w:val="22"/>
          <w:lang w:val="en-US"/>
        </w:rPr>
      </w:pPr>
      <w:r w:rsidRPr="0021677F">
        <w:rPr>
          <w:rFonts w:cs="Arial"/>
          <w:szCs w:val="22"/>
          <w:lang w:val="en-US"/>
        </w:rPr>
        <w:t xml:space="preserve">Provide a detailed overview of reporting, monitoring and evaluation (M&amp;E) requirements.  The Monitoring and Evaluation work plan and budget should be agreed and scheduled. </w:t>
      </w:r>
    </w:p>
    <w:p w14:paraId="1FE953D4" w14:textId="77777777" w:rsidR="00E1433A" w:rsidRPr="0021677F" w:rsidRDefault="00351AC2" w:rsidP="007D6892">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Arial"/>
          <w:szCs w:val="22"/>
          <w:lang w:val="en-US"/>
        </w:rPr>
      </w:pPr>
      <w:r w:rsidRPr="0021677F">
        <w:rPr>
          <w:rFonts w:cs="Arial"/>
          <w:szCs w:val="22"/>
          <w:lang w:val="en-US"/>
        </w:rPr>
        <w:t>D</w:t>
      </w:r>
      <w:r w:rsidR="00E1433A" w:rsidRPr="0021677F">
        <w:rPr>
          <w:rFonts w:cs="Arial"/>
          <w:szCs w:val="22"/>
          <w:lang w:val="en-US"/>
        </w:rPr>
        <w:t>iscuss financial reporting procedures and obligations, and arrangements for annual audit.</w:t>
      </w:r>
    </w:p>
    <w:p w14:paraId="5541C0E9" w14:textId="77777777" w:rsidR="00E1433A" w:rsidRPr="0021677F" w:rsidRDefault="00E1433A" w:rsidP="007D6892">
      <w:pPr>
        <w:numPr>
          <w:ilvl w:val="0"/>
          <w:numId w:val="1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Arial"/>
          <w:szCs w:val="22"/>
          <w:lang w:val="en-US"/>
        </w:rPr>
      </w:pPr>
      <w:r w:rsidRPr="0021677F">
        <w:rPr>
          <w:rFonts w:cs="Arial"/>
          <w:szCs w:val="22"/>
          <w:lang w:val="en-US"/>
        </w:rPr>
        <w:t xml:space="preserve">Plan and schedule Project Board meetings.  Roles </w:t>
      </w:r>
      <w:r w:rsidR="0062685C" w:rsidRPr="0021677F">
        <w:rPr>
          <w:rFonts w:cs="Arial"/>
          <w:szCs w:val="22"/>
          <w:lang w:val="en-US"/>
        </w:rPr>
        <w:t xml:space="preserve">and responsibilities </w:t>
      </w:r>
      <w:r w:rsidRPr="0021677F">
        <w:rPr>
          <w:rFonts w:cs="Arial"/>
          <w:szCs w:val="22"/>
          <w:lang w:val="en-US"/>
        </w:rPr>
        <w:t>of all project organisation structures should be clarified and meetings planned.</w:t>
      </w:r>
      <w:r w:rsidR="0062685C" w:rsidRPr="0021677F">
        <w:rPr>
          <w:rFonts w:cs="Arial"/>
          <w:szCs w:val="22"/>
          <w:lang w:val="en-US"/>
        </w:rPr>
        <w:t xml:space="preserve">  The first Project Board meeting should be held </w:t>
      </w:r>
      <w:r w:rsidR="0062685C" w:rsidRPr="0021677F">
        <w:rPr>
          <w:rFonts w:cs="Arial"/>
          <w:szCs w:val="22"/>
          <w:u w:val="single"/>
          <w:lang w:val="en-US"/>
        </w:rPr>
        <w:t>within the first 12 months</w:t>
      </w:r>
      <w:r w:rsidR="0062685C" w:rsidRPr="0021677F">
        <w:rPr>
          <w:rFonts w:cs="Arial"/>
          <w:szCs w:val="22"/>
          <w:lang w:val="en-US"/>
        </w:rPr>
        <w:t xml:space="preserve"> following the inception workshop.</w:t>
      </w:r>
    </w:p>
    <w:p w14:paraId="56927CC4" w14:textId="77777777" w:rsidR="00B65C96" w:rsidRPr="0021677F" w:rsidRDefault="00B65C96" w:rsidP="00E1433A">
      <w:pPr>
        <w:rPr>
          <w:szCs w:val="22"/>
          <w:lang w:val="en-US"/>
        </w:rPr>
      </w:pPr>
    </w:p>
    <w:p w14:paraId="4CC9480A" w14:textId="77777777" w:rsidR="005B4C71" w:rsidRPr="0021677F" w:rsidRDefault="005808AC" w:rsidP="005808AC">
      <w:pPr>
        <w:jc w:val="left"/>
        <w:rPr>
          <w:rFonts w:cs="Arial"/>
          <w:b/>
          <w:szCs w:val="22"/>
          <w:lang w:val="en-US"/>
        </w:rPr>
      </w:pPr>
      <w:r w:rsidRPr="0021677F">
        <w:rPr>
          <w:szCs w:val="22"/>
          <w:lang w:val="en-US"/>
        </w:rPr>
        <w:t xml:space="preserve">An </w:t>
      </w:r>
      <w:r w:rsidRPr="0021677F">
        <w:rPr>
          <w:szCs w:val="22"/>
          <w:u w:val="single"/>
          <w:lang w:val="en-US"/>
        </w:rPr>
        <w:t>Inception W</w:t>
      </w:r>
      <w:r w:rsidR="00B65C96" w:rsidRPr="0021677F">
        <w:rPr>
          <w:szCs w:val="22"/>
          <w:u w:val="single"/>
          <w:lang w:val="en-US"/>
        </w:rPr>
        <w:t>orkshop</w:t>
      </w:r>
      <w:r w:rsidR="00B65C96" w:rsidRPr="0021677F">
        <w:rPr>
          <w:szCs w:val="22"/>
          <w:lang w:val="en-US"/>
        </w:rPr>
        <w:t xml:space="preserve"> report </w:t>
      </w:r>
      <w:r w:rsidRPr="0021677F">
        <w:rPr>
          <w:szCs w:val="22"/>
          <w:lang w:val="en-US"/>
        </w:rPr>
        <w:t xml:space="preserve">is a key reference document and </w:t>
      </w:r>
      <w:r w:rsidR="00B65C96" w:rsidRPr="0021677F">
        <w:rPr>
          <w:szCs w:val="22"/>
          <w:lang w:val="en-US"/>
        </w:rPr>
        <w:t xml:space="preserve">must be prepared and shared with participants to </w:t>
      </w:r>
      <w:r w:rsidRPr="0021677F">
        <w:rPr>
          <w:szCs w:val="22"/>
          <w:lang w:val="en-US"/>
        </w:rPr>
        <w:t>formalize various</w:t>
      </w:r>
      <w:r w:rsidR="00B65C96" w:rsidRPr="0021677F">
        <w:rPr>
          <w:szCs w:val="22"/>
          <w:lang w:val="en-US"/>
        </w:rPr>
        <w:t xml:space="preserve"> agreement</w:t>
      </w:r>
      <w:r w:rsidRPr="0021677F">
        <w:rPr>
          <w:szCs w:val="22"/>
          <w:lang w:val="en-US"/>
        </w:rPr>
        <w:t xml:space="preserve">s and plans decided during the meeting.  </w:t>
      </w:r>
    </w:p>
    <w:p w14:paraId="60DD837E" w14:textId="77777777" w:rsidR="00B65C96" w:rsidRPr="0021677F" w:rsidRDefault="00B65C96" w:rsidP="00E1433A">
      <w:pPr>
        <w:rPr>
          <w:rFonts w:cs="Arial"/>
          <w:b/>
          <w:szCs w:val="22"/>
          <w:lang w:val="en-US"/>
        </w:rPr>
      </w:pPr>
    </w:p>
    <w:p w14:paraId="2D0A6D23" w14:textId="77777777" w:rsidR="00E1433A" w:rsidRPr="0021677F" w:rsidRDefault="00E1433A" w:rsidP="00E1433A">
      <w:pPr>
        <w:rPr>
          <w:rFonts w:cs="Arial"/>
          <w:b/>
          <w:szCs w:val="22"/>
          <w:lang w:val="en-US"/>
        </w:rPr>
      </w:pPr>
      <w:r w:rsidRPr="0021677F">
        <w:rPr>
          <w:rFonts w:cs="Arial"/>
          <w:b/>
          <w:szCs w:val="22"/>
          <w:lang w:val="en-US"/>
        </w:rPr>
        <w:t>Quarterly:</w:t>
      </w:r>
    </w:p>
    <w:p w14:paraId="0409B4EE" w14:textId="77777777" w:rsidR="00023435" w:rsidRPr="0021677F" w:rsidRDefault="00023435" w:rsidP="007D6892">
      <w:pPr>
        <w:pStyle w:val="Bullets"/>
        <w:numPr>
          <w:ilvl w:val="0"/>
          <w:numId w:val="13"/>
        </w:numPr>
        <w:spacing w:after="120"/>
        <w:rPr>
          <w:rFonts w:ascii="Arial" w:hAnsi="Arial" w:cs="Arial"/>
          <w:noProof w:val="0"/>
        </w:rPr>
      </w:pPr>
      <w:r w:rsidRPr="0021677F">
        <w:rPr>
          <w:rFonts w:ascii="Arial" w:hAnsi="Arial" w:cs="Arial"/>
          <w:noProof w:val="0"/>
        </w:rPr>
        <w:t>Progress made shall be monitored in the UNDP Enhanced Results Based Managment Platform.</w:t>
      </w:r>
    </w:p>
    <w:p w14:paraId="036EC071" w14:textId="77777777" w:rsidR="005B4C71" w:rsidRPr="0021677F" w:rsidRDefault="00E1433A" w:rsidP="007D6892">
      <w:pPr>
        <w:pStyle w:val="Bullets"/>
        <w:numPr>
          <w:ilvl w:val="0"/>
          <w:numId w:val="13"/>
        </w:numPr>
        <w:spacing w:after="120"/>
        <w:rPr>
          <w:rFonts w:ascii="Arial" w:hAnsi="Arial" w:cs="Arial"/>
          <w:noProof w:val="0"/>
        </w:rPr>
      </w:pPr>
      <w:r w:rsidRPr="0021677F">
        <w:rPr>
          <w:rFonts w:ascii="Arial" w:hAnsi="Arial" w:cs="Arial"/>
          <w:noProof w:val="0"/>
        </w:rPr>
        <w:t xml:space="preserve">Based on the initial risk analysis submitted, </w:t>
      </w:r>
      <w:r w:rsidR="00E30C04" w:rsidRPr="0021677F">
        <w:rPr>
          <w:rFonts w:ascii="Arial" w:hAnsi="Arial" w:cs="Arial"/>
          <w:noProof w:val="0"/>
        </w:rPr>
        <w:t>the</w:t>
      </w:r>
      <w:r w:rsidRPr="0021677F">
        <w:rPr>
          <w:rFonts w:ascii="Arial" w:hAnsi="Arial" w:cs="Arial"/>
          <w:noProof w:val="0"/>
        </w:rPr>
        <w:t xml:space="preserve"> risk log shall be regularly updated</w:t>
      </w:r>
      <w:r w:rsidR="00E30C04" w:rsidRPr="0021677F">
        <w:rPr>
          <w:rFonts w:ascii="Arial" w:hAnsi="Arial" w:cs="Arial"/>
          <w:noProof w:val="0"/>
        </w:rPr>
        <w:t xml:space="preserve"> in ATLAS</w:t>
      </w:r>
      <w:r w:rsidRPr="0021677F">
        <w:rPr>
          <w:rFonts w:ascii="Arial" w:hAnsi="Arial" w:cs="Arial"/>
          <w:noProof w:val="0"/>
        </w:rPr>
        <w:t xml:space="preserve">.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4AD96872" w14:textId="77777777" w:rsidR="00E1433A" w:rsidRPr="0021677F" w:rsidRDefault="00E1433A" w:rsidP="007D6892">
      <w:pPr>
        <w:pStyle w:val="Bullets"/>
        <w:numPr>
          <w:ilvl w:val="0"/>
          <w:numId w:val="13"/>
        </w:numPr>
        <w:spacing w:after="120"/>
        <w:rPr>
          <w:rFonts w:ascii="Arial" w:hAnsi="Arial" w:cs="Arial"/>
          <w:noProof w:val="0"/>
        </w:rPr>
      </w:pPr>
      <w:r w:rsidRPr="0021677F">
        <w:rPr>
          <w:rFonts w:ascii="Arial" w:hAnsi="Arial" w:cs="Arial"/>
          <w:noProof w:val="0"/>
          <w:color w:val="000000"/>
        </w:rPr>
        <w:t>Based on the information recorded in Atlas, a Project Progress Reports (PPR) can be generated in the Executive Snapshot.</w:t>
      </w:r>
    </w:p>
    <w:p w14:paraId="1188BC80" w14:textId="77777777" w:rsidR="005808AC" w:rsidRPr="0021677F" w:rsidRDefault="005808AC" w:rsidP="007D6892">
      <w:pPr>
        <w:pStyle w:val="Bullets"/>
        <w:numPr>
          <w:ilvl w:val="0"/>
          <w:numId w:val="13"/>
        </w:numPr>
        <w:spacing w:after="120"/>
        <w:rPr>
          <w:rFonts w:ascii="Arial" w:hAnsi="Arial" w:cs="Arial"/>
          <w:noProof w:val="0"/>
        </w:rPr>
      </w:pPr>
      <w:r w:rsidRPr="0021677F">
        <w:rPr>
          <w:rFonts w:ascii="Arial" w:hAnsi="Arial" w:cs="Arial"/>
          <w:noProof w:val="0"/>
          <w:color w:val="000000"/>
        </w:rPr>
        <w:t xml:space="preserve">Other ATLAS logs can </w:t>
      </w:r>
      <w:r w:rsidR="00B22ED9" w:rsidRPr="0021677F">
        <w:rPr>
          <w:rFonts w:ascii="Arial" w:hAnsi="Arial" w:cs="Arial"/>
          <w:noProof w:val="0"/>
          <w:color w:val="000000"/>
        </w:rPr>
        <w:t xml:space="preserve">be used to </w:t>
      </w:r>
      <w:r w:rsidRPr="0021677F">
        <w:rPr>
          <w:rFonts w:ascii="Arial" w:hAnsi="Arial" w:cs="Arial"/>
          <w:noProof w:val="0"/>
          <w:color w:val="000000"/>
        </w:rPr>
        <w:t>monitor issues</w:t>
      </w:r>
      <w:r w:rsidR="00C64027" w:rsidRPr="0021677F">
        <w:rPr>
          <w:rFonts w:ascii="Arial" w:hAnsi="Arial" w:cs="Arial"/>
          <w:noProof w:val="0"/>
          <w:color w:val="000000"/>
        </w:rPr>
        <w:t>,</w:t>
      </w:r>
      <w:r w:rsidRPr="0021677F">
        <w:rPr>
          <w:rFonts w:ascii="Arial" w:hAnsi="Arial" w:cs="Arial"/>
          <w:noProof w:val="0"/>
          <w:color w:val="000000"/>
        </w:rPr>
        <w:t xml:space="preserve"> lessons learned etc..</w:t>
      </w:r>
      <w:r w:rsidR="00C64027" w:rsidRPr="0021677F">
        <w:rPr>
          <w:rFonts w:ascii="Arial" w:hAnsi="Arial" w:cs="Arial"/>
          <w:noProof w:val="0"/>
          <w:color w:val="000000"/>
        </w:rPr>
        <w:t>.  The use of these functions is a key indicator in the UNDP</w:t>
      </w:r>
      <w:r w:rsidR="006E7EA0" w:rsidRPr="0021677F">
        <w:rPr>
          <w:rFonts w:ascii="Arial" w:hAnsi="Arial" w:cs="Arial"/>
          <w:noProof w:val="0"/>
          <w:color w:val="000000"/>
        </w:rPr>
        <w:t xml:space="preserve"> Executive Balanced Scorecard.</w:t>
      </w:r>
    </w:p>
    <w:p w14:paraId="45B4413B" w14:textId="77777777" w:rsidR="00B22ED9" w:rsidRPr="0021677F" w:rsidRDefault="00B22ED9" w:rsidP="00E1433A">
      <w:pPr>
        <w:spacing w:after="0"/>
        <w:jc w:val="left"/>
        <w:rPr>
          <w:rFonts w:cs="Arial"/>
          <w:b/>
          <w:szCs w:val="22"/>
          <w:lang w:val="en-US"/>
        </w:rPr>
      </w:pPr>
    </w:p>
    <w:p w14:paraId="2F376042" w14:textId="77777777" w:rsidR="00E1433A" w:rsidRPr="0021677F" w:rsidRDefault="00E1433A" w:rsidP="00E1433A">
      <w:pPr>
        <w:spacing w:after="0"/>
        <w:jc w:val="left"/>
        <w:rPr>
          <w:rFonts w:cs="Arial"/>
          <w:b/>
          <w:szCs w:val="22"/>
          <w:lang w:val="en-US"/>
        </w:rPr>
      </w:pPr>
      <w:r w:rsidRPr="0021677F">
        <w:rPr>
          <w:rFonts w:cs="Arial"/>
          <w:b/>
          <w:szCs w:val="22"/>
          <w:lang w:val="en-US"/>
        </w:rPr>
        <w:t>Annually:</w:t>
      </w:r>
    </w:p>
    <w:p w14:paraId="7A74860F" w14:textId="77777777" w:rsidR="005808AC" w:rsidRPr="0021677F" w:rsidRDefault="00E1433A" w:rsidP="007D6892">
      <w:pPr>
        <w:numPr>
          <w:ilvl w:val="0"/>
          <w:numId w:val="14"/>
        </w:numPr>
        <w:spacing w:after="0"/>
        <w:jc w:val="left"/>
        <w:rPr>
          <w:rFonts w:cs="Arial"/>
          <w:szCs w:val="22"/>
          <w:u w:val="single"/>
          <w:lang w:val="en-US"/>
        </w:rPr>
      </w:pPr>
      <w:r w:rsidRPr="0021677F">
        <w:rPr>
          <w:rFonts w:cs="Arial"/>
          <w:szCs w:val="22"/>
          <w:u w:val="single"/>
          <w:lang w:val="en-US"/>
        </w:rPr>
        <w:t>Annual Project Re</w:t>
      </w:r>
      <w:r w:rsidR="006E7EA0" w:rsidRPr="0021677F">
        <w:rPr>
          <w:rFonts w:cs="Arial"/>
          <w:szCs w:val="22"/>
          <w:u w:val="single"/>
          <w:lang w:val="en-US"/>
        </w:rPr>
        <w:t>view</w:t>
      </w:r>
      <w:r w:rsidRPr="0021677F">
        <w:rPr>
          <w:rFonts w:cs="Arial"/>
          <w:szCs w:val="22"/>
          <w:u w:val="single"/>
          <w:lang w:val="en-US"/>
        </w:rPr>
        <w:t>/Project Implementation Re</w:t>
      </w:r>
      <w:r w:rsidR="00D4275C" w:rsidRPr="0021677F">
        <w:rPr>
          <w:rFonts w:cs="Arial"/>
          <w:szCs w:val="22"/>
          <w:u w:val="single"/>
          <w:lang w:val="en-US"/>
        </w:rPr>
        <w:t xml:space="preserve">ports </w:t>
      </w:r>
      <w:r w:rsidRPr="0021677F">
        <w:rPr>
          <w:rFonts w:cs="Arial"/>
          <w:szCs w:val="22"/>
          <w:u w:val="single"/>
          <w:lang w:val="en-US"/>
        </w:rPr>
        <w:t>(APR/PIR</w:t>
      </w:r>
      <w:r w:rsidRPr="0021677F">
        <w:rPr>
          <w:rFonts w:cs="Arial"/>
          <w:szCs w:val="22"/>
          <w:lang w:val="en-US"/>
        </w:rPr>
        <w:t xml:space="preserve">):  </w:t>
      </w:r>
      <w:r w:rsidR="004C127C" w:rsidRPr="0021677F">
        <w:rPr>
          <w:rFonts w:cs="Arial"/>
          <w:szCs w:val="22"/>
          <w:lang w:val="en-US"/>
        </w:rPr>
        <w:t xml:space="preserve">This </w:t>
      </w:r>
      <w:r w:rsidR="005808AC" w:rsidRPr="0021677F">
        <w:rPr>
          <w:rFonts w:cs="Arial"/>
          <w:szCs w:val="22"/>
          <w:lang w:val="en-US"/>
        </w:rPr>
        <w:t xml:space="preserve">key </w:t>
      </w:r>
      <w:r w:rsidR="004C127C" w:rsidRPr="0021677F">
        <w:rPr>
          <w:rFonts w:cs="Arial"/>
          <w:szCs w:val="22"/>
          <w:lang w:val="en-US"/>
        </w:rPr>
        <w:t xml:space="preserve">report </w:t>
      </w:r>
      <w:r w:rsidR="005808AC" w:rsidRPr="0021677F">
        <w:rPr>
          <w:rFonts w:cs="Arial"/>
          <w:szCs w:val="22"/>
          <w:lang w:val="en-US"/>
        </w:rPr>
        <w:t xml:space="preserve">is prepared to monitor progress made </w:t>
      </w:r>
      <w:r w:rsidR="00075056" w:rsidRPr="0021677F">
        <w:rPr>
          <w:rFonts w:cs="Arial"/>
          <w:szCs w:val="22"/>
          <w:lang w:val="en-US"/>
        </w:rPr>
        <w:t xml:space="preserve">since project start and in </w:t>
      </w:r>
      <w:r w:rsidR="005808AC" w:rsidRPr="0021677F">
        <w:rPr>
          <w:rFonts w:cs="Arial"/>
          <w:szCs w:val="22"/>
          <w:lang w:val="en-US"/>
        </w:rPr>
        <w:t xml:space="preserve">particular for the previous reporting period </w:t>
      </w:r>
      <w:r w:rsidR="00075056" w:rsidRPr="0021677F">
        <w:rPr>
          <w:rFonts w:cs="Arial"/>
          <w:szCs w:val="22"/>
          <w:lang w:val="en-US"/>
        </w:rPr>
        <w:t>(</w:t>
      </w:r>
      <w:r w:rsidR="005808AC" w:rsidRPr="0021677F">
        <w:rPr>
          <w:rFonts w:cs="Arial"/>
          <w:szCs w:val="22"/>
          <w:lang w:val="en-US"/>
        </w:rPr>
        <w:t>30 June to 1 July</w:t>
      </w:r>
      <w:r w:rsidR="00075056" w:rsidRPr="0021677F">
        <w:rPr>
          <w:rFonts w:cs="Arial"/>
          <w:szCs w:val="22"/>
          <w:lang w:val="en-US"/>
        </w:rPr>
        <w:t>)</w:t>
      </w:r>
      <w:r w:rsidR="005808AC" w:rsidRPr="0021677F">
        <w:rPr>
          <w:rFonts w:cs="Arial"/>
          <w:szCs w:val="22"/>
          <w:lang w:val="en-US"/>
        </w:rPr>
        <w:t>.  The APR/PIR co</w:t>
      </w:r>
      <w:r w:rsidRPr="0021677F">
        <w:rPr>
          <w:rFonts w:cs="Arial"/>
          <w:szCs w:val="22"/>
          <w:lang w:val="en-US"/>
        </w:rPr>
        <w:t xml:space="preserve">mbines </w:t>
      </w:r>
      <w:r w:rsidR="005808AC" w:rsidRPr="0021677F">
        <w:rPr>
          <w:rFonts w:cs="Arial"/>
          <w:szCs w:val="22"/>
          <w:lang w:val="en-US"/>
        </w:rPr>
        <w:t xml:space="preserve">both </w:t>
      </w:r>
      <w:r w:rsidRPr="0021677F">
        <w:rPr>
          <w:rFonts w:cs="Arial"/>
          <w:szCs w:val="22"/>
          <w:lang w:val="en-US"/>
        </w:rPr>
        <w:t>UNDP and GEF reporting requirements</w:t>
      </w:r>
      <w:r w:rsidR="00351AC2" w:rsidRPr="0021677F">
        <w:rPr>
          <w:rFonts w:cs="Arial"/>
          <w:szCs w:val="22"/>
          <w:lang w:val="en-US"/>
        </w:rPr>
        <w:t xml:space="preserve">.  </w:t>
      </w:r>
    </w:p>
    <w:p w14:paraId="6347F598" w14:textId="77777777" w:rsidR="00AB410B" w:rsidRPr="0021677F" w:rsidRDefault="00AB410B" w:rsidP="00AB410B">
      <w:pPr>
        <w:pStyle w:val="NormalWeb"/>
        <w:spacing w:before="0" w:beforeAutospacing="0" w:after="0" w:afterAutospacing="0"/>
        <w:ind w:left="360"/>
        <w:jc w:val="left"/>
        <w:rPr>
          <w:rFonts w:ascii="Arial" w:hAnsi="Arial" w:cs="Arial"/>
          <w:sz w:val="22"/>
          <w:szCs w:val="22"/>
        </w:rPr>
      </w:pPr>
    </w:p>
    <w:p w14:paraId="5AA5A3B4" w14:textId="77777777" w:rsidR="00AB410B" w:rsidRPr="0021677F" w:rsidRDefault="00AB410B" w:rsidP="00AB410B">
      <w:pPr>
        <w:pStyle w:val="NormalWeb"/>
        <w:spacing w:before="0" w:beforeAutospacing="0" w:after="0" w:afterAutospacing="0"/>
        <w:ind w:left="360"/>
        <w:jc w:val="left"/>
        <w:rPr>
          <w:rFonts w:ascii="Arial" w:hAnsi="Arial" w:cs="Arial"/>
          <w:sz w:val="22"/>
          <w:szCs w:val="22"/>
        </w:rPr>
      </w:pPr>
      <w:r w:rsidRPr="0021677F">
        <w:rPr>
          <w:rFonts w:ascii="Arial" w:hAnsi="Arial" w:cs="Arial"/>
          <w:sz w:val="22"/>
          <w:szCs w:val="22"/>
        </w:rPr>
        <w:t>The APR/PIR includes, but is not limited to, reporting on the following:</w:t>
      </w:r>
    </w:p>
    <w:p w14:paraId="1F862847" w14:textId="77777777" w:rsidR="00AB410B" w:rsidRPr="0021677F" w:rsidRDefault="00AB410B" w:rsidP="007D6892">
      <w:pPr>
        <w:pStyle w:val="NormalWeb"/>
        <w:numPr>
          <w:ilvl w:val="0"/>
          <w:numId w:val="18"/>
        </w:numPr>
        <w:spacing w:before="0" w:beforeAutospacing="0" w:after="0" w:afterAutospacing="0"/>
        <w:jc w:val="left"/>
        <w:rPr>
          <w:rFonts w:ascii="Arial" w:hAnsi="Arial" w:cs="Arial"/>
          <w:sz w:val="22"/>
          <w:szCs w:val="22"/>
        </w:rPr>
      </w:pPr>
      <w:r w:rsidRPr="0021677F">
        <w:rPr>
          <w:rFonts w:ascii="Arial" w:hAnsi="Arial" w:cs="Arial"/>
          <w:sz w:val="22"/>
          <w:szCs w:val="22"/>
        </w:rPr>
        <w:t>Progress made toward project objective and project outcomes - each with indicators, baseline data and end-of-project targets (</w:t>
      </w:r>
      <w:r w:rsidR="002F3761" w:rsidRPr="0021677F">
        <w:rPr>
          <w:rFonts w:ascii="Arial" w:hAnsi="Arial" w:cs="Arial"/>
          <w:sz w:val="22"/>
          <w:szCs w:val="22"/>
        </w:rPr>
        <w:t>cumulative</w:t>
      </w:r>
      <w:r w:rsidRPr="0021677F">
        <w:rPr>
          <w:rFonts w:ascii="Arial" w:hAnsi="Arial" w:cs="Arial"/>
          <w:sz w:val="22"/>
          <w:szCs w:val="22"/>
        </w:rPr>
        <w:t xml:space="preserve">)  </w:t>
      </w:r>
    </w:p>
    <w:p w14:paraId="78C3F73E" w14:textId="77777777" w:rsidR="00AB410B" w:rsidRPr="0021677F" w:rsidRDefault="00AB410B" w:rsidP="007D6892">
      <w:pPr>
        <w:pStyle w:val="NormalWeb"/>
        <w:numPr>
          <w:ilvl w:val="0"/>
          <w:numId w:val="18"/>
        </w:numPr>
        <w:spacing w:before="0" w:beforeAutospacing="0" w:after="0" w:afterAutospacing="0"/>
        <w:jc w:val="left"/>
        <w:rPr>
          <w:rFonts w:ascii="Arial" w:hAnsi="Arial" w:cs="Arial"/>
          <w:sz w:val="22"/>
          <w:szCs w:val="22"/>
        </w:rPr>
      </w:pPr>
      <w:r w:rsidRPr="0021677F">
        <w:rPr>
          <w:rFonts w:ascii="Arial" w:hAnsi="Arial" w:cs="Arial"/>
          <w:sz w:val="22"/>
          <w:szCs w:val="22"/>
        </w:rPr>
        <w:t xml:space="preserve">Project outputs delivered per project outcome (annual). </w:t>
      </w:r>
    </w:p>
    <w:p w14:paraId="10F1025B" w14:textId="77777777" w:rsidR="00AB410B" w:rsidRPr="0021677F" w:rsidRDefault="00AB410B" w:rsidP="007D6892">
      <w:pPr>
        <w:pStyle w:val="NormalWeb"/>
        <w:numPr>
          <w:ilvl w:val="0"/>
          <w:numId w:val="18"/>
        </w:numPr>
        <w:spacing w:before="0" w:beforeAutospacing="0" w:after="0" w:afterAutospacing="0"/>
        <w:jc w:val="left"/>
        <w:rPr>
          <w:rFonts w:ascii="Arial" w:hAnsi="Arial" w:cs="Arial"/>
          <w:sz w:val="22"/>
          <w:szCs w:val="22"/>
        </w:rPr>
      </w:pPr>
      <w:r w:rsidRPr="0021677F">
        <w:rPr>
          <w:rFonts w:ascii="Arial" w:hAnsi="Arial" w:cs="Arial"/>
          <w:sz w:val="22"/>
          <w:szCs w:val="22"/>
        </w:rPr>
        <w:t>Lesson learned/good practice.</w:t>
      </w:r>
    </w:p>
    <w:p w14:paraId="08F42837" w14:textId="77777777" w:rsidR="00AB410B" w:rsidRPr="0021677F" w:rsidRDefault="00AB410B" w:rsidP="007D6892">
      <w:pPr>
        <w:pStyle w:val="NormalWeb"/>
        <w:numPr>
          <w:ilvl w:val="0"/>
          <w:numId w:val="18"/>
        </w:numPr>
        <w:spacing w:before="0" w:beforeAutospacing="0" w:after="0" w:afterAutospacing="0"/>
        <w:jc w:val="left"/>
        <w:rPr>
          <w:rFonts w:ascii="Arial" w:hAnsi="Arial" w:cs="Arial"/>
          <w:sz w:val="22"/>
          <w:szCs w:val="22"/>
        </w:rPr>
      </w:pPr>
      <w:r w:rsidRPr="0021677F">
        <w:rPr>
          <w:rFonts w:ascii="Arial" w:hAnsi="Arial" w:cs="Arial"/>
          <w:sz w:val="22"/>
          <w:szCs w:val="22"/>
        </w:rPr>
        <w:t>AWP and other expenditure reports</w:t>
      </w:r>
    </w:p>
    <w:p w14:paraId="19B78094" w14:textId="77777777" w:rsidR="00AB410B" w:rsidRPr="0021677F" w:rsidRDefault="00AB410B" w:rsidP="007D6892">
      <w:pPr>
        <w:pStyle w:val="NormalWeb"/>
        <w:numPr>
          <w:ilvl w:val="0"/>
          <w:numId w:val="18"/>
        </w:numPr>
        <w:spacing w:before="0" w:beforeAutospacing="0" w:after="0" w:afterAutospacing="0"/>
        <w:jc w:val="left"/>
        <w:rPr>
          <w:rFonts w:ascii="Arial" w:hAnsi="Arial" w:cs="Arial"/>
          <w:sz w:val="22"/>
          <w:szCs w:val="22"/>
        </w:rPr>
      </w:pPr>
      <w:r w:rsidRPr="0021677F">
        <w:rPr>
          <w:rFonts w:ascii="Arial" w:hAnsi="Arial" w:cs="Arial"/>
          <w:sz w:val="22"/>
          <w:szCs w:val="22"/>
        </w:rPr>
        <w:t>Risk and adaptive management</w:t>
      </w:r>
    </w:p>
    <w:p w14:paraId="2FCC62E4" w14:textId="77777777" w:rsidR="00D4275C" w:rsidRPr="0021677F" w:rsidRDefault="00D4275C" w:rsidP="007D6892">
      <w:pPr>
        <w:pStyle w:val="NormalWeb"/>
        <w:numPr>
          <w:ilvl w:val="0"/>
          <w:numId w:val="18"/>
        </w:numPr>
        <w:spacing w:before="0" w:beforeAutospacing="0" w:after="0" w:afterAutospacing="0"/>
        <w:jc w:val="left"/>
        <w:rPr>
          <w:rFonts w:ascii="Arial" w:hAnsi="Arial" w:cs="Arial"/>
          <w:sz w:val="22"/>
          <w:szCs w:val="22"/>
        </w:rPr>
      </w:pPr>
      <w:r w:rsidRPr="0021677F">
        <w:rPr>
          <w:rFonts w:ascii="Arial" w:hAnsi="Arial" w:cs="Arial"/>
          <w:sz w:val="22"/>
          <w:szCs w:val="22"/>
        </w:rPr>
        <w:t>ATLAS QPR</w:t>
      </w:r>
    </w:p>
    <w:p w14:paraId="4EFA9659" w14:textId="77777777" w:rsidR="00AB410B" w:rsidRPr="0021677F" w:rsidRDefault="00AB410B" w:rsidP="007D6892">
      <w:pPr>
        <w:pStyle w:val="NormalWeb"/>
        <w:numPr>
          <w:ilvl w:val="0"/>
          <w:numId w:val="18"/>
        </w:numPr>
        <w:spacing w:before="0" w:beforeAutospacing="0" w:after="0" w:afterAutospacing="0"/>
        <w:jc w:val="left"/>
        <w:rPr>
          <w:rFonts w:ascii="Arial" w:hAnsi="Arial" w:cs="Arial"/>
          <w:sz w:val="22"/>
          <w:szCs w:val="22"/>
        </w:rPr>
      </w:pPr>
      <w:r w:rsidRPr="0021677F">
        <w:rPr>
          <w:rFonts w:ascii="Arial" w:hAnsi="Arial" w:cs="Arial"/>
          <w:sz w:val="22"/>
          <w:szCs w:val="22"/>
        </w:rPr>
        <w:t xml:space="preserve">Portfolio level indicators (i.e. GEF focal area tracking tools) are used by most focal areas on an annual basis as well.  </w:t>
      </w:r>
    </w:p>
    <w:p w14:paraId="7E66C625" w14:textId="77777777" w:rsidR="00E1433A" w:rsidRPr="0021677F" w:rsidRDefault="00E1433A" w:rsidP="00AB410B">
      <w:pPr>
        <w:spacing w:after="0"/>
        <w:ind w:left="360"/>
        <w:jc w:val="left"/>
        <w:rPr>
          <w:rFonts w:cs="Arial"/>
          <w:szCs w:val="22"/>
          <w:u w:val="single"/>
          <w:lang w:val="en-US"/>
        </w:rPr>
      </w:pPr>
      <w:r w:rsidRPr="0021677F">
        <w:rPr>
          <w:rFonts w:cs="Arial"/>
          <w:szCs w:val="22"/>
          <w:lang w:val="en-US"/>
        </w:rPr>
        <w:t xml:space="preserve"> </w:t>
      </w:r>
    </w:p>
    <w:p w14:paraId="47CC7646" w14:textId="77777777" w:rsidR="00E1433A" w:rsidRPr="0021677F" w:rsidRDefault="00E1433A" w:rsidP="00E1433A">
      <w:pPr>
        <w:jc w:val="left"/>
        <w:rPr>
          <w:rFonts w:cs="Arial"/>
          <w:szCs w:val="22"/>
          <w:lang w:val="en-US"/>
        </w:rPr>
      </w:pPr>
      <w:r w:rsidRPr="0021677F">
        <w:rPr>
          <w:rFonts w:cs="Arial"/>
          <w:b/>
          <w:bCs/>
          <w:iCs/>
          <w:szCs w:val="22"/>
          <w:lang w:val="en-US"/>
        </w:rPr>
        <w:t>Periodic Monitoring through site visits:</w:t>
      </w:r>
    </w:p>
    <w:p w14:paraId="09E22696" w14:textId="77777777" w:rsidR="00E1433A" w:rsidRPr="0021677F" w:rsidRDefault="00E1433A"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Arial"/>
          <w:szCs w:val="22"/>
          <w:lang w:val="en-US"/>
        </w:rPr>
      </w:pPr>
      <w:r w:rsidRPr="0021677F">
        <w:rPr>
          <w:rFonts w:cs="Arial"/>
          <w:szCs w:val="22"/>
          <w:lang w:val="en-US"/>
        </w:rPr>
        <w:t xml:space="preserve">UNDP CO and </w:t>
      </w:r>
      <w:r w:rsidR="00D4275C" w:rsidRPr="0021677F">
        <w:rPr>
          <w:rFonts w:cs="Arial"/>
          <w:szCs w:val="22"/>
          <w:lang w:val="en-US"/>
        </w:rPr>
        <w:t xml:space="preserve">the </w:t>
      </w:r>
      <w:r w:rsidRPr="0021677F">
        <w:rPr>
          <w:rFonts w:cs="Arial"/>
          <w:szCs w:val="22"/>
          <w:lang w:val="en-US"/>
        </w:rPr>
        <w:t xml:space="preserve">UNDP RCU </w:t>
      </w:r>
      <w:r w:rsidR="00D4275C" w:rsidRPr="0021677F">
        <w:rPr>
          <w:rFonts w:cs="Arial"/>
          <w:szCs w:val="22"/>
          <w:lang w:val="en-US"/>
        </w:rPr>
        <w:t>will</w:t>
      </w:r>
      <w:r w:rsidRPr="0021677F">
        <w:rPr>
          <w:rFonts w:cs="Arial"/>
          <w:szCs w:val="22"/>
          <w:lang w:val="en-US"/>
        </w:rPr>
        <w:t xml:space="preserve"> conduct visits to project sites based on </w:t>
      </w:r>
      <w:r w:rsidR="00D4275C" w:rsidRPr="0021677F">
        <w:rPr>
          <w:rFonts w:cs="Arial"/>
          <w:szCs w:val="22"/>
          <w:lang w:val="en-US"/>
        </w:rPr>
        <w:t>the</w:t>
      </w:r>
      <w:r w:rsidRPr="0021677F">
        <w:rPr>
          <w:rFonts w:cs="Arial"/>
          <w:szCs w:val="22"/>
          <w:lang w:val="en-US"/>
        </w:rPr>
        <w:t xml:space="preserve"> agreed schedule in the project's Inception Report/Annual Work Plan to assess first hand project progress.  </w:t>
      </w:r>
      <w:r w:rsidR="00D4275C" w:rsidRPr="0021677F">
        <w:rPr>
          <w:rFonts w:cs="Arial"/>
          <w:szCs w:val="22"/>
          <w:lang w:val="en-US"/>
        </w:rPr>
        <w:t>O</w:t>
      </w:r>
      <w:r w:rsidRPr="0021677F">
        <w:rPr>
          <w:rFonts w:cs="Arial"/>
          <w:szCs w:val="22"/>
          <w:lang w:val="en-US"/>
        </w:rPr>
        <w:t>ther member</w:t>
      </w:r>
      <w:r w:rsidR="00D4275C" w:rsidRPr="0021677F">
        <w:rPr>
          <w:rFonts w:cs="Arial"/>
          <w:szCs w:val="22"/>
          <w:lang w:val="en-US"/>
        </w:rPr>
        <w:t>s</w:t>
      </w:r>
      <w:r w:rsidRPr="0021677F">
        <w:rPr>
          <w:rFonts w:cs="Arial"/>
          <w:szCs w:val="22"/>
          <w:lang w:val="en-US"/>
        </w:rPr>
        <w:t xml:space="preserve"> of the Project Board </w:t>
      </w:r>
      <w:r w:rsidR="00D4275C" w:rsidRPr="0021677F">
        <w:rPr>
          <w:rFonts w:cs="Arial"/>
          <w:szCs w:val="22"/>
          <w:lang w:val="en-US"/>
        </w:rPr>
        <w:t>may</w:t>
      </w:r>
      <w:r w:rsidRPr="0021677F">
        <w:rPr>
          <w:rFonts w:cs="Arial"/>
          <w:szCs w:val="22"/>
          <w:lang w:val="en-US"/>
        </w:rPr>
        <w:t xml:space="preserve"> also join these visits.  A Field Visit Report/BTOR will be prepared by the CO and UNDP RCU and </w:t>
      </w:r>
      <w:r w:rsidR="00D4275C" w:rsidRPr="0021677F">
        <w:rPr>
          <w:rFonts w:cs="Arial"/>
          <w:szCs w:val="22"/>
          <w:lang w:val="en-US"/>
        </w:rPr>
        <w:t xml:space="preserve">will be </w:t>
      </w:r>
      <w:r w:rsidRPr="0021677F">
        <w:rPr>
          <w:rFonts w:cs="Arial"/>
          <w:szCs w:val="22"/>
          <w:lang w:val="en-US"/>
        </w:rPr>
        <w:t>circulated no less than one month after the visit to the project team and Project Board members.</w:t>
      </w:r>
    </w:p>
    <w:p w14:paraId="43EF0316" w14:textId="77777777" w:rsidR="00E1433A" w:rsidRPr="0021677F" w:rsidRDefault="00E1433A"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Arial"/>
          <w:b/>
          <w:szCs w:val="22"/>
          <w:u w:val="single"/>
          <w:lang w:val="en-US"/>
        </w:rPr>
      </w:pPr>
    </w:p>
    <w:p w14:paraId="43563E7B" w14:textId="77777777" w:rsidR="00E1433A" w:rsidRPr="0021677F" w:rsidRDefault="00E1433A"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Arial"/>
          <w:szCs w:val="22"/>
          <w:lang w:val="en-US"/>
        </w:rPr>
      </w:pPr>
      <w:r w:rsidRPr="0021677F">
        <w:rPr>
          <w:rFonts w:cs="Arial"/>
          <w:b/>
          <w:szCs w:val="22"/>
          <w:lang w:val="en-US"/>
        </w:rPr>
        <w:t>Mid-term of project cycle:</w:t>
      </w:r>
    </w:p>
    <w:p w14:paraId="5EA7C634" w14:textId="77777777" w:rsidR="00D4275C" w:rsidRPr="007315E6" w:rsidRDefault="00D4275C" w:rsidP="00F5694C">
      <w:pPr>
        <w:pStyle w:val="ParaCharChar"/>
        <w:rPr>
          <w:u w:val="none"/>
        </w:rPr>
      </w:pPr>
      <w:r w:rsidRPr="007315E6">
        <w:rPr>
          <w:u w:val="none"/>
        </w:rPr>
        <w:t xml:space="preserve">The project will undergo an independent Mid-Term Evaluation at the mid-point of project implementation (insert date).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in particular the </w:t>
      </w:r>
      <w:hyperlink r:id="rId25" w:history="1">
        <w:r w:rsidRPr="007315E6">
          <w:rPr>
            <w:rStyle w:val="Hyperlink"/>
            <w:u w:val="none"/>
          </w:rPr>
          <w:t>UNDP Evaluation Office Evaluation Resource Center (ERC)</w:t>
        </w:r>
      </w:hyperlink>
      <w:r w:rsidRPr="007315E6">
        <w:rPr>
          <w:u w:val="none"/>
        </w:rPr>
        <w:t xml:space="preserve">.  </w:t>
      </w:r>
    </w:p>
    <w:p w14:paraId="656BAAB4" w14:textId="77777777" w:rsidR="00E1433A" w:rsidRPr="007315E6" w:rsidRDefault="00E1433A" w:rsidP="00F5694C">
      <w:pPr>
        <w:pStyle w:val="ParaCharChar"/>
        <w:rPr>
          <w:u w:val="none"/>
        </w:rPr>
      </w:pPr>
    </w:p>
    <w:p w14:paraId="6E80B838" w14:textId="77777777" w:rsidR="00E1433A" w:rsidRPr="007315E6" w:rsidRDefault="00D4275C" w:rsidP="00F5694C">
      <w:pPr>
        <w:pStyle w:val="ParaCharChar"/>
        <w:rPr>
          <w:u w:val="none"/>
        </w:rPr>
      </w:pPr>
      <w:r w:rsidRPr="007315E6">
        <w:rPr>
          <w:u w:val="none"/>
        </w:rPr>
        <w:t>T</w:t>
      </w:r>
      <w:r w:rsidR="00E1433A" w:rsidRPr="007315E6">
        <w:rPr>
          <w:u w:val="none"/>
        </w:rPr>
        <w:t xml:space="preserve">he relevant GEF Focal Area Tracking Tools </w:t>
      </w:r>
      <w:r w:rsidRPr="007315E6">
        <w:rPr>
          <w:u w:val="none"/>
        </w:rPr>
        <w:t xml:space="preserve">will also be completed </w:t>
      </w:r>
      <w:r w:rsidR="00E1433A" w:rsidRPr="007315E6">
        <w:rPr>
          <w:u w:val="none"/>
        </w:rPr>
        <w:t>during the mid-term evaluation cycle</w:t>
      </w:r>
      <w:r w:rsidRPr="007315E6">
        <w:rPr>
          <w:u w:val="none"/>
        </w:rPr>
        <w:t>.</w:t>
      </w:r>
      <w:r w:rsidR="00E1433A" w:rsidRPr="007315E6">
        <w:rPr>
          <w:u w:val="none"/>
        </w:rPr>
        <w:t xml:space="preserve"> </w:t>
      </w:r>
    </w:p>
    <w:p w14:paraId="5B282DB5" w14:textId="77777777" w:rsidR="00E1433A" w:rsidRPr="007315E6" w:rsidRDefault="00E1433A" w:rsidP="00F5694C">
      <w:pPr>
        <w:pStyle w:val="ParaCharChar"/>
        <w:rPr>
          <w:u w:val="none"/>
        </w:rPr>
      </w:pPr>
    </w:p>
    <w:p w14:paraId="2F6E7237" w14:textId="77777777" w:rsidR="00E1433A" w:rsidRPr="007315E6" w:rsidRDefault="00E1433A"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Arial"/>
          <w:b/>
          <w:szCs w:val="22"/>
          <w:lang w:val="en-US"/>
        </w:rPr>
      </w:pPr>
      <w:r w:rsidRPr="007315E6">
        <w:rPr>
          <w:rFonts w:cs="Arial"/>
          <w:b/>
          <w:szCs w:val="22"/>
          <w:lang w:val="en-US"/>
        </w:rPr>
        <w:t>End of Project:</w:t>
      </w:r>
    </w:p>
    <w:p w14:paraId="3B206C51" w14:textId="77777777" w:rsidR="00D4275C" w:rsidRPr="007315E6" w:rsidRDefault="00D4275C" w:rsidP="00F5694C">
      <w:pPr>
        <w:pStyle w:val="ParaCharChar"/>
        <w:rPr>
          <w:u w:val="none"/>
        </w:rPr>
      </w:pPr>
      <w:r w:rsidRPr="007315E6">
        <w:rPr>
          <w:u w:val="none"/>
        </w:rPr>
        <w:t>An independent Final Evaluation will take place three months prior to the final Project Board meeting and will be undertaken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65E82C13" w14:textId="77777777" w:rsidR="00DB18FA" w:rsidRPr="001176E9" w:rsidRDefault="00E1433A" w:rsidP="00F5694C">
      <w:pPr>
        <w:pStyle w:val="ParaCharChar"/>
        <w:rPr>
          <w:u w:val="none"/>
        </w:rPr>
      </w:pPr>
      <w:r w:rsidRPr="007315E6">
        <w:rPr>
          <w:u w:val="none"/>
        </w:rPr>
        <w:t xml:space="preserve">The Terminal Evaluation should also provide recommendations for follow-up activities and </w:t>
      </w:r>
      <w:r w:rsidRPr="001176E9">
        <w:rPr>
          <w:u w:val="none"/>
        </w:rPr>
        <w:t>requires a management response</w:t>
      </w:r>
      <w:r w:rsidR="00DB18FA" w:rsidRPr="001176E9">
        <w:rPr>
          <w:u w:val="none"/>
        </w:rPr>
        <w:t xml:space="preserve"> which should be uploaded to PIMS and to the </w:t>
      </w:r>
      <w:hyperlink r:id="rId26" w:history="1">
        <w:r w:rsidR="00DB18FA" w:rsidRPr="001176E9">
          <w:rPr>
            <w:rStyle w:val="Hyperlink"/>
            <w:color w:val="auto"/>
            <w:u w:val="none"/>
          </w:rPr>
          <w:t>UNDP Evaluation Office Evaluation Resource Center (ERC)</w:t>
        </w:r>
      </w:hyperlink>
      <w:r w:rsidR="00DB18FA" w:rsidRPr="001176E9">
        <w:rPr>
          <w:u w:val="none"/>
        </w:rPr>
        <w:t xml:space="preserve">.  </w:t>
      </w:r>
    </w:p>
    <w:p w14:paraId="16EFCE24" w14:textId="77777777" w:rsidR="00D4275C" w:rsidRPr="007315E6" w:rsidRDefault="00D4275C" w:rsidP="00F5694C">
      <w:pPr>
        <w:pStyle w:val="ParaCharChar"/>
        <w:rPr>
          <w:u w:val="none"/>
        </w:rPr>
      </w:pPr>
      <w:r w:rsidRPr="007315E6">
        <w:rPr>
          <w:u w:val="none"/>
        </w:rPr>
        <w:t xml:space="preserve">The relevant GEF Focal Area Tracking Tools will also be completed during the final evaluation. </w:t>
      </w:r>
    </w:p>
    <w:p w14:paraId="08C3EA83" w14:textId="77777777" w:rsidR="00D4275C" w:rsidRPr="007315E6" w:rsidRDefault="00D4275C" w:rsidP="00912D0E">
      <w:pPr>
        <w:pStyle w:val="ParaCharChar"/>
        <w:rPr>
          <w:u w:val="none"/>
        </w:rPr>
      </w:pPr>
      <w:bookmarkStart w:id="74" w:name="_Toc159568199"/>
      <w:bookmarkStart w:id="75" w:name="_Toc108965478"/>
      <w:bookmarkStart w:id="76" w:name="_Toc104107685"/>
      <w:bookmarkStart w:id="77" w:name="_Toc104107489"/>
      <w:bookmarkStart w:id="78" w:name="_Toc170813554"/>
      <w:bookmarkStart w:id="79" w:name="_Toc170813973"/>
      <w:r w:rsidRPr="007315E6">
        <w:rPr>
          <w:u w:val="none"/>
        </w:rPr>
        <w:t>During the last three months</w:t>
      </w:r>
      <w:r w:rsidR="003D461A" w:rsidRPr="007315E6">
        <w:rPr>
          <w:u w:val="none"/>
        </w:rPr>
        <w:t xml:space="preserve">, </w:t>
      </w:r>
      <w:r w:rsidRPr="007315E6">
        <w:rPr>
          <w:u w:val="none"/>
        </w:rPr>
        <w:t xml:space="preserve">the project team will prepare the Project Terminal Report. This comprehensive report will summarize </w:t>
      </w:r>
      <w:r w:rsidR="003D461A" w:rsidRPr="007315E6">
        <w:rPr>
          <w:u w:val="none"/>
        </w:rPr>
        <w:t>the results achieved (objectives, outcomes, outputs)</w:t>
      </w:r>
      <w:r w:rsidRPr="007315E6">
        <w:rPr>
          <w:u w:val="none"/>
        </w:rPr>
        <w:t xml:space="preserve">, </w:t>
      </w:r>
      <w:r w:rsidR="003D461A" w:rsidRPr="007315E6">
        <w:rPr>
          <w:u w:val="none"/>
        </w:rPr>
        <w:t xml:space="preserve">lessons learned, problems met and areas where results may not have been achieved.  </w:t>
      </w:r>
      <w:r w:rsidRPr="007315E6">
        <w:rPr>
          <w:u w:val="none"/>
        </w:rPr>
        <w:t xml:space="preserve">It will also lay out recommendations for any further steps that may need to be taken to ensure sustainability and replicability of the project’s </w:t>
      </w:r>
      <w:r w:rsidR="003D461A" w:rsidRPr="007315E6">
        <w:rPr>
          <w:u w:val="none"/>
        </w:rPr>
        <w:t>results</w:t>
      </w:r>
      <w:r w:rsidRPr="007315E6">
        <w:rPr>
          <w:u w:val="none"/>
        </w:rPr>
        <w:t>.</w:t>
      </w:r>
    </w:p>
    <w:p w14:paraId="5F08563D" w14:textId="77777777" w:rsidR="00D4275C" w:rsidRPr="007315E6" w:rsidRDefault="00D4275C" w:rsidP="00D4275C">
      <w:pPr>
        <w:rPr>
          <w:b/>
          <w:szCs w:val="22"/>
          <w:lang w:val="en-US"/>
        </w:rPr>
      </w:pPr>
    </w:p>
    <w:p w14:paraId="5DE15A45" w14:textId="77777777" w:rsidR="00D4275C" w:rsidRPr="007315E6" w:rsidRDefault="00D4275C" w:rsidP="00D4275C">
      <w:pPr>
        <w:rPr>
          <w:b/>
          <w:szCs w:val="22"/>
          <w:lang w:val="en-US"/>
        </w:rPr>
      </w:pPr>
      <w:r w:rsidRPr="007315E6">
        <w:rPr>
          <w:b/>
          <w:szCs w:val="22"/>
          <w:lang w:val="en-US"/>
        </w:rPr>
        <w:t>Learning and knowledge sharing</w:t>
      </w:r>
      <w:bookmarkEnd w:id="74"/>
      <w:bookmarkEnd w:id="75"/>
      <w:bookmarkEnd w:id="76"/>
      <w:bookmarkEnd w:id="77"/>
      <w:bookmarkEnd w:id="78"/>
      <w:bookmarkEnd w:id="79"/>
      <w:r w:rsidR="003D461A" w:rsidRPr="007315E6">
        <w:rPr>
          <w:b/>
          <w:szCs w:val="22"/>
          <w:lang w:val="en-US"/>
        </w:rPr>
        <w:t>:</w:t>
      </w:r>
    </w:p>
    <w:p w14:paraId="2950E96D" w14:textId="77777777" w:rsidR="003D461A" w:rsidRPr="007315E6" w:rsidRDefault="00D4275C" w:rsidP="00F5694C">
      <w:pPr>
        <w:pStyle w:val="ParaCharChar"/>
        <w:rPr>
          <w:u w:val="none"/>
        </w:rPr>
      </w:pPr>
      <w:r w:rsidRPr="007315E6">
        <w:rPr>
          <w:u w:val="none"/>
        </w:rPr>
        <w:t xml:space="preserve">Results from the project will be disseminated within and beyond the project intervention zone through existing information sharing networks and forums.  </w:t>
      </w:r>
    </w:p>
    <w:p w14:paraId="2017C4B4" w14:textId="77777777" w:rsidR="00D4275C" w:rsidRPr="007315E6" w:rsidRDefault="00D4275C" w:rsidP="00F5694C">
      <w:pPr>
        <w:pStyle w:val="ParaCharChar"/>
        <w:rPr>
          <w:u w:val="none"/>
        </w:rPr>
      </w:pPr>
      <w:r w:rsidRPr="007315E6">
        <w:rPr>
          <w:u w:val="none"/>
        </w:rPr>
        <w:t>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w:t>
      </w:r>
      <w:r w:rsidR="003D461A" w:rsidRPr="007315E6">
        <w:rPr>
          <w:u w:val="none"/>
        </w:rPr>
        <w:t xml:space="preserve">  </w:t>
      </w:r>
    </w:p>
    <w:p w14:paraId="4AE1F984" w14:textId="77777777" w:rsidR="00E1433A" w:rsidRPr="007315E6" w:rsidRDefault="00D4275C" w:rsidP="00F5694C">
      <w:pPr>
        <w:pStyle w:val="ParaCharChar"/>
        <w:rPr>
          <w:u w:val="none"/>
        </w:rPr>
      </w:pPr>
      <w:r w:rsidRPr="007315E6">
        <w:rPr>
          <w:u w:val="none"/>
        </w:rPr>
        <w:t xml:space="preserve">Finally, there will be a two-way flow of information between </w:t>
      </w:r>
      <w:r w:rsidR="003D461A" w:rsidRPr="007315E6">
        <w:rPr>
          <w:u w:val="none"/>
        </w:rPr>
        <w:t xml:space="preserve">this project and other projects of a similar focus.  </w:t>
      </w:r>
    </w:p>
    <w:p w14:paraId="5A2E2BC5" w14:textId="77777777" w:rsidR="0009107D" w:rsidRPr="007315E6" w:rsidRDefault="00B31194" w:rsidP="00FC1F80">
      <w:pPr>
        <w:pStyle w:val="PlainText"/>
        <w:spacing w:before="120"/>
        <w:rPr>
          <w:rFonts w:ascii="Arial" w:hAnsi="Arial" w:cs="Arial"/>
          <w:b/>
          <w:iCs/>
          <w:sz w:val="22"/>
          <w:szCs w:val="22"/>
        </w:rPr>
      </w:pPr>
      <w:r w:rsidRPr="007315E6">
        <w:rPr>
          <w:rFonts w:ascii="Arial" w:hAnsi="Arial" w:cs="Arial"/>
          <w:b/>
          <w:iCs/>
          <w:sz w:val="22"/>
          <w:szCs w:val="22"/>
        </w:rPr>
        <w:t>Communications and visibility requirements</w:t>
      </w:r>
      <w:r w:rsidR="00FC1F80" w:rsidRPr="007315E6">
        <w:rPr>
          <w:rFonts w:ascii="Arial" w:hAnsi="Arial" w:cs="Arial"/>
          <w:b/>
          <w:iCs/>
          <w:sz w:val="22"/>
          <w:szCs w:val="22"/>
        </w:rPr>
        <w:t>:</w:t>
      </w:r>
    </w:p>
    <w:p w14:paraId="38521735" w14:textId="77777777" w:rsidR="000125B2" w:rsidRPr="007315E6" w:rsidRDefault="000125B2" w:rsidP="00F5694C">
      <w:pPr>
        <w:pStyle w:val="ParaCharChar"/>
        <w:rPr>
          <w:u w:val="none"/>
        </w:rPr>
      </w:pPr>
      <w:r w:rsidRPr="007315E6">
        <w:rPr>
          <w:u w:val="none"/>
        </w:rPr>
        <w:t xml:space="preserve">Full compliance is required with UNDP’s Branding Guidelines.  These can be accessed at </w:t>
      </w:r>
      <w:hyperlink r:id="rId27" w:history="1">
        <w:r w:rsidRPr="007315E6">
          <w:rPr>
            <w:rStyle w:val="Hyperlink"/>
            <w:u w:val="none"/>
          </w:rPr>
          <w:t>http://intra.undp.org/coa/branding.shtml</w:t>
        </w:r>
      </w:hyperlink>
      <w:r w:rsidRPr="007315E6">
        <w:rPr>
          <w:u w:val="none"/>
        </w:rPr>
        <w:t xml:space="preserve">, and specific guidelines on UNDP logo use can be accessed at: </w:t>
      </w:r>
      <w:hyperlink r:id="rId28" w:history="1">
        <w:r w:rsidRPr="007315E6">
          <w:rPr>
            <w:rStyle w:val="Hyperlink"/>
            <w:u w:val="none"/>
          </w:rPr>
          <w:t>http://intra.undp.org/branding/useOfLogo.html</w:t>
        </w:r>
      </w:hyperlink>
      <w:r w:rsidRPr="007315E6">
        <w:rPr>
          <w:u w:val="none"/>
        </w:rP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w:t>
      </w:r>
      <w:hyperlink r:id="rId29" w:history="1">
        <w:r w:rsidRPr="007315E6">
          <w:rPr>
            <w:u w:val="none"/>
          </w:rPr>
          <w:t>GEF logo</w:t>
        </w:r>
      </w:hyperlink>
      <w:r w:rsidRPr="007315E6">
        <w:rPr>
          <w:u w:val="none"/>
        </w:rPr>
        <w:t xml:space="preserve"> can be accessed at: </w:t>
      </w:r>
      <w:hyperlink r:id="rId30" w:history="1">
        <w:r w:rsidRPr="007315E6">
          <w:rPr>
            <w:u w:val="none"/>
          </w:rPr>
          <w:t>http://www.thegef.org/gef/GEF_logo</w:t>
        </w:r>
      </w:hyperlink>
      <w:r w:rsidRPr="007315E6">
        <w:rPr>
          <w:u w:val="none"/>
        </w:rPr>
        <w:t xml:space="preserve">.   The </w:t>
      </w:r>
      <w:hyperlink r:id="rId31" w:history="1">
        <w:r w:rsidRPr="007315E6">
          <w:rPr>
            <w:u w:val="none"/>
          </w:rPr>
          <w:t>UNDP logo</w:t>
        </w:r>
      </w:hyperlink>
      <w:r w:rsidRPr="007315E6">
        <w:rPr>
          <w:u w:val="none"/>
        </w:rPr>
        <w:t xml:space="preserve"> can be accessed at </w:t>
      </w:r>
      <w:hyperlink r:id="rId32" w:history="1">
        <w:r w:rsidRPr="007315E6">
          <w:rPr>
            <w:rStyle w:val="Hyperlink"/>
            <w:u w:val="none"/>
          </w:rPr>
          <w:t>http://intra.undp.org/coa/branding.shtml</w:t>
        </w:r>
      </w:hyperlink>
      <w:r w:rsidRPr="007315E6">
        <w:rPr>
          <w:u w:val="none"/>
        </w:rPr>
        <w:t>.</w:t>
      </w:r>
    </w:p>
    <w:p w14:paraId="405122A6" w14:textId="77777777" w:rsidR="00DE3A5F" w:rsidRPr="007315E6" w:rsidRDefault="00DE3A5F" w:rsidP="00F5694C">
      <w:pPr>
        <w:pStyle w:val="ParaCharChar"/>
        <w:rPr>
          <w:u w:val="none"/>
        </w:rPr>
      </w:pPr>
      <w:r w:rsidRPr="007315E6">
        <w:rPr>
          <w:u w:val="none"/>
        </w:rPr>
        <w:t xml:space="preserve">Full compliance is also required with the GEF’s Communication and Visibility Guidelines (the “GEF Guidelines”).  The GEF Guidelines can be accessed at: </w:t>
      </w:r>
      <w:hyperlink r:id="rId33" w:history="1">
        <w:r w:rsidRPr="007315E6">
          <w:rPr>
            <w:rStyle w:val="Hyperlink"/>
            <w:u w:val="none"/>
          </w:rPr>
          <w:t>http://www.thegef.org/gef/sites/thegef.org/files/documents/C.40.08_Branding_the_GEF%20final_0.pdf</w:t>
        </w:r>
      </w:hyperlink>
      <w:r w:rsidRPr="007315E6">
        <w:rPr>
          <w:u w:val="none"/>
        </w:rP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03AAFE58" w14:textId="77777777" w:rsidR="00DE3A5F" w:rsidRPr="007315E6" w:rsidRDefault="00DE3A5F" w:rsidP="00F5694C">
      <w:pPr>
        <w:pStyle w:val="ParaCharChar"/>
        <w:rPr>
          <w:u w:val="none"/>
        </w:rPr>
      </w:pPr>
      <w:r w:rsidRPr="007315E6">
        <w:rPr>
          <w:u w:val="none"/>
        </w:rPr>
        <w:t xml:space="preserve">Where other agencies and project partners have provided support through co-financing, their branding policies </w:t>
      </w:r>
      <w:r w:rsidR="004F02C7" w:rsidRPr="007315E6">
        <w:rPr>
          <w:u w:val="none"/>
        </w:rPr>
        <w:t xml:space="preserve">and requirements </w:t>
      </w:r>
      <w:r w:rsidRPr="007315E6">
        <w:rPr>
          <w:u w:val="none"/>
        </w:rPr>
        <w:t xml:space="preserve">should </w:t>
      </w:r>
      <w:r w:rsidR="004F02C7" w:rsidRPr="007315E6">
        <w:rPr>
          <w:u w:val="none"/>
        </w:rPr>
        <w:t>be similarly applied</w:t>
      </w:r>
      <w:r w:rsidRPr="007315E6">
        <w:rPr>
          <w:u w:val="none"/>
        </w:rPr>
        <w:t>.</w:t>
      </w:r>
    </w:p>
    <w:p w14:paraId="51EC26BF" w14:textId="77777777" w:rsidR="00FC1F80" w:rsidRPr="0021677F" w:rsidRDefault="00FC1F80" w:rsidP="00E1433A">
      <w:pPr>
        <w:spacing w:after="0"/>
        <w:jc w:val="left"/>
        <w:rPr>
          <w:szCs w:val="22"/>
          <w:lang w:val="en-US"/>
        </w:rPr>
      </w:pPr>
    </w:p>
    <w:p w14:paraId="6B9750BD" w14:textId="77777777" w:rsidR="001176E9" w:rsidRDefault="001176E9">
      <w:pPr>
        <w:spacing w:after="0"/>
        <w:jc w:val="left"/>
        <w:rPr>
          <w:rFonts w:cs="Arial"/>
          <w:b/>
          <w:szCs w:val="22"/>
          <w:lang w:val="en-US"/>
        </w:rPr>
      </w:pPr>
      <w:r>
        <w:rPr>
          <w:rFonts w:cs="Arial"/>
          <w:b/>
          <w:szCs w:val="22"/>
          <w:lang w:val="en-US"/>
        </w:rPr>
        <w:br w:type="page"/>
      </w:r>
    </w:p>
    <w:p w14:paraId="27015D52" w14:textId="77777777" w:rsidR="00E1433A" w:rsidRPr="0021677F" w:rsidRDefault="00E1433A" w:rsidP="00E1433A">
      <w:pPr>
        <w:rPr>
          <w:rFonts w:cs="Arial"/>
          <w:b/>
          <w:szCs w:val="22"/>
          <w:u w:val="single"/>
          <w:lang w:val="en-US"/>
        </w:rPr>
      </w:pPr>
      <w:r w:rsidRPr="0021677F">
        <w:rPr>
          <w:rFonts w:cs="Arial"/>
          <w:b/>
          <w:szCs w:val="22"/>
          <w:lang w:val="en-US"/>
        </w:rPr>
        <w:t>M&amp; E workplan and budget</w:t>
      </w:r>
    </w:p>
    <w:p w14:paraId="7A65D399" w14:textId="77777777" w:rsidR="00E1433A" w:rsidRPr="0021677F" w:rsidRDefault="00E1433A"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szCs w:val="22"/>
          <w:lang w:val="en-US"/>
        </w:rPr>
      </w:pPr>
    </w:p>
    <w:tbl>
      <w:tblPr>
        <w:tblW w:w="54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9"/>
        <w:gridCol w:w="3727"/>
        <w:gridCol w:w="2486"/>
        <w:gridCol w:w="2028"/>
      </w:tblGrid>
      <w:tr w:rsidR="00E1433A" w:rsidRPr="005B5602" w14:paraId="18557C7E" w14:textId="77777777">
        <w:trPr>
          <w:tblHeader/>
          <w:jc w:val="center"/>
        </w:trPr>
        <w:tc>
          <w:tcPr>
            <w:tcW w:w="1038" w:type="pct"/>
            <w:shd w:val="clear" w:color="auto" w:fill="808080"/>
          </w:tcPr>
          <w:p w14:paraId="2F73995B" w14:textId="77777777" w:rsidR="00E1433A" w:rsidRPr="005B5602" w:rsidRDefault="00E1433A" w:rsidP="005751FA">
            <w:pPr>
              <w:jc w:val="center"/>
              <w:rPr>
                <w:rFonts w:cs="Arial"/>
                <w:b/>
                <w:sz w:val="20"/>
                <w:szCs w:val="20"/>
                <w:lang w:val="en-US"/>
              </w:rPr>
            </w:pPr>
            <w:r w:rsidRPr="005B5602">
              <w:rPr>
                <w:rFonts w:cs="Arial"/>
                <w:b/>
                <w:sz w:val="20"/>
                <w:szCs w:val="20"/>
                <w:lang w:val="en-US"/>
              </w:rPr>
              <w:t>Type of M&amp;E activity</w:t>
            </w:r>
          </w:p>
        </w:tc>
        <w:tc>
          <w:tcPr>
            <w:tcW w:w="1792" w:type="pct"/>
            <w:shd w:val="clear" w:color="auto" w:fill="808080"/>
          </w:tcPr>
          <w:p w14:paraId="00CF0CCF" w14:textId="77777777" w:rsidR="00E1433A" w:rsidRPr="005B5602" w:rsidRDefault="00E1433A" w:rsidP="005751FA">
            <w:pPr>
              <w:jc w:val="center"/>
              <w:rPr>
                <w:rFonts w:cs="Arial"/>
                <w:b/>
                <w:sz w:val="20"/>
                <w:szCs w:val="20"/>
                <w:lang w:val="en-US"/>
              </w:rPr>
            </w:pPr>
            <w:r w:rsidRPr="005B5602">
              <w:rPr>
                <w:rFonts w:cs="Arial"/>
                <w:b/>
                <w:sz w:val="20"/>
                <w:szCs w:val="20"/>
                <w:lang w:val="en-US"/>
              </w:rPr>
              <w:t>Responsible Parties</w:t>
            </w:r>
          </w:p>
        </w:tc>
        <w:tc>
          <w:tcPr>
            <w:tcW w:w="1195" w:type="pct"/>
            <w:shd w:val="clear" w:color="auto" w:fill="808080"/>
          </w:tcPr>
          <w:p w14:paraId="222AFF06" w14:textId="77777777" w:rsidR="00E1433A" w:rsidRPr="005B5602" w:rsidRDefault="00E1433A" w:rsidP="005751FA">
            <w:pPr>
              <w:jc w:val="center"/>
              <w:rPr>
                <w:rFonts w:cs="Arial"/>
                <w:b/>
                <w:sz w:val="20"/>
                <w:szCs w:val="20"/>
                <w:lang w:val="en-US"/>
              </w:rPr>
            </w:pPr>
            <w:r w:rsidRPr="005B5602">
              <w:rPr>
                <w:rFonts w:cs="Arial"/>
                <w:b/>
                <w:sz w:val="20"/>
                <w:szCs w:val="20"/>
                <w:lang w:val="en-US"/>
              </w:rPr>
              <w:t>Budget US$</w:t>
            </w:r>
          </w:p>
          <w:p w14:paraId="668647E5" w14:textId="77777777" w:rsidR="00E1433A" w:rsidRPr="005B5602" w:rsidRDefault="00E1433A" w:rsidP="005751FA">
            <w:pPr>
              <w:jc w:val="center"/>
              <w:rPr>
                <w:rFonts w:cs="Arial"/>
                <w:bCs/>
                <w:i/>
                <w:iCs/>
                <w:sz w:val="20"/>
                <w:szCs w:val="20"/>
                <w:lang w:val="en-US"/>
              </w:rPr>
            </w:pPr>
            <w:r w:rsidRPr="005B5602">
              <w:rPr>
                <w:rFonts w:cs="Arial"/>
                <w:bCs/>
                <w:i/>
                <w:iCs/>
                <w:sz w:val="20"/>
                <w:szCs w:val="20"/>
                <w:lang w:val="en-US"/>
              </w:rPr>
              <w:t>Excluding project team staff time</w:t>
            </w:r>
          </w:p>
        </w:tc>
        <w:tc>
          <w:tcPr>
            <w:tcW w:w="975" w:type="pct"/>
            <w:shd w:val="clear" w:color="auto" w:fill="808080"/>
          </w:tcPr>
          <w:p w14:paraId="488102CE" w14:textId="77777777" w:rsidR="00E1433A" w:rsidRPr="005B5602" w:rsidRDefault="00E1433A" w:rsidP="005751FA">
            <w:pPr>
              <w:jc w:val="left"/>
              <w:rPr>
                <w:rFonts w:cs="Arial"/>
                <w:b/>
                <w:sz w:val="20"/>
                <w:szCs w:val="20"/>
                <w:lang w:val="en-US"/>
              </w:rPr>
            </w:pPr>
            <w:r w:rsidRPr="005B5602">
              <w:rPr>
                <w:rFonts w:cs="Arial"/>
                <w:b/>
                <w:sz w:val="20"/>
                <w:szCs w:val="20"/>
                <w:lang w:val="en-US"/>
              </w:rPr>
              <w:t>Time frame</w:t>
            </w:r>
          </w:p>
        </w:tc>
      </w:tr>
      <w:tr w:rsidR="00E1433A" w:rsidRPr="005B5602" w14:paraId="64D71F5F" w14:textId="77777777">
        <w:trPr>
          <w:jc w:val="center"/>
        </w:trPr>
        <w:tc>
          <w:tcPr>
            <w:tcW w:w="1038" w:type="pct"/>
            <w:vAlign w:val="center"/>
          </w:tcPr>
          <w:p w14:paraId="2295B794" w14:textId="77777777" w:rsidR="00E1433A" w:rsidRPr="005B5602" w:rsidRDefault="00E1433A" w:rsidP="005751FA">
            <w:pPr>
              <w:rPr>
                <w:rFonts w:cs="Arial"/>
                <w:sz w:val="18"/>
                <w:szCs w:val="18"/>
                <w:lang w:val="en-US"/>
              </w:rPr>
            </w:pPr>
            <w:r w:rsidRPr="005B5602">
              <w:rPr>
                <w:rFonts w:cs="Arial"/>
                <w:sz w:val="18"/>
                <w:szCs w:val="18"/>
                <w:lang w:val="en-US"/>
              </w:rPr>
              <w:t>Inception Workshop and Report</w:t>
            </w:r>
          </w:p>
        </w:tc>
        <w:tc>
          <w:tcPr>
            <w:tcW w:w="1792" w:type="pct"/>
            <w:vAlign w:val="center"/>
          </w:tcPr>
          <w:p w14:paraId="64B07F61" w14:textId="77777777" w:rsidR="00E1433A" w:rsidRPr="005B5602" w:rsidRDefault="00E1433A" w:rsidP="007D6892">
            <w:pPr>
              <w:numPr>
                <w:ilvl w:val="0"/>
                <w:numId w:val="6"/>
              </w:numPr>
              <w:spacing w:after="0"/>
              <w:jc w:val="left"/>
              <w:rPr>
                <w:rFonts w:cs="Arial"/>
                <w:sz w:val="18"/>
                <w:szCs w:val="18"/>
                <w:lang w:val="en-US"/>
              </w:rPr>
            </w:pPr>
            <w:r w:rsidRPr="005B5602">
              <w:rPr>
                <w:rFonts w:cs="Arial"/>
                <w:sz w:val="18"/>
                <w:szCs w:val="18"/>
                <w:lang w:val="en-US"/>
              </w:rPr>
              <w:t>Project Manager</w:t>
            </w:r>
          </w:p>
          <w:p w14:paraId="6213AB8A" w14:textId="77777777" w:rsidR="00E1433A" w:rsidRPr="005B5602" w:rsidRDefault="00E1433A" w:rsidP="007D6892">
            <w:pPr>
              <w:numPr>
                <w:ilvl w:val="0"/>
                <w:numId w:val="6"/>
              </w:numPr>
              <w:spacing w:after="0"/>
              <w:jc w:val="left"/>
              <w:rPr>
                <w:rFonts w:cs="Arial"/>
                <w:sz w:val="18"/>
                <w:szCs w:val="18"/>
                <w:lang w:val="en-US"/>
              </w:rPr>
            </w:pPr>
            <w:r w:rsidRPr="005B5602">
              <w:rPr>
                <w:rFonts w:cs="Arial"/>
                <w:sz w:val="18"/>
                <w:szCs w:val="18"/>
                <w:lang w:val="en-US"/>
              </w:rPr>
              <w:t>UNDP CO</w:t>
            </w:r>
            <w:r w:rsidR="003D461A" w:rsidRPr="005B5602">
              <w:rPr>
                <w:rFonts w:cs="Arial"/>
                <w:sz w:val="18"/>
                <w:szCs w:val="18"/>
                <w:lang w:val="en-US"/>
              </w:rPr>
              <w:t>, UNDP GEF</w:t>
            </w:r>
          </w:p>
        </w:tc>
        <w:tc>
          <w:tcPr>
            <w:tcW w:w="1195" w:type="pct"/>
            <w:vAlign w:val="center"/>
          </w:tcPr>
          <w:p w14:paraId="27A8BE47" w14:textId="77777777" w:rsidR="00E1433A" w:rsidRPr="005B5602" w:rsidRDefault="00E1433A" w:rsidP="005751FA">
            <w:pPr>
              <w:jc w:val="left"/>
              <w:rPr>
                <w:rFonts w:cs="Arial"/>
                <w:sz w:val="18"/>
                <w:szCs w:val="18"/>
                <w:lang w:val="en-US"/>
              </w:rPr>
            </w:pPr>
            <w:r w:rsidRPr="005B5602">
              <w:rPr>
                <w:rFonts w:cs="Arial"/>
                <w:sz w:val="18"/>
                <w:szCs w:val="18"/>
                <w:lang w:val="en-US"/>
              </w:rPr>
              <w:t>Indicative cost:  10,000</w:t>
            </w:r>
          </w:p>
        </w:tc>
        <w:tc>
          <w:tcPr>
            <w:tcW w:w="975" w:type="pct"/>
          </w:tcPr>
          <w:p w14:paraId="0F9867E9" w14:textId="77777777" w:rsidR="00E1433A" w:rsidRPr="005B5602" w:rsidRDefault="00E1433A" w:rsidP="005751FA">
            <w:pPr>
              <w:jc w:val="left"/>
              <w:rPr>
                <w:rFonts w:cs="Arial"/>
                <w:sz w:val="18"/>
                <w:szCs w:val="18"/>
                <w:lang w:val="en-US"/>
              </w:rPr>
            </w:pPr>
            <w:r w:rsidRPr="005B5602">
              <w:rPr>
                <w:rFonts w:cs="Arial"/>
                <w:sz w:val="18"/>
                <w:szCs w:val="18"/>
                <w:lang w:val="en-US"/>
              </w:rPr>
              <w:t xml:space="preserve">Within first two months of project start up </w:t>
            </w:r>
          </w:p>
        </w:tc>
      </w:tr>
      <w:tr w:rsidR="00E1433A" w:rsidRPr="005B5602" w14:paraId="786A0A25" w14:textId="77777777">
        <w:trPr>
          <w:jc w:val="center"/>
        </w:trPr>
        <w:tc>
          <w:tcPr>
            <w:tcW w:w="1038" w:type="pct"/>
          </w:tcPr>
          <w:p w14:paraId="2BDB7586" w14:textId="77777777" w:rsidR="00E1433A" w:rsidRPr="005B5602" w:rsidRDefault="00E1433A" w:rsidP="003D461A">
            <w:pPr>
              <w:jc w:val="left"/>
              <w:rPr>
                <w:rFonts w:cs="Arial"/>
                <w:sz w:val="18"/>
                <w:szCs w:val="18"/>
                <w:lang w:val="en-US"/>
              </w:rPr>
            </w:pPr>
            <w:r w:rsidRPr="005B5602">
              <w:rPr>
                <w:rFonts w:cs="Arial"/>
                <w:sz w:val="18"/>
                <w:szCs w:val="18"/>
                <w:lang w:val="en-US"/>
              </w:rPr>
              <w:t xml:space="preserve">Measurement of Means of Verification </w:t>
            </w:r>
            <w:r w:rsidR="003D461A" w:rsidRPr="005B5602">
              <w:rPr>
                <w:rFonts w:cs="Arial"/>
                <w:sz w:val="18"/>
                <w:szCs w:val="18"/>
                <w:lang w:val="en-US"/>
              </w:rPr>
              <w:t>of</w:t>
            </w:r>
            <w:r w:rsidRPr="005B5602">
              <w:rPr>
                <w:rFonts w:cs="Arial"/>
                <w:sz w:val="18"/>
                <w:szCs w:val="18"/>
                <w:lang w:val="en-US"/>
              </w:rPr>
              <w:t xml:space="preserve"> </w:t>
            </w:r>
            <w:r w:rsidR="003D461A" w:rsidRPr="005B5602">
              <w:rPr>
                <w:rFonts w:cs="Arial"/>
                <w:sz w:val="18"/>
                <w:szCs w:val="18"/>
                <w:lang w:val="en-US"/>
              </w:rPr>
              <w:t>project results</w:t>
            </w:r>
            <w:r w:rsidR="00685CB0">
              <w:rPr>
                <w:rFonts w:cs="Arial"/>
                <w:sz w:val="18"/>
                <w:szCs w:val="18"/>
                <w:lang w:val="en-US"/>
              </w:rPr>
              <w:t xml:space="preserve"> – 3 reports reflecting beginning, mid-term and final status of results</w:t>
            </w:r>
            <w:r w:rsidR="003D461A" w:rsidRPr="005B5602">
              <w:rPr>
                <w:rFonts w:cs="Arial"/>
                <w:sz w:val="18"/>
                <w:szCs w:val="18"/>
                <w:lang w:val="en-US"/>
              </w:rPr>
              <w:t>.</w:t>
            </w:r>
          </w:p>
        </w:tc>
        <w:tc>
          <w:tcPr>
            <w:tcW w:w="1792" w:type="pct"/>
          </w:tcPr>
          <w:p w14:paraId="1D3872BE" w14:textId="77777777" w:rsidR="00E1433A" w:rsidRPr="005B5602" w:rsidRDefault="003D461A" w:rsidP="007D6892">
            <w:pPr>
              <w:numPr>
                <w:ilvl w:val="0"/>
                <w:numId w:val="5"/>
              </w:numPr>
              <w:spacing w:after="0"/>
              <w:jc w:val="left"/>
              <w:rPr>
                <w:rFonts w:cs="Arial"/>
                <w:sz w:val="18"/>
                <w:szCs w:val="18"/>
                <w:lang w:val="en-US"/>
              </w:rPr>
            </w:pPr>
            <w:r w:rsidRPr="005B5602">
              <w:rPr>
                <w:rFonts w:cs="Arial"/>
                <w:sz w:val="18"/>
                <w:szCs w:val="18"/>
                <w:lang w:val="en-US"/>
              </w:rPr>
              <w:t>UNDP GEF RTA/</w:t>
            </w:r>
            <w:r w:rsidR="00E1433A" w:rsidRPr="005B5602">
              <w:rPr>
                <w:rFonts w:cs="Arial"/>
                <w:sz w:val="18"/>
                <w:szCs w:val="18"/>
                <w:lang w:val="en-US"/>
              </w:rPr>
              <w:t>Project Manager will oversee the hiring of specific studies and institutions, and delegate responsibilities to relevant team members.</w:t>
            </w:r>
          </w:p>
        </w:tc>
        <w:tc>
          <w:tcPr>
            <w:tcW w:w="1195" w:type="pct"/>
          </w:tcPr>
          <w:p w14:paraId="1996AD6E" w14:textId="77777777" w:rsidR="00E1433A" w:rsidRPr="005B5602" w:rsidRDefault="00E1433A" w:rsidP="005751FA">
            <w:pPr>
              <w:pStyle w:val="BodyText23"/>
              <w:widowControl/>
              <w:tabs>
                <w:tab w:val="clear" w:pos="547"/>
              </w:tabs>
              <w:rPr>
                <w:rFonts w:ascii="Arial" w:hAnsi="Arial" w:cs="Arial"/>
                <w:snapToGrid/>
                <w:sz w:val="18"/>
                <w:szCs w:val="18"/>
              </w:rPr>
            </w:pPr>
            <w:r w:rsidRPr="005B5602">
              <w:rPr>
                <w:rFonts w:ascii="Arial" w:hAnsi="Arial" w:cs="Arial"/>
                <w:snapToGrid/>
                <w:sz w:val="18"/>
                <w:szCs w:val="18"/>
              </w:rPr>
              <w:t xml:space="preserve">To be finalized in Inception Phase and Workshop. </w:t>
            </w:r>
          </w:p>
          <w:p w14:paraId="44881699" w14:textId="77777777" w:rsidR="00E1433A" w:rsidRPr="005B5602" w:rsidRDefault="00E1433A" w:rsidP="005751FA">
            <w:pPr>
              <w:pStyle w:val="BodyText23"/>
              <w:widowControl/>
              <w:tabs>
                <w:tab w:val="clear" w:pos="547"/>
              </w:tabs>
              <w:rPr>
                <w:rFonts w:ascii="Arial" w:hAnsi="Arial" w:cs="Arial"/>
                <w:snapToGrid/>
                <w:sz w:val="18"/>
                <w:szCs w:val="18"/>
              </w:rPr>
            </w:pPr>
          </w:p>
        </w:tc>
        <w:tc>
          <w:tcPr>
            <w:tcW w:w="975" w:type="pct"/>
          </w:tcPr>
          <w:p w14:paraId="33D7C9EB" w14:textId="77777777" w:rsidR="00E1433A" w:rsidRPr="005B5602" w:rsidRDefault="00E1433A" w:rsidP="005751FA">
            <w:pPr>
              <w:jc w:val="left"/>
              <w:rPr>
                <w:rFonts w:cs="Arial"/>
                <w:sz w:val="18"/>
                <w:szCs w:val="18"/>
                <w:lang w:val="en-US"/>
              </w:rPr>
            </w:pPr>
            <w:r w:rsidRPr="005B5602">
              <w:rPr>
                <w:rFonts w:cs="Arial"/>
                <w:sz w:val="18"/>
                <w:szCs w:val="18"/>
                <w:lang w:val="en-US"/>
              </w:rPr>
              <w:t>Start, mid and end of project (during evaluation cycle)</w:t>
            </w:r>
            <w:r w:rsidR="003D461A" w:rsidRPr="005B5602">
              <w:rPr>
                <w:rFonts w:cs="Arial"/>
                <w:sz w:val="18"/>
                <w:szCs w:val="18"/>
                <w:lang w:val="en-US"/>
              </w:rPr>
              <w:t xml:space="preserve"> and annually when required.</w:t>
            </w:r>
          </w:p>
        </w:tc>
      </w:tr>
      <w:tr w:rsidR="00E1433A" w:rsidRPr="005B5602" w14:paraId="50DD1205" w14:textId="77777777">
        <w:trPr>
          <w:jc w:val="center"/>
        </w:trPr>
        <w:tc>
          <w:tcPr>
            <w:tcW w:w="1038" w:type="pct"/>
          </w:tcPr>
          <w:p w14:paraId="17141C1D" w14:textId="77777777" w:rsidR="00E1433A" w:rsidRPr="005B5602" w:rsidRDefault="00E1433A" w:rsidP="005751FA">
            <w:pPr>
              <w:jc w:val="left"/>
              <w:rPr>
                <w:rFonts w:cs="Arial"/>
                <w:sz w:val="18"/>
                <w:szCs w:val="18"/>
                <w:lang w:val="en-US"/>
              </w:rPr>
            </w:pPr>
            <w:r w:rsidRPr="005B5602">
              <w:rPr>
                <w:rFonts w:cs="Arial"/>
                <w:sz w:val="18"/>
                <w:szCs w:val="18"/>
                <w:lang w:val="en-US"/>
              </w:rPr>
              <w:t xml:space="preserve">Measurement of Means of Verification for Project Progress on </w:t>
            </w:r>
            <w:r w:rsidRPr="005B5602">
              <w:rPr>
                <w:rFonts w:cs="Arial"/>
                <w:i/>
                <w:sz w:val="18"/>
                <w:szCs w:val="18"/>
                <w:lang w:val="en-US"/>
              </w:rPr>
              <w:t>output and implementation</w:t>
            </w:r>
            <w:r w:rsidRPr="005B5602">
              <w:rPr>
                <w:rFonts w:cs="Arial"/>
                <w:sz w:val="18"/>
                <w:szCs w:val="18"/>
                <w:lang w:val="en-US"/>
              </w:rPr>
              <w:t xml:space="preserve"> </w:t>
            </w:r>
          </w:p>
        </w:tc>
        <w:tc>
          <w:tcPr>
            <w:tcW w:w="1792" w:type="pct"/>
          </w:tcPr>
          <w:p w14:paraId="798742F2" w14:textId="77777777" w:rsidR="00E1433A" w:rsidRPr="005B5602" w:rsidRDefault="00E1433A" w:rsidP="007D6892">
            <w:pPr>
              <w:numPr>
                <w:ilvl w:val="0"/>
                <w:numId w:val="5"/>
              </w:numPr>
              <w:spacing w:after="0"/>
              <w:jc w:val="left"/>
              <w:rPr>
                <w:rFonts w:cs="Arial"/>
                <w:sz w:val="18"/>
                <w:szCs w:val="18"/>
                <w:lang w:val="en-US"/>
              </w:rPr>
            </w:pPr>
            <w:r w:rsidRPr="005B5602">
              <w:rPr>
                <w:rFonts w:cs="Arial"/>
                <w:sz w:val="18"/>
                <w:szCs w:val="18"/>
                <w:lang w:val="en-US"/>
              </w:rPr>
              <w:t xml:space="preserve">Oversight by Project Manager </w:t>
            </w:r>
          </w:p>
          <w:p w14:paraId="552049E1" w14:textId="77777777" w:rsidR="00E1433A" w:rsidRPr="005B5602" w:rsidRDefault="00E1433A" w:rsidP="007D6892">
            <w:pPr>
              <w:numPr>
                <w:ilvl w:val="0"/>
                <w:numId w:val="5"/>
              </w:numPr>
              <w:spacing w:after="0"/>
              <w:jc w:val="left"/>
              <w:rPr>
                <w:rFonts w:cs="Arial"/>
                <w:sz w:val="18"/>
                <w:szCs w:val="18"/>
                <w:lang w:val="en-US"/>
              </w:rPr>
            </w:pPr>
            <w:r w:rsidRPr="005B5602">
              <w:rPr>
                <w:rFonts w:cs="Arial"/>
                <w:sz w:val="18"/>
                <w:szCs w:val="18"/>
                <w:lang w:val="en-US"/>
              </w:rPr>
              <w:t xml:space="preserve">Project team </w:t>
            </w:r>
          </w:p>
        </w:tc>
        <w:tc>
          <w:tcPr>
            <w:tcW w:w="1195" w:type="pct"/>
          </w:tcPr>
          <w:p w14:paraId="52BF2244" w14:textId="77777777" w:rsidR="00E1433A" w:rsidRPr="005B5602" w:rsidRDefault="00E1433A" w:rsidP="005751FA">
            <w:pPr>
              <w:pStyle w:val="BodyText23"/>
              <w:widowControl/>
              <w:tabs>
                <w:tab w:val="clear" w:pos="547"/>
              </w:tabs>
              <w:rPr>
                <w:rFonts w:ascii="Arial" w:hAnsi="Arial" w:cs="Arial"/>
                <w:snapToGrid/>
                <w:sz w:val="18"/>
                <w:szCs w:val="18"/>
              </w:rPr>
            </w:pPr>
            <w:r w:rsidRPr="005B5602">
              <w:rPr>
                <w:rFonts w:ascii="Arial" w:hAnsi="Arial" w:cs="Arial"/>
                <w:snapToGrid/>
                <w:sz w:val="18"/>
                <w:szCs w:val="18"/>
              </w:rPr>
              <w:t xml:space="preserve">To be determined as part of the Annual Work Plan's preparation. </w:t>
            </w:r>
          </w:p>
        </w:tc>
        <w:tc>
          <w:tcPr>
            <w:tcW w:w="975" w:type="pct"/>
          </w:tcPr>
          <w:p w14:paraId="09926944" w14:textId="77777777" w:rsidR="00E1433A" w:rsidRPr="005B5602" w:rsidRDefault="00E1433A" w:rsidP="005751FA">
            <w:pPr>
              <w:jc w:val="left"/>
              <w:rPr>
                <w:rFonts w:cs="Arial"/>
                <w:sz w:val="18"/>
                <w:szCs w:val="18"/>
                <w:lang w:val="en-US"/>
              </w:rPr>
            </w:pPr>
            <w:r w:rsidRPr="005B5602">
              <w:rPr>
                <w:rFonts w:cs="Arial"/>
                <w:sz w:val="18"/>
                <w:szCs w:val="18"/>
                <w:lang w:val="en-US"/>
              </w:rPr>
              <w:t xml:space="preserve">Annually prior to ARR/PIR and to the definition of annual work plans </w:t>
            </w:r>
          </w:p>
        </w:tc>
      </w:tr>
      <w:tr w:rsidR="00E1433A" w:rsidRPr="005B5602" w14:paraId="469C467F" w14:textId="77777777">
        <w:trPr>
          <w:jc w:val="center"/>
        </w:trPr>
        <w:tc>
          <w:tcPr>
            <w:tcW w:w="1038" w:type="pct"/>
          </w:tcPr>
          <w:p w14:paraId="4C092C1F" w14:textId="77777777" w:rsidR="00E1433A" w:rsidRPr="005B5602" w:rsidRDefault="00E1433A" w:rsidP="005751FA">
            <w:pPr>
              <w:rPr>
                <w:rFonts w:cs="Arial"/>
                <w:sz w:val="18"/>
                <w:szCs w:val="18"/>
                <w:lang w:val="en-US"/>
              </w:rPr>
            </w:pPr>
            <w:r w:rsidRPr="005B5602">
              <w:rPr>
                <w:rFonts w:cs="Arial"/>
                <w:sz w:val="18"/>
                <w:szCs w:val="18"/>
                <w:lang w:val="en-US"/>
              </w:rPr>
              <w:t>ARR/PIR</w:t>
            </w:r>
          </w:p>
        </w:tc>
        <w:tc>
          <w:tcPr>
            <w:tcW w:w="1792" w:type="pct"/>
          </w:tcPr>
          <w:p w14:paraId="16EE8718" w14:textId="77777777" w:rsidR="00E1433A" w:rsidRPr="005B5602" w:rsidRDefault="00E1433A" w:rsidP="007D6892">
            <w:pPr>
              <w:numPr>
                <w:ilvl w:val="0"/>
                <w:numId w:val="5"/>
              </w:numPr>
              <w:spacing w:after="0"/>
              <w:jc w:val="left"/>
              <w:rPr>
                <w:rFonts w:cs="Arial"/>
                <w:sz w:val="18"/>
                <w:szCs w:val="18"/>
                <w:lang w:val="en-US"/>
              </w:rPr>
            </w:pPr>
            <w:r w:rsidRPr="005B5602">
              <w:rPr>
                <w:rFonts w:cs="Arial"/>
                <w:sz w:val="18"/>
                <w:szCs w:val="18"/>
                <w:lang w:val="en-US"/>
              </w:rPr>
              <w:t>Project manager and team</w:t>
            </w:r>
          </w:p>
          <w:p w14:paraId="57C1516D" w14:textId="77777777" w:rsidR="00E1433A" w:rsidRPr="005B5602" w:rsidRDefault="00E1433A" w:rsidP="007D6892">
            <w:pPr>
              <w:numPr>
                <w:ilvl w:val="0"/>
                <w:numId w:val="5"/>
              </w:numPr>
              <w:spacing w:after="0"/>
              <w:jc w:val="left"/>
              <w:rPr>
                <w:rFonts w:cs="Arial"/>
                <w:sz w:val="18"/>
                <w:szCs w:val="18"/>
                <w:lang w:val="en-US"/>
              </w:rPr>
            </w:pPr>
            <w:r w:rsidRPr="005B5602">
              <w:rPr>
                <w:rFonts w:cs="Arial"/>
                <w:sz w:val="18"/>
                <w:szCs w:val="18"/>
                <w:lang w:val="en-US"/>
              </w:rPr>
              <w:t>UNDP CO</w:t>
            </w:r>
          </w:p>
          <w:p w14:paraId="2E5D94CC" w14:textId="77777777" w:rsidR="00E1433A" w:rsidRPr="005B5602" w:rsidRDefault="00E1433A" w:rsidP="007D6892">
            <w:pPr>
              <w:numPr>
                <w:ilvl w:val="0"/>
                <w:numId w:val="5"/>
              </w:numPr>
              <w:spacing w:after="0"/>
              <w:jc w:val="left"/>
              <w:rPr>
                <w:rFonts w:cs="Arial"/>
                <w:sz w:val="18"/>
                <w:szCs w:val="18"/>
                <w:lang w:val="en-US"/>
              </w:rPr>
            </w:pPr>
            <w:r w:rsidRPr="005B5602">
              <w:rPr>
                <w:rFonts w:cs="Arial"/>
                <w:sz w:val="18"/>
                <w:szCs w:val="18"/>
                <w:lang w:val="en-US"/>
              </w:rPr>
              <w:t>UNDP RTA</w:t>
            </w:r>
          </w:p>
          <w:p w14:paraId="5722138D" w14:textId="77777777" w:rsidR="00E1433A" w:rsidRPr="005B5602" w:rsidRDefault="00E1433A" w:rsidP="007D6892">
            <w:pPr>
              <w:numPr>
                <w:ilvl w:val="0"/>
                <w:numId w:val="5"/>
              </w:numPr>
              <w:spacing w:after="0"/>
              <w:jc w:val="left"/>
              <w:rPr>
                <w:rFonts w:cs="Arial"/>
                <w:sz w:val="18"/>
                <w:szCs w:val="18"/>
                <w:lang w:val="en-US"/>
              </w:rPr>
            </w:pPr>
            <w:r w:rsidRPr="005B5602">
              <w:rPr>
                <w:rFonts w:cs="Arial"/>
                <w:sz w:val="18"/>
                <w:szCs w:val="18"/>
                <w:lang w:val="en-US"/>
              </w:rPr>
              <w:t>UNDP EEG</w:t>
            </w:r>
          </w:p>
        </w:tc>
        <w:tc>
          <w:tcPr>
            <w:tcW w:w="1195" w:type="pct"/>
          </w:tcPr>
          <w:p w14:paraId="5154DFF7" w14:textId="77777777" w:rsidR="00E1433A" w:rsidRPr="005B5602" w:rsidRDefault="00E1433A" w:rsidP="005751FA">
            <w:pPr>
              <w:pStyle w:val="BodyText23"/>
              <w:widowControl/>
              <w:tabs>
                <w:tab w:val="clear" w:pos="547"/>
              </w:tabs>
              <w:rPr>
                <w:rFonts w:ascii="Arial" w:hAnsi="Arial" w:cs="Arial"/>
                <w:snapToGrid/>
                <w:sz w:val="18"/>
                <w:szCs w:val="18"/>
              </w:rPr>
            </w:pPr>
            <w:r w:rsidRPr="005B5602">
              <w:rPr>
                <w:rFonts w:ascii="Arial" w:hAnsi="Arial" w:cs="Arial"/>
                <w:snapToGrid/>
                <w:sz w:val="18"/>
                <w:szCs w:val="18"/>
              </w:rPr>
              <w:t>None</w:t>
            </w:r>
          </w:p>
        </w:tc>
        <w:tc>
          <w:tcPr>
            <w:tcW w:w="975" w:type="pct"/>
          </w:tcPr>
          <w:p w14:paraId="4020D51B" w14:textId="77777777" w:rsidR="00E1433A" w:rsidRPr="005B5602" w:rsidRDefault="00E1433A" w:rsidP="005751FA">
            <w:pPr>
              <w:jc w:val="left"/>
              <w:rPr>
                <w:rFonts w:cs="Arial"/>
                <w:sz w:val="18"/>
                <w:szCs w:val="18"/>
                <w:lang w:val="en-US"/>
              </w:rPr>
            </w:pPr>
            <w:r w:rsidRPr="005B5602">
              <w:rPr>
                <w:rFonts w:cs="Arial"/>
                <w:sz w:val="18"/>
                <w:szCs w:val="18"/>
                <w:lang w:val="en-US"/>
              </w:rPr>
              <w:t xml:space="preserve">Annually </w:t>
            </w:r>
          </w:p>
        </w:tc>
      </w:tr>
      <w:tr w:rsidR="00E1433A" w:rsidRPr="005B5602" w14:paraId="083928C4" w14:textId="77777777">
        <w:trPr>
          <w:jc w:val="center"/>
        </w:trPr>
        <w:tc>
          <w:tcPr>
            <w:tcW w:w="1038" w:type="pct"/>
          </w:tcPr>
          <w:p w14:paraId="7449603B" w14:textId="77777777" w:rsidR="00E1433A" w:rsidRPr="005B5602" w:rsidRDefault="0003782E" w:rsidP="0003782E">
            <w:pPr>
              <w:jc w:val="left"/>
              <w:rPr>
                <w:rFonts w:cs="Arial"/>
                <w:sz w:val="18"/>
                <w:szCs w:val="18"/>
                <w:lang w:val="en-US"/>
              </w:rPr>
            </w:pPr>
            <w:r w:rsidRPr="005B5602">
              <w:rPr>
                <w:rFonts w:cs="Arial"/>
                <w:sz w:val="18"/>
                <w:szCs w:val="18"/>
                <w:lang w:val="en-US"/>
              </w:rPr>
              <w:t>Periodic status/</w:t>
            </w:r>
            <w:r w:rsidR="00E1433A" w:rsidRPr="005B5602">
              <w:rPr>
                <w:rFonts w:cs="Arial"/>
                <w:sz w:val="18"/>
                <w:szCs w:val="18"/>
                <w:lang w:val="en-US"/>
              </w:rPr>
              <w:t xml:space="preserve"> progress reports</w:t>
            </w:r>
          </w:p>
        </w:tc>
        <w:tc>
          <w:tcPr>
            <w:tcW w:w="1792" w:type="pct"/>
          </w:tcPr>
          <w:p w14:paraId="3DFDBF6E" w14:textId="77777777" w:rsidR="00E1433A" w:rsidRPr="005B5602" w:rsidRDefault="00E1433A" w:rsidP="007D6892">
            <w:pPr>
              <w:numPr>
                <w:ilvl w:val="0"/>
                <w:numId w:val="7"/>
              </w:numPr>
              <w:spacing w:after="0"/>
              <w:jc w:val="left"/>
              <w:rPr>
                <w:rFonts w:cs="Arial"/>
                <w:sz w:val="18"/>
                <w:szCs w:val="18"/>
                <w:lang w:val="en-US"/>
              </w:rPr>
            </w:pPr>
            <w:r w:rsidRPr="005B5602">
              <w:rPr>
                <w:rFonts w:cs="Arial"/>
                <w:sz w:val="18"/>
                <w:szCs w:val="18"/>
                <w:lang w:val="en-US"/>
              </w:rPr>
              <w:t xml:space="preserve">Project manager and team </w:t>
            </w:r>
          </w:p>
        </w:tc>
        <w:tc>
          <w:tcPr>
            <w:tcW w:w="1195" w:type="pct"/>
          </w:tcPr>
          <w:p w14:paraId="4AA5AC83" w14:textId="77777777" w:rsidR="00E1433A" w:rsidRPr="005B5602" w:rsidRDefault="00E1433A" w:rsidP="005751FA">
            <w:pPr>
              <w:jc w:val="left"/>
              <w:rPr>
                <w:rFonts w:cs="Arial"/>
                <w:sz w:val="18"/>
                <w:szCs w:val="18"/>
                <w:lang w:val="en-US"/>
              </w:rPr>
            </w:pPr>
            <w:r w:rsidRPr="005B5602">
              <w:rPr>
                <w:rFonts w:cs="Arial"/>
                <w:sz w:val="18"/>
                <w:szCs w:val="18"/>
                <w:lang w:val="en-US"/>
              </w:rPr>
              <w:t>None</w:t>
            </w:r>
          </w:p>
        </w:tc>
        <w:tc>
          <w:tcPr>
            <w:tcW w:w="975" w:type="pct"/>
          </w:tcPr>
          <w:p w14:paraId="50D7F75A" w14:textId="77777777" w:rsidR="00E1433A" w:rsidRPr="005B5602" w:rsidRDefault="00E1433A" w:rsidP="005751FA">
            <w:pPr>
              <w:jc w:val="left"/>
              <w:rPr>
                <w:rFonts w:cs="Arial"/>
                <w:sz w:val="18"/>
                <w:szCs w:val="18"/>
                <w:lang w:val="en-US"/>
              </w:rPr>
            </w:pPr>
            <w:r w:rsidRPr="005B5602">
              <w:rPr>
                <w:rFonts w:cs="Arial"/>
                <w:sz w:val="18"/>
                <w:szCs w:val="18"/>
                <w:lang w:val="en-US"/>
              </w:rPr>
              <w:t>Quarterly</w:t>
            </w:r>
          </w:p>
        </w:tc>
      </w:tr>
      <w:tr w:rsidR="00E1433A" w:rsidRPr="005B5602" w14:paraId="7425F91C" w14:textId="77777777">
        <w:trPr>
          <w:jc w:val="center"/>
        </w:trPr>
        <w:tc>
          <w:tcPr>
            <w:tcW w:w="1038" w:type="pct"/>
          </w:tcPr>
          <w:p w14:paraId="13DD9E5A" w14:textId="77777777" w:rsidR="00E1433A" w:rsidRPr="005B5602" w:rsidRDefault="00E1433A" w:rsidP="005751FA">
            <w:pPr>
              <w:rPr>
                <w:rFonts w:cs="Arial"/>
                <w:sz w:val="18"/>
                <w:szCs w:val="18"/>
                <w:lang w:val="en-US"/>
              </w:rPr>
            </w:pPr>
            <w:r w:rsidRPr="005B5602">
              <w:rPr>
                <w:rFonts w:cs="Arial"/>
                <w:sz w:val="18"/>
                <w:szCs w:val="18"/>
                <w:lang w:val="en-US"/>
              </w:rPr>
              <w:t>Mid-term Evaluation</w:t>
            </w:r>
          </w:p>
        </w:tc>
        <w:tc>
          <w:tcPr>
            <w:tcW w:w="1792" w:type="pct"/>
          </w:tcPr>
          <w:p w14:paraId="3810B08C" w14:textId="77777777" w:rsidR="00E1433A" w:rsidRPr="005B5602" w:rsidRDefault="00E1433A" w:rsidP="007D6892">
            <w:pPr>
              <w:numPr>
                <w:ilvl w:val="0"/>
                <w:numId w:val="7"/>
              </w:numPr>
              <w:spacing w:after="0"/>
              <w:jc w:val="left"/>
              <w:rPr>
                <w:rFonts w:cs="Arial"/>
                <w:sz w:val="18"/>
                <w:szCs w:val="18"/>
                <w:lang w:val="en-US"/>
              </w:rPr>
            </w:pPr>
            <w:r w:rsidRPr="005B5602">
              <w:rPr>
                <w:rFonts w:cs="Arial"/>
                <w:sz w:val="18"/>
                <w:szCs w:val="18"/>
                <w:lang w:val="en-US"/>
              </w:rPr>
              <w:t>Project manager and team</w:t>
            </w:r>
          </w:p>
          <w:p w14:paraId="7351BA21" w14:textId="77777777" w:rsidR="00E1433A" w:rsidRPr="005B5602" w:rsidRDefault="00E1433A" w:rsidP="007D6892">
            <w:pPr>
              <w:numPr>
                <w:ilvl w:val="0"/>
                <w:numId w:val="7"/>
              </w:numPr>
              <w:spacing w:after="0"/>
              <w:jc w:val="left"/>
              <w:rPr>
                <w:rFonts w:cs="Arial"/>
                <w:sz w:val="18"/>
                <w:szCs w:val="18"/>
                <w:lang w:val="en-US"/>
              </w:rPr>
            </w:pPr>
            <w:r w:rsidRPr="005B5602">
              <w:rPr>
                <w:rFonts w:cs="Arial"/>
                <w:sz w:val="18"/>
                <w:szCs w:val="18"/>
                <w:lang w:val="en-US"/>
              </w:rPr>
              <w:t>UNDP CO</w:t>
            </w:r>
          </w:p>
          <w:p w14:paraId="215E8AF0" w14:textId="77777777" w:rsidR="00E1433A" w:rsidRPr="005B5602" w:rsidRDefault="00E1433A" w:rsidP="007D6892">
            <w:pPr>
              <w:numPr>
                <w:ilvl w:val="0"/>
                <w:numId w:val="7"/>
              </w:numPr>
              <w:spacing w:after="0"/>
              <w:jc w:val="left"/>
              <w:rPr>
                <w:rFonts w:cs="Arial"/>
                <w:sz w:val="18"/>
                <w:szCs w:val="18"/>
                <w:lang w:val="en-US"/>
              </w:rPr>
            </w:pPr>
            <w:r w:rsidRPr="005B5602">
              <w:rPr>
                <w:rFonts w:cs="Arial"/>
                <w:sz w:val="18"/>
                <w:szCs w:val="18"/>
                <w:lang w:val="en-US"/>
              </w:rPr>
              <w:t>UNDP RCU</w:t>
            </w:r>
          </w:p>
          <w:p w14:paraId="4304D1E9" w14:textId="77777777" w:rsidR="00E1433A" w:rsidRPr="005B5602" w:rsidRDefault="00E1433A" w:rsidP="007D6892">
            <w:pPr>
              <w:numPr>
                <w:ilvl w:val="0"/>
                <w:numId w:val="7"/>
              </w:numPr>
              <w:spacing w:after="0"/>
              <w:jc w:val="left"/>
              <w:rPr>
                <w:rFonts w:cs="Arial"/>
                <w:sz w:val="18"/>
                <w:szCs w:val="18"/>
                <w:lang w:val="en-US"/>
              </w:rPr>
            </w:pPr>
            <w:r w:rsidRPr="005B5602">
              <w:rPr>
                <w:rFonts w:cs="Arial"/>
                <w:sz w:val="18"/>
                <w:szCs w:val="18"/>
                <w:lang w:val="en-US"/>
              </w:rPr>
              <w:t>External Consultants (i.e. evaluation team)</w:t>
            </w:r>
          </w:p>
        </w:tc>
        <w:tc>
          <w:tcPr>
            <w:tcW w:w="1195" w:type="pct"/>
          </w:tcPr>
          <w:p w14:paraId="2AF59E61" w14:textId="77777777" w:rsidR="00E1433A" w:rsidRPr="005B5602" w:rsidRDefault="00E1433A" w:rsidP="001C0663">
            <w:pPr>
              <w:jc w:val="left"/>
              <w:rPr>
                <w:rFonts w:cs="Arial"/>
                <w:sz w:val="18"/>
                <w:szCs w:val="18"/>
                <w:lang w:val="en-US"/>
              </w:rPr>
            </w:pPr>
            <w:r w:rsidRPr="005B5602">
              <w:rPr>
                <w:rFonts w:cs="Arial"/>
                <w:sz w:val="18"/>
                <w:szCs w:val="18"/>
                <w:lang w:val="en-US"/>
              </w:rPr>
              <w:t xml:space="preserve">Indicative cost:   </w:t>
            </w:r>
            <w:r w:rsidR="001C0663">
              <w:rPr>
                <w:rFonts w:cs="Arial"/>
                <w:sz w:val="18"/>
                <w:szCs w:val="18"/>
                <w:lang w:val="en-US"/>
              </w:rPr>
              <w:t>2</w:t>
            </w:r>
            <w:r w:rsidR="001C0663" w:rsidRPr="005B5602">
              <w:rPr>
                <w:rFonts w:cs="Arial"/>
                <w:sz w:val="18"/>
                <w:szCs w:val="18"/>
                <w:lang w:val="en-US"/>
              </w:rPr>
              <w:t>0</w:t>
            </w:r>
            <w:r w:rsidRPr="005B5602">
              <w:rPr>
                <w:rFonts w:cs="Arial"/>
                <w:sz w:val="18"/>
                <w:szCs w:val="18"/>
                <w:lang w:val="en-US"/>
              </w:rPr>
              <w:t>,000</w:t>
            </w:r>
          </w:p>
        </w:tc>
        <w:tc>
          <w:tcPr>
            <w:tcW w:w="975" w:type="pct"/>
          </w:tcPr>
          <w:p w14:paraId="2BC9B4B3" w14:textId="77777777" w:rsidR="00E1433A" w:rsidRPr="005B5602" w:rsidRDefault="00E1433A" w:rsidP="005751FA">
            <w:pPr>
              <w:jc w:val="left"/>
              <w:rPr>
                <w:rFonts w:cs="Arial"/>
                <w:sz w:val="18"/>
                <w:szCs w:val="18"/>
                <w:lang w:val="en-US"/>
              </w:rPr>
            </w:pPr>
            <w:r w:rsidRPr="005B5602">
              <w:rPr>
                <w:rFonts w:cs="Arial"/>
                <w:sz w:val="18"/>
                <w:szCs w:val="18"/>
                <w:lang w:val="en-US"/>
              </w:rPr>
              <w:t xml:space="preserve">At the mid-point of project implementation. </w:t>
            </w:r>
          </w:p>
        </w:tc>
      </w:tr>
      <w:tr w:rsidR="00E1433A" w:rsidRPr="005B5602" w14:paraId="61423100" w14:textId="77777777">
        <w:trPr>
          <w:jc w:val="center"/>
        </w:trPr>
        <w:tc>
          <w:tcPr>
            <w:tcW w:w="1038" w:type="pct"/>
          </w:tcPr>
          <w:p w14:paraId="6FD2AF50" w14:textId="77777777" w:rsidR="00E1433A" w:rsidRPr="005B5602" w:rsidRDefault="00E1433A" w:rsidP="005751FA">
            <w:pPr>
              <w:rPr>
                <w:rFonts w:cs="Arial"/>
                <w:sz w:val="18"/>
                <w:szCs w:val="18"/>
                <w:lang w:val="en-US"/>
              </w:rPr>
            </w:pPr>
            <w:r w:rsidRPr="005B5602">
              <w:rPr>
                <w:rFonts w:cs="Arial"/>
                <w:sz w:val="18"/>
                <w:szCs w:val="18"/>
                <w:lang w:val="en-US"/>
              </w:rPr>
              <w:t>Final Evaluation</w:t>
            </w:r>
          </w:p>
        </w:tc>
        <w:tc>
          <w:tcPr>
            <w:tcW w:w="1792" w:type="pct"/>
          </w:tcPr>
          <w:p w14:paraId="009C91EB" w14:textId="77777777" w:rsidR="00E1433A" w:rsidRPr="005B5602" w:rsidRDefault="00E1433A" w:rsidP="007D6892">
            <w:pPr>
              <w:numPr>
                <w:ilvl w:val="0"/>
                <w:numId w:val="8"/>
              </w:numPr>
              <w:spacing w:after="0"/>
              <w:jc w:val="left"/>
              <w:rPr>
                <w:rFonts w:cs="Arial"/>
                <w:sz w:val="18"/>
                <w:szCs w:val="18"/>
                <w:lang w:val="en-US"/>
              </w:rPr>
            </w:pPr>
            <w:r w:rsidRPr="005B5602">
              <w:rPr>
                <w:rFonts w:cs="Arial"/>
                <w:sz w:val="18"/>
                <w:szCs w:val="18"/>
                <w:lang w:val="en-US"/>
              </w:rPr>
              <w:t xml:space="preserve">Project manager and team, </w:t>
            </w:r>
          </w:p>
          <w:p w14:paraId="11968F9C" w14:textId="77777777" w:rsidR="00E1433A" w:rsidRPr="005B5602" w:rsidRDefault="00E1433A" w:rsidP="007D6892">
            <w:pPr>
              <w:numPr>
                <w:ilvl w:val="0"/>
                <w:numId w:val="8"/>
              </w:numPr>
              <w:spacing w:after="0"/>
              <w:jc w:val="left"/>
              <w:rPr>
                <w:rFonts w:cs="Arial"/>
                <w:sz w:val="18"/>
                <w:szCs w:val="18"/>
                <w:lang w:val="en-US"/>
              </w:rPr>
            </w:pPr>
            <w:r w:rsidRPr="005B5602">
              <w:rPr>
                <w:rFonts w:cs="Arial"/>
                <w:sz w:val="18"/>
                <w:szCs w:val="18"/>
                <w:lang w:val="en-US"/>
              </w:rPr>
              <w:t>UNDP CO</w:t>
            </w:r>
          </w:p>
          <w:p w14:paraId="580FFFBB" w14:textId="77777777" w:rsidR="00E1433A" w:rsidRPr="005B5602" w:rsidRDefault="00E1433A" w:rsidP="007D6892">
            <w:pPr>
              <w:numPr>
                <w:ilvl w:val="0"/>
                <w:numId w:val="8"/>
              </w:numPr>
              <w:spacing w:after="0"/>
              <w:jc w:val="left"/>
              <w:rPr>
                <w:rFonts w:cs="Arial"/>
                <w:sz w:val="18"/>
                <w:szCs w:val="18"/>
                <w:lang w:val="en-US"/>
              </w:rPr>
            </w:pPr>
            <w:r w:rsidRPr="005B5602">
              <w:rPr>
                <w:rFonts w:cs="Arial"/>
                <w:sz w:val="18"/>
                <w:szCs w:val="18"/>
                <w:lang w:val="en-US"/>
              </w:rPr>
              <w:t>UNDP RCU</w:t>
            </w:r>
          </w:p>
          <w:p w14:paraId="78D286C7" w14:textId="77777777" w:rsidR="00E1433A" w:rsidRPr="005B5602" w:rsidRDefault="00E1433A" w:rsidP="007D6892">
            <w:pPr>
              <w:numPr>
                <w:ilvl w:val="0"/>
                <w:numId w:val="8"/>
              </w:numPr>
              <w:spacing w:after="0"/>
              <w:jc w:val="left"/>
              <w:rPr>
                <w:rFonts w:cs="Arial"/>
                <w:sz w:val="18"/>
                <w:szCs w:val="18"/>
                <w:lang w:val="en-US"/>
              </w:rPr>
            </w:pPr>
            <w:r w:rsidRPr="005B5602">
              <w:rPr>
                <w:rFonts w:cs="Arial"/>
                <w:sz w:val="18"/>
                <w:szCs w:val="18"/>
                <w:lang w:val="en-US"/>
              </w:rPr>
              <w:t>External Consultants (i.e. evaluation team)</w:t>
            </w:r>
          </w:p>
        </w:tc>
        <w:tc>
          <w:tcPr>
            <w:tcW w:w="1195" w:type="pct"/>
          </w:tcPr>
          <w:p w14:paraId="3F8980B8" w14:textId="77777777" w:rsidR="00E1433A" w:rsidRPr="005B5602" w:rsidRDefault="00E1433A" w:rsidP="001C0663">
            <w:pPr>
              <w:tabs>
                <w:tab w:val="center" w:pos="1216"/>
              </w:tabs>
              <w:jc w:val="left"/>
              <w:rPr>
                <w:rFonts w:cs="Arial"/>
                <w:sz w:val="18"/>
                <w:szCs w:val="18"/>
                <w:lang w:val="en-US"/>
              </w:rPr>
            </w:pPr>
            <w:r w:rsidRPr="005B5602">
              <w:rPr>
                <w:rFonts w:cs="Arial"/>
                <w:sz w:val="18"/>
                <w:szCs w:val="18"/>
                <w:lang w:val="en-US"/>
              </w:rPr>
              <w:t xml:space="preserve">Indicative cost :  </w:t>
            </w:r>
            <w:r w:rsidR="001C0663">
              <w:rPr>
                <w:rFonts w:cs="Arial"/>
                <w:sz w:val="18"/>
                <w:szCs w:val="18"/>
                <w:lang w:val="en-US"/>
              </w:rPr>
              <w:t>2</w:t>
            </w:r>
            <w:r w:rsidR="001C0663" w:rsidRPr="005B5602">
              <w:rPr>
                <w:rFonts w:cs="Arial"/>
                <w:sz w:val="18"/>
                <w:szCs w:val="18"/>
                <w:lang w:val="en-US"/>
              </w:rPr>
              <w:t>0</w:t>
            </w:r>
            <w:r w:rsidRPr="005B5602">
              <w:rPr>
                <w:rFonts w:cs="Arial"/>
                <w:sz w:val="18"/>
                <w:szCs w:val="18"/>
                <w:lang w:val="en-US"/>
              </w:rPr>
              <w:t>,000</w:t>
            </w:r>
            <w:r w:rsidRPr="005B5602">
              <w:rPr>
                <w:rFonts w:cs="Arial"/>
                <w:sz w:val="18"/>
                <w:szCs w:val="18"/>
                <w:lang w:val="en-US"/>
              </w:rPr>
              <w:tab/>
            </w:r>
          </w:p>
        </w:tc>
        <w:tc>
          <w:tcPr>
            <w:tcW w:w="975" w:type="pct"/>
          </w:tcPr>
          <w:p w14:paraId="191BF993" w14:textId="77777777" w:rsidR="00E1433A" w:rsidRPr="005B5602" w:rsidRDefault="00E1433A" w:rsidP="005751FA">
            <w:pPr>
              <w:jc w:val="left"/>
              <w:rPr>
                <w:rFonts w:cs="Arial"/>
                <w:sz w:val="18"/>
                <w:szCs w:val="18"/>
                <w:lang w:val="en-US"/>
              </w:rPr>
            </w:pPr>
            <w:r w:rsidRPr="005B5602">
              <w:rPr>
                <w:rFonts w:cs="Arial"/>
                <w:sz w:val="18"/>
                <w:szCs w:val="18"/>
                <w:lang w:val="en-US"/>
              </w:rPr>
              <w:t>At least three months before the end of project implementation</w:t>
            </w:r>
          </w:p>
        </w:tc>
      </w:tr>
      <w:tr w:rsidR="00E1433A" w:rsidRPr="005B5602" w14:paraId="208FABB6" w14:textId="77777777">
        <w:trPr>
          <w:jc w:val="center"/>
        </w:trPr>
        <w:tc>
          <w:tcPr>
            <w:tcW w:w="1038" w:type="pct"/>
          </w:tcPr>
          <w:p w14:paraId="435EBA78" w14:textId="77777777" w:rsidR="00E1433A" w:rsidRPr="005B5602" w:rsidRDefault="00E1433A" w:rsidP="005751FA">
            <w:pPr>
              <w:rPr>
                <w:rFonts w:cs="Arial"/>
                <w:sz w:val="18"/>
                <w:szCs w:val="18"/>
                <w:lang w:val="en-US"/>
              </w:rPr>
            </w:pPr>
            <w:r w:rsidRPr="005B5602">
              <w:rPr>
                <w:rFonts w:cs="Arial"/>
                <w:sz w:val="18"/>
                <w:szCs w:val="18"/>
                <w:lang w:val="en-US"/>
              </w:rPr>
              <w:t>Project Terminal Report</w:t>
            </w:r>
          </w:p>
        </w:tc>
        <w:tc>
          <w:tcPr>
            <w:tcW w:w="1792" w:type="pct"/>
            <w:vAlign w:val="center"/>
          </w:tcPr>
          <w:p w14:paraId="242475E5" w14:textId="77777777" w:rsidR="00E1433A" w:rsidRPr="005B5602" w:rsidRDefault="00E1433A" w:rsidP="007D6892">
            <w:pPr>
              <w:numPr>
                <w:ilvl w:val="0"/>
                <w:numId w:val="11"/>
              </w:numPr>
              <w:spacing w:after="0"/>
              <w:jc w:val="left"/>
              <w:rPr>
                <w:rFonts w:cs="Arial"/>
                <w:sz w:val="18"/>
                <w:szCs w:val="18"/>
                <w:lang w:val="en-US"/>
              </w:rPr>
            </w:pPr>
            <w:r w:rsidRPr="005B5602">
              <w:rPr>
                <w:rFonts w:cs="Arial"/>
                <w:sz w:val="18"/>
                <w:szCs w:val="18"/>
                <w:lang w:val="en-US"/>
              </w:rPr>
              <w:t xml:space="preserve">Project manager and team </w:t>
            </w:r>
          </w:p>
          <w:p w14:paraId="25CBA60A" w14:textId="77777777" w:rsidR="00E1433A" w:rsidRPr="005B5602" w:rsidRDefault="00E1433A" w:rsidP="007D6892">
            <w:pPr>
              <w:numPr>
                <w:ilvl w:val="0"/>
                <w:numId w:val="11"/>
              </w:numPr>
              <w:spacing w:after="0"/>
              <w:jc w:val="left"/>
              <w:rPr>
                <w:rFonts w:cs="Arial"/>
                <w:sz w:val="18"/>
                <w:szCs w:val="18"/>
                <w:lang w:val="en-US"/>
              </w:rPr>
            </w:pPr>
            <w:r w:rsidRPr="005B5602">
              <w:rPr>
                <w:rFonts w:cs="Arial"/>
                <w:sz w:val="18"/>
                <w:szCs w:val="18"/>
                <w:lang w:val="en-US"/>
              </w:rPr>
              <w:t>UNDP CO</w:t>
            </w:r>
          </w:p>
          <w:p w14:paraId="10AD8AED" w14:textId="77777777" w:rsidR="00E1433A" w:rsidRPr="005B5602" w:rsidRDefault="00E1433A" w:rsidP="007D6892">
            <w:pPr>
              <w:numPr>
                <w:ilvl w:val="0"/>
                <w:numId w:val="11"/>
              </w:numPr>
              <w:spacing w:after="0"/>
              <w:jc w:val="left"/>
              <w:rPr>
                <w:rFonts w:cs="Arial"/>
                <w:sz w:val="18"/>
                <w:szCs w:val="18"/>
                <w:lang w:val="en-US"/>
              </w:rPr>
            </w:pPr>
            <w:r w:rsidRPr="005B5602">
              <w:rPr>
                <w:rFonts w:cs="Arial"/>
                <w:sz w:val="18"/>
                <w:szCs w:val="18"/>
                <w:lang w:val="en-US"/>
              </w:rPr>
              <w:t>local consultant</w:t>
            </w:r>
          </w:p>
        </w:tc>
        <w:tc>
          <w:tcPr>
            <w:tcW w:w="1195" w:type="pct"/>
            <w:vAlign w:val="center"/>
          </w:tcPr>
          <w:p w14:paraId="6CB76FE6" w14:textId="77777777" w:rsidR="00E1433A" w:rsidRPr="005B5602" w:rsidRDefault="00685CB0" w:rsidP="00685CB0">
            <w:pPr>
              <w:jc w:val="left"/>
              <w:rPr>
                <w:rFonts w:cs="Arial"/>
                <w:sz w:val="18"/>
                <w:szCs w:val="18"/>
                <w:lang w:val="en-US"/>
              </w:rPr>
            </w:pPr>
            <w:r>
              <w:rPr>
                <w:rFonts w:cs="Arial"/>
                <w:sz w:val="18"/>
                <w:szCs w:val="18"/>
                <w:lang w:val="en-US"/>
              </w:rPr>
              <w:t>None</w:t>
            </w:r>
          </w:p>
        </w:tc>
        <w:tc>
          <w:tcPr>
            <w:tcW w:w="975" w:type="pct"/>
          </w:tcPr>
          <w:p w14:paraId="544CC789" w14:textId="77777777" w:rsidR="00E1433A" w:rsidRPr="005B5602" w:rsidRDefault="00E1433A" w:rsidP="005751FA">
            <w:pPr>
              <w:jc w:val="left"/>
              <w:rPr>
                <w:rFonts w:cs="Arial"/>
                <w:sz w:val="18"/>
                <w:szCs w:val="18"/>
                <w:lang w:val="en-US"/>
              </w:rPr>
            </w:pPr>
            <w:r w:rsidRPr="005B5602">
              <w:rPr>
                <w:rFonts w:cs="Arial"/>
                <w:sz w:val="18"/>
                <w:szCs w:val="18"/>
                <w:lang w:val="en-US"/>
              </w:rPr>
              <w:t>At least three months before the end of the project</w:t>
            </w:r>
          </w:p>
        </w:tc>
      </w:tr>
      <w:tr w:rsidR="00E1433A" w:rsidRPr="005B5602" w14:paraId="4E2CA1A0" w14:textId="77777777">
        <w:trPr>
          <w:jc w:val="center"/>
        </w:trPr>
        <w:tc>
          <w:tcPr>
            <w:tcW w:w="1038" w:type="pct"/>
          </w:tcPr>
          <w:p w14:paraId="42BB2FE5" w14:textId="77777777" w:rsidR="00E1433A" w:rsidRPr="005B5602" w:rsidRDefault="00E1433A" w:rsidP="005751FA">
            <w:pPr>
              <w:rPr>
                <w:rFonts w:cs="Arial"/>
                <w:sz w:val="18"/>
                <w:szCs w:val="18"/>
                <w:lang w:val="en-US"/>
              </w:rPr>
            </w:pPr>
            <w:r w:rsidRPr="005B5602">
              <w:rPr>
                <w:rFonts w:cs="Arial"/>
                <w:sz w:val="18"/>
                <w:szCs w:val="18"/>
                <w:lang w:val="en-US"/>
              </w:rPr>
              <w:t xml:space="preserve">Audit </w:t>
            </w:r>
          </w:p>
        </w:tc>
        <w:tc>
          <w:tcPr>
            <w:tcW w:w="1792" w:type="pct"/>
            <w:vAlign w:val="center"/>
          </w:tcPr>
          <w:p w14:paraId="222948AC" w14:textId="77777777" w:rsidR="00E1433A" w:rsidRPr="005B5602" w:rsidRDefault="00E1433A" w:rsidP="007D6892">
            <w:pPr>
              <w:numPr>
                <w:ilvl w:val="0"/>
                <w:numId w:val="9"/>
              </w:numPr>
              <w:spacing w:after="0"/>
              <w:jc w:val="left"/>
              <w:rPr>
                <w:rFonts w:cs="Arial"/>
                <w:sz w:val="18"/>
                <w:szCs w:val="18"/>
                <w:lang w:val="en-US"/>
              </w:rPr>
            </w:pPr>
            <w:r w:rsidRPr="005B5602">
              <w:rPr>
                <w:rFonts w:cs="Arial"/>
                <w:sz w:val="18"/>
                <w:szCs w:val="18"/>
                <w:lang w:val="en-US"/>
              </w:rPr>
              <w:t>UNDP CO</w:t>
            </w:r>
          </w:p>
          <w:p w14:paraId="24D5B837" w14:textId="77777777" w:rsidR="00E1433A" w:rsidRPr="005B5602" w:rsidRDefault="00E1433A" w:rsidP="007D6892">
            <w:pPr>
              <w:numPr>
                <w:ilvl w:val="0"/>
                <w:numId w:val="9"/>
              </w:numPr>
              <w:spacing w:after="0"/>
              <w:jc w:val="left"/>
              <w:rPr>
                <w:rFonts w:cs="Arial"/>
                <w:sz w:val="18"/>
                <w:szCs w:val="18"/>
                <w:lang w:val="en-US"/>
              </w:rPr>
            </w:pPr>
            <w:r w:rsidRPr="005B5602">
              <w:rPr>
                <w:rFonts w:cs="Arial"/>
                <w:sz w:val="18"/>
                <w:szCs w:val="18"/>
                <w:lang w:val="en-US"/>
              </w:rPr>
              <w:t xml:space="preserve">Project manager and team </w:t>
            </w:r>
          </w:p>
        </w:tc>
        <w:tc>
          <w:tcPr>
            <w:tcW w:w="1195" w:type="pct"/>
            <w:vAlign w:val="center"/>
          </w:tcPr>
          <w:p w14:paraId="3608E5A1" w14:textId="77777777" w:rsidR="00E1433A" w:rsidRPr="005B5602" w:rsidRDefault="00E1433A" w:rsidP="005751FA">
            <w:pPr>
              <w:jc w:val="left"/>
              <w:rPr>
                <w:rFonts w:cs="Arial"/>
                <w:sz w:val="18"/>
                <w:szCs w:val="18"/>
                <w:lang w:val="en-US"/>
              </w:rPr>
            </w:pPr>
            <w:r w:rsidRPr="005B5602">
              <w:rPr>
                <w:rFonts w:cs="Arial"/>
                <w:sz w:val="18"/>
                <w:szCs w:val="18"/>
                <w:lang w:val="en-US"/>
              </w:rPr>
              <w:t xml:space="preserve">Indicative cost  per year: 3,000 </w:t>
            </w:r>
          </w:p>
        </w:tc>
        <w:tc>
          <w:tcPr>
            <w:tcW w:w="975" w:type="pct"/>
          </w:tcPr>
          <w:p w14:paraId="0E5E2E8D" w14:textId="77777777" w:rsidR="00E1433A" w:rsidRPr="005B5602" w:rsidRDefault="00E1433A" w:rsidP="005751FA">
            <w:pPr>
              <w:jc w:val="left"/>
              <w:rPr>
                <w:rFonts w:cs="Arial"/>
                <w:sz w:val="18"/>
                <w:szCs w:val="18"/>
                <w:lang w:val="en-US"/>
              </w:rPr>
            </w:pPr>
            <w:r w:rsidRPr="005B5602">
              <w:rPr>
                <w:rFonts w:cs="Arial"/>
                <w:sz w:val="18"/>
                <w:szCs w:val="18"/>
                <w:lang w:val="en-US"/>
              </w:rPr>
              <w:t>Yearly</w:t>
            </w:r>
          </w:p>
        </w:tc>
      </w:tr>
      <w:tr w:rsidR="00E1433A" w:rsidRPr="005B5602" w14:paraId="3FA17D8F" w14:textId="77777777">
        <w:trPr>
          <w:jc w:val="center"/>
        </w:trPr>
        <w:tc>
          <w:tcPr>
            <w:tcW w:w="1038" w:type="pct"/>
            <w:tcBorders>
              <w:bottom w:val="single" w:sz="4" w:space="0" w:color="auto"/>
            </w:tcBorders>
          </w:tcPr>
          <w:p w14:paraId="21415F21" w14:textId="77777777" w:rsidR="00E1433A" w:rsidRPr="005B5602" w:rsidRDefault="00E1433A" w:rsidP="005751FA">
            <w:pPr>
              <w:rPr>
                <w:rFonts w:cs="Arial"/>
                <w:sz w:val="18"/>
                <w:szCs w:val="18"/>
                <w:lang w:val="en-US"/>
              </w:rPr>
            </w:pPr>
            <w:r w:rsidRPr="005B5602">
              <w:rPr>
                <w:rFonts w:cs="Arial"/>
                <w:sz w:val="18"/>
                <w:szCs w:val="18"/>
                <w:lang w:val="en-US"/>
              </w:rPr>
              <w:t xml:space="preserve">Visits to field sites </w:t>
            </w:r>
          </w:p>
        </w:tc>
        <w:tc>
          <w:tcPr>
            <w:tcW w:w="1792" w:type="pct"/>
            <w:tcBorders>
              <w:bottom w:val="single" w:sz="4" w:space="0" w:color="auto"/>
            </w:tcBorders>
            <w:vAlign w:val="center"/>
          </w:tcPr>
          <w:p w14:paraId="63EB2CF5" w14:textId="77777777" w:rsidR="00E1433A" w:rsidRPr="005B5602" w:rsidRDefault="00E1433A" w:rsidP="007D6892">
            <w:pPr>
              <w:numPr>
                <w:ilvl w:val="0"/>
                <w:numId w:val="10"/>
              </w:numPr>
              <w:spacing w:after="0"/>
              <w:jc w:val="left"/>
              <w:rPr>
                <w:rFonts w:cs="Arial"/>
                <w:sz w:val="18"/>
                <w:szCs w:val="18"/>
                <w:lang w:val="en-US"/>
              </w:rPr>
            </w:pPr>
            <w:r w:rsidRPr="005B5602">
              <w:rPr>
                <w:rFonts w:cs="Arial"/>
                <w:sz w:val="18"/>
                <w:szCs w:val="18"/>
                <w:lang w:val="en-US"/>
              </w:rPr>
              <w:t xml:space="preserve">UNDP CO </w:t>
            </w:r>
          </w:p>
          <w:p w14:paraId="5028A724" w14:textId="77777777" w:rsidR="00E1433A" w:rsidRPr="005B5602" w:rsidRDefault="00E1433A" w:rsidP="007D6892">
            <w:pPr>
              <w:numPr>
                <w:ilvl w:val="0"/>
                <w:numId w:val="10"/>
              </w:numPr>
              <w:spacing w:after="0"/>
              <w:jc w:val="left"/>
              <w:rPr>
                <w:rFonts w:cs="Arial"/>
                <w:sz w:val="18"/>
                <w:szCs w:val="18"/>
                <w:lang w:val="en-US"/>
              </w:rPr>
            </w:pPr>
            <w:r w:rsidRPr="005B5602">
              <w:rPr>
                <w:rFonts w:cs="Arial"/>
                <w:sz w:val="18"/>
                <w:szCs w:val="18"/>
                <w:lang w:val="en-US"/>
              </w:rPr>
              <w:t>UNDP RCU (as appropriate)</w:t>
            </w:r>
          </w:p>
          <w:p w14:paraId="42A0FEBF" w14:textId="77777777" w:rsidR="00E1433A" w:rsidRPr="005B5602" w:rsidRDefault="00E1433A" w:rsidP="007D6892">
            <w:pPr>
              <w:numPr>
                <w:ilvl w:val="0"/>
                <w:numId w:val="10"/>
              </w:numPr>
              <w:spacing w:after="0"/>
              <w:jc w:val="left"/>
              <w:rPr>
                <w:rFonts w:cs="Arial"/>
                <w:sz w:val="18"/>
                <w:szCs w:val="18"/>
                <w:lang w:val="en-US"/>
              </w:rPr>
            </w:pPr>
            <w:r w:rsidRPr="005B5602">
              <w:rPr>
                <w:rFonts w:cs="Arial"/>
                <w:sz w:val="18"/>
                <w:szCs w:val="18"/>
                <w:lang w:val="en-US"/>
              </w:rPr>
              <w:t>Government representatives</w:t>
            </w:r>
          </w:p>
        </w:tc>
        <w:tc>
          <w:tcPr>
            <w:tcW w:w="1195" w:type="pct"/>
            <w:tcBorders>
              <w:bottom w:val="single" w:sz="4" w:space="0" w:color="auto"/>
            </w:tcBorders>
            <w:vAlign w:val="center"/>
          </w:tcPr>
          <w:p w14:paraId="3559CA17" w14:textId="77777777" w:rsidR="00E1433A" w:rsidRPr="005B5602" w:rsidRDefault="00E1433A" w:rsidP="005751FA">
            <w:pPr>
              <w:jc w:val="left"/>
              <w:rPr>
                <w:rFonts w:cs="Arial"/>
                <w:sz w:val="18"/>
                <w:szCs w:val="18"/>
                <w:lang w:val="en-US"/>
              </w:rPr>
            </w:pPr>
            <w:r w:rsidRPr="005B5602">
              <w:rPr>
                <w:rFonts w:cs="Arial"/>
                <w:sz w:val="18"/>
                <w:szCs w:val="18"/>
                <w:lang w:val="en-US"/>
              </w:rPr>
              <w:t xml:space="preserve">For GEF supported projects, paid from IA fees and operational budget </w:t>
            </w:r>
          </w:p>
        </w:tc>
        <w:tc>
          <w:tcPr>
            <w:tcW w:w="975" w:type="pct"/>
            <w:tcBorders>
              <w:bottom w:val="single" w:sz="4" w:space="0" w:color="auto"/>
            </w:tcBorders>
          </w:tcPr>
          <w:p w14:paraId="50AAB2FD" w14:textId="77777777" w:rsidR="00E1433A" w:rsidRPr="005B5602" w:rsidRDefault="00E1433A" w:rsidP="005751FA">
            <w:pPr>
              <w:jc w:val="left"/>
              <w:rPr>
                <w:rFonts w:cs="Arial"/>
                <w:sz w:val="18"/>
                <w:szCs w:val="18"/>
                <w:lang w:val="en-US"/>
              </w:rPr>
            </w:pPr>
            <w:r w:rsidRPr="005B5602">
              <w:rPr>
                <w:rFonts w:cs="Arial"/>
                <w:sz w:val="18"/>
                <w:szCs w:val="18"/>
                <w:lang w:val="en-US"/>
              </w:rPr>
              <w:t>Yearly</w:t>
            </w:r>
          </w:p>
        </w:tc>
      </w:tr>
      <w:tr w:rsidR="00E1433A" w:rsidRPr="005B5602" w14:paraId="573394E2" w14:textId="77777777">
        <w:trPr>
          <w:cantSplit/>
          <w:trHeight w:val="944"/>
          <w:jc w:val="center"/>
        </w:trPr>
        <w:tc>
          <w:tcPr>
            <w:tcW w:w="2830" w:type="pct"/>
            <w:gridSpan w:val="2"/>
            <w:shd w:val="clear" w:color="auto" w:fill="E6E6E6"/>
          </w:tcPr>
          <w:p w14:paraId="315AB523" w14:textId="77777777" w:rsidR="00E1433A" w:rsidRPr="005B5602" w:rsidRDefault="00E1433A" w:rsidP="005751FA">
            <w:pPr>
              <w:rPr>
                <w:rFonts w:cs="Arial"/>
                <w:b/>
                <w:sz w:val="18"/>
                <w:szCs w:val="18"/>
                <w:lang w:val="en-US"/>
              </w:rPr>
            </w:pPr>
            <w:r w:rsidRPr="005B5602">
              <w:rPr>
                <w:rFonts w:cs="Arial"/>
                <w:b/>
                <w:sz w:val="18"/>
                <w:szCs w:val="18"/>
                <w:lang w:val="en-US"/>
              </w:rPr>
              <w:t xml:space="preserve">TOTAL indicative COST </w:t>
            </w:r>
          </w:p>
          <w:p w14:paraId="7FE3BF8D" w14:textId="77777777" w:rsidR="00E1433A" w:rsidRPr="005B5602" w:rsidRDefault="00E1433A" w:rsidP="005751FA">
            <w:pPr>
              <w:rPr>
                <w:rFonts w:cs="Arial"/>
                <w:sz w:val="18"/>
                <w:szCs w:val="18"/>
                <w:lang w:val="en-US"/>
              </w:rPr>
            </w:pPr>
            <w:r w:rsidRPr="005B5602">
              <w:rPr>
                <w:rFonts w:cs="Arial"/>
                <w:sz w:val="18"/>
                <w:szCs w:val="18"/>
                <w:lang w:val="en-US"/>
              </w:rPr>
              <w:t xml:space="preserve">Excluding project team staff time and UNDP staff and travel expenses </w:t>
            </w:r>
          </w:p>
        </w:tc>
        <w:tc>
          <w:tcPr>
            <w:tcW w:w="1195" w:type="pct"/>
            <w:shd w:val="clear" w:color="auto" w:fill="E6E6E6"/>
            <w:vAlign w:val="center"/>
          </w:tcPr>
          <w:p w14:paraId="5F387B22" w14:textId="77777777" w:rsidR="00E1433A" w:rsidRPr="005B5602" w:rsidRDefault="00E1433A" w:rsidP="00685CB0">
            <w:pPr>
              <w:jc w:val="left"/>
              <w:rPr>
                <w:rFonts w:cs="Arial"/>
                <w:sz w:val="18"/>
                <w:szCs w:val="18"/>
                <w:lang w:val="en-US"/>
              </w:rPr>
            </w:pPr>
            <w:r w:rsidRPr="005B5602">
              <w:rPr>
                <w:rFonts w:cs="Arial"/>
                <w:sz w:val="18"/>
                <w:szCs w:val="18"/>
                <w:lang w:val="en-US"/>
              </w:rPr>
              <w:t xml:space="preserve"> US$ </w:t>
            </w:r>
            <w:r w:rsidR="00685CB0">
              <w:rPr>
                <w:rFonts w:cs="Arial"/>
                <w:sz w:val="18"/>
                <w:szCs w:val="18"/>
                <w:lang w:val="en-US"/>
              </w:rPr>
              <w:t>65</w:t>
            </w:r>
            <w:r w:rsidRPr="005B5602">
              <w:rPr>
                <w:rFonts w:cs="Arial"/>
                <w:sz w:val="18"/>
                <w:szCs w:val="18"/>
                <w:lang w:val="en-US"/>
              </w:rPr>
              <w:t>,000</w:t>
            </w:r>
          </w:p>
        </w:tc>
        <w:tc>
          <w:tcPr>
            <w:tcW w:w="975" w:type="pct"/>
            <w:shd w:val="clear" w:color="auto" w:fill="E6E6E6"/>
          </w:tcPr>
          <w:p w14:paraId="14D8AB62" w14:textId="77777777" w:rsidR="00E1433A" w:rsidRPr="005B5602" w:rsidRDefault="00E1433A" w:rsidP="005751FA">
            <w:pPr>
              <w:jc w:val="left"/>
              <w:rPr>
                <w:rFonts w:cs="Arial"/>
                <w:sz w:val="18"/>
                <w:szCs w:val="18"/>
                <w:lang w:val="en-US"/>
              </w:rPr>
            </w:pPr>
          </w:p>
        </w:tc>
      </w:tr>
    </w:tbl>
    <w:p w14:paraId="70E38A79" w14:textId="77777777" w:rsidR="00E1433A" w:rsidRPr="005B5602" w:rsidRDefault="00E1433A" w:rsidP="00E1433A">
      <w:pPr>
        <w:rPr>
          <w:rFonts w:cs="Arial"/>
          <w:b/>
          <w:bCs/>
          <w:sz w:val="20"/>
          <w:szCs w:val="20"/>
          <w:lang w:val="en-US"/>
        </w:rPr>
      </w:pPr>
    </w:p>
    <w:p w14:paraId="64444522" w14:textId="77777777" w:rsidR="00E1433A" w:rsidRPr="005B5602" w:rsidRDefault="00E1433A" w:rsidP="00E1433A">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sz w:val="20"/>
          <w:szCs w:val="20"/>
          <w:lang w:val="en-US"/>
        </w:rPr>
      </w:pPr>
    </w:p>
    <w:p w14:paraId="2A1D08E3" w14:textId="77777777" w:rsidR="00E1433A" w:rsidRPr="005B5602" w:rsidRDefault="00E1433A" w:rsidP="00E95FC3">
      <w:pPr>
        <w:pStyle w:val="Heading1"/>
        <w:rPr>
          <w:lang w:val="en-US"/>
        </w:rPr>
      </w:pPr>
      <w:bookmarkStart w:id="80" w:name="_Toc207800916"/>
      <w:bookmarkStart w:id="81" w:name="_Toc393449007"/>
      <w:r w:rsidRPr="005B5602">
        <w:rPr>
          <w:lang w:val="en-US"/>
        </w:rPr>
        <w:t>Legal Context</w:t>
      </w:r>
      <w:bookmarkEnd w:id="80"/>
      <w:bookmarkEnd w:id="81"/>
    </w:p>
    <w:p w14:paraId="36EAB6A5" w14:textId="77777777" w:rsidR="00E1433A" w:rsidRPr="005B5602" w:rsidRDefault="00E1433A" w:rsidP="00E1433A">
      <w:pPr>
        <w:spacing w:after="0"/>
        <w:rPr>
          <w:rFonts w:cs="Arial"/>
          <w:sz w:val="20"/>
          <w:szCs w:val="20"/>
          <w:lang w:val="en-US"/>
        </w:rPr>
      </w:pPr>
    </w:p>
    <w:p w14:paraId="656DAB09" w14:textId="77777777" w:rsidR="00043249" w:rsidRPr="005B5602" w:rsidRDefault="00043249" w:rsidP="00043249">
      <w:pPr>
        <w:jc w:val="left"/>
        <w:rPr>
          <w:rFonts w:cs="Arial"/>
          <w:sz w:val="18"/>
          <w:szCs w:val="18"/>
          <w:lang w:val="en-US"/>
        </w:rPr>
      </w:pPr>
      <w:r w:rsidRPr="005B5602">
        <w:rPr>
          <w:rFonts w:cs="Arial"/>
          <w:sz w:val="18"/>
          <w:szCs w:val="18"/>
          <w:lang w:val="en-US"/>
        </w:rPr>
        <w:t>Standard text has been inserted in the template. It should be noted that although there is no specific statement on the responsibility for the safety and security of the executing agency in the SBAA and the supplemental provisions, the second paragraph of the inserted text should read in line with the statement as specified in SBAA and the supplemental provision, i.e. “</w:t>
      </w:r>
      <w:r w:rsidRPr="005B5602">
        <w:rPr>
          <w:rFonts w:cs="Arial"/>
          <w:snapToGrid w:val="0"/>
          <w:sz w:val="18"/>
          <w:szCs w:val="18"/>
          <w:lang w:val="en-US"/>
        </w:rPr>
        <w:t>the Parties may agree that an Executing Agency shall assume primary responsibility for execution of a project.”</w:t>
      </w:r>
      <w:r w:rsidRPr="005B5602">
        <w:rPr>
          <w:rFonts w:cs="Arial"/>
          <w:snapToGrid w:val="0"/>
          <w:color w:val="FF0000"/>
          <w:sz w:val="18"/>
          <w:szCs w:val="18"/>
          <w:lang w:val="en-US"/>
        </w:rPr>
        <w:t> </w:t>
      </w:r>
    </w:p>
    <w:p w14:paraId="3B4762F8" w14:textId="77777777" w:rsidR="00043249" w:rsidRPr="005B5602" w:rsidRDefault="00043249" w:rsidP="00043249">
      <w:pPr>
        <w:spacing w:after="0"/>
        <w:jc w:val="left"/>
        <w:rPr>
          <w:rFonts w:cs="Arial"/>
          <w:sz w:val="18"/>
          <w:szCs w:val="18"/>
          <w:lang w:val="en-US"/>
        </w:rPr>
      </w:pPr>
    </w:p>
    <w:p w14:paraId="3CAC90BF" w14:textId="77777777" w:rsidR="00E1433A" w:rsidRPr="005B5602" w:rsidRDefault="00E1433A" w:rsidP="00043249">
      <w:pPr>
        <w:jc w:val="left"/>
        <w:rPr>
          <w:rFonts w:cs="Arial"/>
          <w:b/>
          <w:sz w:val="18"/>
          <w:szCs w:val="18"/>
          <w:lang w:val="en-US"/>
        </w:rPr>
      </w:pPr>
      <w:r w:rsidRPr="005B5602">
        <w:rPr>
          <w:rFonts w:cs="Arial"/>
          <w:b/>
          <w:sz w:val="18"/>
          <w:szCs w:val="18"/>
          <w:lang w:val="en-US"/>
        </w:rPr>
        <w:t xml:space="preserve">If the country has signed the </w:t>
      </w:r>
      <w:hyperlink r:id="rId34" w:tooltip="outbind://44/reference_centre/chapter5/sbaa.pdf" w:history="1">
        <w:r w:rsidRPr="005B5602">
          <w:rPr>
            <w:rStyle w:val="Hyperlink"/>
            <w:b/>
            <w:i/>
            <w:spacing w:val="-3"/>
            <w:sz w:val="18"/>
            <w:szCs w:val="18"/>
            <w:lang w:val="en-US"/>
          </w:rPr>
          <w:t>Standard Basic Assistance Agreement (SBAA)</w:t>
        </w:r>
      </w:hyperlink>
      <w:r w:rsidRPr="005B5602">
        <w:rPr>
          <w:rFonts w:cs="Arial"/>
          <w:b/>
          <w:sz w:val="18"/>
          <w:szCs w:val="18"/>
          <w:lang w:val="en-US"/>
        </w:rPr>
        <w:t>, the following standard text must be quoted: </w:t>
      </w:r>
    </w:p>
    <w:p w14:paraId="4339C242" w14:textId="77777777" w:rsidR="00E1433A" w:rsidRPr="005B5602" w:rsidRDefault="00E1433A" w:rsidP="00043249">
      <w:pPr>
        <w:tabs>
          <w:tab w:val="left" w:pos="10080"/>
        </w:tabs>
        <w:ind w:right="720"/>
        <w:jc w:val="left"/>
        <w:rPr>
          <w:rFonts w:cs="Arial"/>
          <w:sz w:val="18"/>
          <w:szCs w:val="18"/>
          <w:lang w:val="en-US"/>
        </w:rPr>
      </w:pPr>
    </w:p>
    <w:p w14:paraId="19DE33C6" w14:textId="77777777" w:rsidR="00E1433A" w:rsidRPr="005B5602" w:rsidRDefault="00E1433A" w:rsidP="00043249">
      <w:pPr>
        <w:jc w:val="left"/>
        <w:rPr>
          <w:rFonts w:cs="Arial"/>
          <w:iCs/>
          <w:sz w:val="18"/>
          <w:szCs w:val="18"/>
          <w:lang w:val="en-US"/>
        </w:rPr>
      </w:pPr>
      <w:r w:rsidRPr="005B5602">
        <w:rPr>
          <w:rFonts w:cs="Arial"/>
          <w:sz w:val="18"/>
          <w:szCs w:val="18"/>
          <w:lang w:val="en-US"/>
        </w:rPr>
        <w:t xml:space="preserve">This document together with the CPAP signed by the Government and UNDP which is incorporated by reference </w:t>
      </w:r>
      <w:r w:rsidRPr="005B5602">
        <w:rPr>
          <w:rFonts w:cs="Arial"/>
          <w:iCs/>
          <w:sz w:val="18"/>
          <w:szCs w:val="18"/>
          <w:shd w:val="clear" w:color="auto" w:fill="FFFFFF"/>
          <w:lang w:val="en-US"/>
        </w:rPr>
        <w:t xml:space="preserve">constitute together a Project Document as referred to in the SBAA [or other appropriate governing agreement] </w:t>
      </w:r>
      <w:r w:rsidRPr="005B5602">
        <w:rPr>
          <w:rFonts w:cs="Arial"/>
          <w:sz w:val="18"/>
          <w:szCs w:val="18"/>
          <w:lang w:val="en-US"/>
        </w:rPr>
        <w:t xml:space="preserve">and all CPAP provisions apply to this document.  </w:t>
      </w:r>
    </w:p>
    <w:p w14:paraId="7C74E594" w14:textId="77777777" w:rsidR="00E1433A" w:rsidRPr="005B5602" w:rsidRDefault="00E1433A" w:rsidP="00043249">
      <w:pPr>
        <w:jc w:val="left"/>
        <w:rPr>
          <w:rFonts w:cs="Arial"/>
          <w:sz w:val="18"/>
          <w:szCs w:val="18"/>
          <w:lang w:val="en-US"/>
        </w:rPr>
      </w:pPr>
      <w:r w:rsidRPr="005B5602">
        <w:rPr>
          <w:rFonts w:cs="Arial"/>
          <w:sz w:val="18"/>
          <w:szCs w:val="18"/>
          <w:lang w:val="en-US"/>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2B9856E1" w14:textId="77777777" w:rsidR="00E1433A" w:rsidRPr="005B5602" w:rsidRDefault="00E1433A" w:rsidP="00043249">
      <w:pPr>
        <w:tabs>
          <w:tab w:val="left" w:pos="10080"/>
        </w:tabs>
        <w:spacing w:after="120"/>
        <w:ind w:right="720"/>
        <w:jc w:val="left"/>
        <w:rPr>
          <w:rFonts w:cs="Arial"/>
          <w:sz w:val="18"/>
          <w:szCs w:val="18"/>
          <w:lang w:val="en-US"/>
        </w:rPr>
      </w:pPr>
      <w:r w:rsidRPr="005B5602">
        <w:rPr>
          <w:rFonts w:cs="Arial"/>
          <w:sz w:val="18"/>
          <w:szCs w:val="18"/>
          <w:lang w:val="en-US"/>
        </w:rPr>
        <w:t>The implementing partner shall:</w:t>
      </w:r>
    </w:p>
    <w:p w14:paraId="0E49AFD0" w14:textId="77777777" w:rsidR="00E1433A" w:rsidRPr="005B5602" w:rsidRDefault="00E1433A" w:rsidP="007D6892">
      <w:pPr>
        <w:numPr>
          <w:ilvl w:val="0"/>
          <w:numId w:val="15"/>
        </w:numPr>
        <w:jc w:val="left"/>
        <w:rPr>
          <w:rFonts w:cs="Arial"/>
          <w:sz w:val="18"/>
          <w:szCs w:val="18"/>
          <w:lang w:val="en-US"/>
        </w:rPr>
      </w:pPr>
      <w:r w:rsidRPr="005B5602">
        <w:rPr>
          <w:rFonts w:cs="Arial"/>
          <w:sz w:val="18"/>
          <w:szCs w:val="18"/>
          <w:lang w:val="en-US"/>
        </w:rPr>
        <w:t>put in place an appropriate security plan and maintain the security plan, taking into account the security situation in the country where the project is being carried;</w:t>
      </w:r>
    </w:p>
    <w:p w14:paraId="3BEA6946" w14:textId="77777777" w:rsidR="00E1433A" w:rsidRPr="005B5602" w:rsidRDefault="00E1433A" w:rsidP="007D6892">
      <w:pPr>
        <w:numPr>
          <w:ilvl w:val="0"/>
          <w:numId w:val="15"/>
        </w:numPr>
        <w:jc w:val="left"/>
        <w:rPr>
          <w:rFonts w:cs="Arial"/>
          <w:sz w:val="18"/>
          <w:szCs w:val="18"/>
          <w:lang w:val="en-US"/>
        </w:rPr>
      </w:pPr>
      <w:r w:rsidRPr="005B5602">
        <w:rPr>
          <w:rFonts w:cs="Arial"/>
          <w:sz w:val="18"/>
          <w:szCs w:val="18"/>
          <w:lang w:val="en-US"/>
        </w:rPr>
        <w:t>assume all risks and liabilities related to the implementing partner’s security, and the full implementation of the security plan.</w:t>
      </w:r>
    </w:p>
    <w:p w14:paraId="2AD56A70" w14:textId="77777777" w:rsidR="00E1433A" w:rsidRPr="005B5602" w:rsidRDefault="00E1433A" w:rsidP="00043249">
      <w:pPr>
        <w:jc w:val="left"/>
        <w:rPr>
          <w:rFonts w:cs="Arial"/>
          <w:sz w:val="18"/>
          <w:szCs w:val="18"/>
          <w:lang w:val="en-US"/>
        </w:rPr>
      </w:pPr>
      <w:r w:rsidRPr="005B5602">
        <w:rPr>
          <w:rFonts w:cs="Arial"/>
          <w:sz w:val="18"/>
          <w:szCs w:val="18"/>
          <w:lang w:val="en-US"/>
        </w:rPr>
        <w:t>UNDP reserves the right to verify whether such a plan is in place, and to suggest modifications to the plan when necessary. Failure to maintain and implement an appropriate security plan as required hereunder shall be deemed a breach of this agreement.</w:t>
      </w:r>
    </w:p>
    <w:p w14:paraId="58611384" w14:textId="77777777" w:rsidR="00E1433A" w:rsidRPr="005B5602" w:rsidRDefault="00E1433A" w:rsidP="00043249">
      <w:pPr>
        <w:jc w:val="left"/>
        <w:rPr>
          <w:rFonts w:cs="Arial"/>
          <w:sz w:val="18"/>
          <w:szCs w:val="18"/>
          <w:lang w:val="en-US"/>
        </w:rPr>
      </w:pPr>
      <w:r w:rsidRPr="005B5602">
        <w:rPr>
          <w:rFonts w:cs="Arial"/>
          <w:sz w:val="18"/>
          <w:szCs w:val="18"/>
          <w:lang w:val="en-US"/>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Pr="005B5602">
          <w:rPr>
            <w:rStyle w:val="Hyperlink"/>
            <w:sz w:val="18"/>
            <w:szCs w:val="18"/>
            <w:lang w:val="en-US"/>
          </w:rPr>
          <w:t>http://www.un.org/Docs/sc/committees/1267/1267ListEng.htm</w:t>
        </w:r>
      </w:hyperlink>
      <w:r w:rsidRPr="005B5602">
        <w:rPr>
          <w:rFonts w:cs="Arial"/>
          <w:color w:val="000080"/>
          <w:sz w:val="18"/>
          <w:szCs w:val="18"/>
          <w:lang w:val="en-US"/>
        </w:rPr>
        <w:t xml:space="preserve">. </w:t>
      </w:r>
      <w:r w:rsidRPr="005B5602">
        <w:rPr>
          <w:rFonts w:cs="Arial"/>
          <w:sz w:val="18"/>
          <w:szCs w:val="18"/>
          <w:lang w:val="en-US"/>
        </w:rPr>
        <w:t xml:space="preserve">This provision must be included in all sub-contracts or sub-agreements entered into under this Project Document. </w:t>
      </w:r>
    </w:p>
    <w:p w14:paraId="1F369E13" w14:textId="77777777" w:rsidR="00E1433A" w:rsidRPr="005B5602" w:rsidRDefault="00E1433A" w:rsidP="00043249">
      <w:pPr>
        <w:tabs>
          <w:tab w:val="left" w:pos="10080"/>
        </w:tabs>
        <w:spacing w:after="120"/>
        <w:ind w:right="720"/>
        <w:jc w:val="left"/>
        <w:rPr>
          <w:rFonts w:cs="Arial"/>
          <w:sz w:val="18"/>
          <w:szCs w:val="18"/>
          <w:lang w:val="en-US"/>
        </w:rPr>
      </w:pPr>
    </w:p>
    <w:p w14:paraId="0D5B00B1" w14:textId="77777777" w:rsidR="00E1433A" w:rsidRPr="005B5602" w:rsidRDefault="00E1433A" w:rsidP="00043249">
      <w:pPr>
        <w:jc w:val="left"/>
        <w:rPr>
          <w:rFonts w:cs="Arial"/>
          <w:b/>
          <w:sz w:val="18"/>
          <w:szCs w:val="18"/>
          <w:lang w:val="en-US"/>
        </w:rPr>
      </w:pPr>
      <w:r w:rsidRPr="005B5602">
        <w:rPr>
          <w:rFonts w:cs="Arial"/>
          <w:b/>
          <w:sz w:val="18"/>
          <w:szCs w:val="18"/>
          <w:lang w:val="en-US"/>
        </w:rPr>
        <w:t>If the country has not signed the SBAA, the following standard text must be quoted: </w:t>
      </w:r>
    </w:p>
    <w:p w14:paraId="77364C35" w14:textId="77777777" w:rsidR="00E1433A" w:rsidRPr="005B5602" w:rsidRDefault="00E1433A" w:rsidP="00043249">
      <w:pPr>
        <w:jc w:val="left"/>
        <w:rPr>
          <w:rFonts w:cs="Arial"/>
          <w:sz w:val="18"/>
          <w:szCs w:val="18"/>
          <w:lang w:val="en-US"/>
        </w:rPr>
      </w:pPr>
      <w:r w:rsidRPr="005B5602">
        <w:rPr>
          <w:rFonts w:cs="Arial"/>
          <w:sz w:val="18"/>
          <w:szCs w:val="18"/>
          <w:lang w:val="en-US"/>
        </w:rPr>
        <w:t xml:space="preserve">This document together with the CPAP signed by the Government and UNDP which is incorporated by reference constitute together the instrument envisaged in the </w:t>
      </w:r>
      <w:hyperlink r:id="rId36" w:tooltip="outbind://44/reference_centre/chapter5/supplementprovsbaa.pdf" w:history="1">
        <w:r w:rsidRPr="005B5602">
          <w:rPr>
            <w:rStyle w:val="Hyperlink"/>
            <w:sz w:val="18"/>
            <w:szCs w:val="18"/>
            <w:lang w:val="en-US"/>
          </w:rPr>
          <w:t>Supplemental Provisions</w:t>
        </w:r>
      </w:hyperlink>
      <w:r w:rsidRPr="005B5602">
        <w:rPr>
          <w:rFonts w:cs="Arial"/>
          <w:sz w:val="18"/>
          <w:szCs w:val="18"/>
          <w:lang w:val="en-US"/>
        </w:rPr>
        <w:t xml:space="preserve"> to the Project Document, attached hereto.</w:t>
      </w:r>
    </w:p>
    <w:p w14:paraId="79167926" w14:textId="77777777" w:rsidR="00E1433A" w:rsidRPr="005B5602" w:rsidRDefault="00E1433A" w:rsidP="00043249">
      <w:pPr>
        <w:jc w:val="left"/>
        <w:rPr>
          <w:rFonts w:cs="Arial"/>
          <w:sz w:val="18"/>
          <w:szCs w:val="18"/>
          <w:lang w:val="en-US"/>
        </w:rPr>
      </w:pPr>
      <w:r w:rsidRPr="005B5602">
        <w:rPr>
          <w:rFonts w:cs="Arial"/>
          <w:sz w:val="18"/>
          <w:szCs w:val="18"/>
          <w:lang w:val="en-US"/>
        </w:rPr>
        <w:t xml:space="preserve">Consistent with the above Supplemental Provisions, the responsibility for the safety and security of the implementing partner and its personnel and property, and of UNDP’s property in the implementing partner’s custody, rests with the implementing partner. </w:t>
      </w:r>
    </w:p>
    <w:p w14:paraId="6E329638" w14:textId="77777777" w:rsidR="00E1433A" w:rsidRPr="005B5602" w:rsidRDefault="00E1433A" w:rsidP="00043249">
      <w:pPr>
        <w:jc w:val="left"/>
        <w:rPr>
          <w:rFonts w:cs="Arial"/>
          <w:sz w:val="18"/>
          <w:szCs w:val="18"/>
          <w:lang w:val="en-US"/>
        </w:rPr>
      </w:pPr>
      <w:r w:rsidRPr="005B5602">
        <w:rPr>
          <w:rFonts w:cs="Arial"/>
          <w:sz w:val="18"/>
          <w:szCs w:val="18"/>
          <w:lang w:val="en-US"/>
        </w:rPr>
        <w:t>The implementing partner shall:</w:t>
      </w:r>
    </w:p>
    <w:p w14:paraId="25B9E672" w14:textId="77777777" w:rsidR="00E1433A" w:rsidRPr="005B5602" w:rsidRDefault="00E1433A" w:rsidP="007D6892">
      <w:pPr>
        <w:numPr>
          <w:ilvl w:val="0"/>
          <w:numId w:val="16"/>
        </w:numPr>
        <w:jc w:val="left"/>
        <w:rPr>
          <w:rFonts w:cs="Arial"/>
          <w:sz w:val="18"/>
          <w:szCs w:val="18"/>
          <w:lang w:val="en-US"/>
        </w:rPr>
      </w:pPr>
      <w:r w:rsidRPr="005B5602">
        <w:rPr>
          <w:rFonts w:cs="Arial"/>
          <w:sz w:val="18"/>
          <w:szCs w:val="18"/>
          <w:lang w:val="en-US"/>
        </w:rPr>
        <w:t>put in place an appropriate security plan and maintain the security plan, taking into account the security situation in the country where the project is being carried;</w:t>
      </w:r>
    </w:p>
    <w:p w14:paraId="67CA5FE1" w14:textId="77777777" w:rsidR="00E1433A" w:rsidRPr="005B5602" w:rsidRDefault="00E1433A" w:rsidP="007D6892">
      <w:pPr>
        <w:numPr>
          <w:ilvl w:val="0"/>
          <w:numId w:val="16"/>
        </w:numPr>
        <w:jc w:val="left"/>
        <w:rPr>
          <w:rFonts w:cs="Arial"/>
          <w:sz w:val="18"/>
          <w:szCs w:val="18"/>
          <w:lang w:val="en-US"/>
        </w:rPr>
      </w:pPr>
      <w:r w:rsidRPr="005B5602">
        <w:rPr>
          <w:rFonts w:cs="Arial"/>
          <w:sz w:val="18"/>
          <w:szCs w:val="18"/>
          <w:lang w:val="en-US"/>
        </w:rPr>
        <w:t>assume all risks and liabilities related to the implementing partner’s security, and the full implementation of the security plan.</w:t>
      </w:r>
    </w:p>
    <w:p w14:paraId="59CD2AFB" w14:textId="77777777" w:rsidR="00E1433A" w:rsidRPr="005B5602" w:rsidRDefault="00E1433A" w:rsidP="00043249">
      <w:pPr>
        <w:jc w:val="left"/>
        <w:rPr>
          <w:rFonts w:cs="Arial"/>
          <w:sz w:val="18"/>
          <w:szCs w:val="18"/>
          <w:lang w:val="en-US"/>
        </w:rPr>
      </w:pPr>
      <w:r w:rsidRPr="005B5602">
        <w:rPr>
          <w:rFonts w:cs="Arial"/>
          <w:sz w:val="18"/>
          <w:szCs w:val="18"/>
          <w:lang w:val="en-US"/>
        </w:rPr>
        <w:t>UNDP reserves the right to verify whether such a plan is in place, and to suggest modifications to the plan when necessary. Failure to maintain and implement an appropriate security plan as required hereunder shall be deemed a breach of this agreement.</w:t>
      </w:r>
    </w:p>
    <w:p w14:paraId="2EF6BCC5" w14:textId="77777777" w:rsidR="00DA4F23" w:rsidRPr="005B5602" w:rsidRDefault="00E1433A" w:rsidP="00043249">
      <w:pPr>
        <w:spacing w:after="120"/>
        <w:jc w:val="left"/>
        <w:rPr>
          <w:rFonts w:cs="Arial"/>
          <w:sz w:val="18"/>
          <w:szCs w:val="18"/>
          <w:lang w:val="en-US"/>
        </w:rPr>
      </w:pPr>
      <w:r w:rsidRPr="005B5602">
        <w:rPr>
          <w:rFonts w:cs="Arial"/>
          <w:sz w:val="18"/>
          <w:szCs w:val="18"/>
          <w:lang w:val="en-US"/>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Pr="005B5602">
          <w:rPr>
            <w:rStyle w:val="Hyperlink"/>
            <w:sz w:val="18"/>
            <w:szCs w:val="18"/>
            <w:lang w:val="en-US"/>
          </w:rPr>
          <w:t>http://www.un.org/Docs/sc/committees/1267/1267ListEng.htm</w:t>
        </w:r>
      </w:hyperlink>
      <w:r w:rsidRPr="005B5602">
        <w:rPr>
          <w:rFonts w:cs="Arial"/>
          <w:color w:val="000080"/>
          <w:sz w:val="18"/>
          <w:szCs w:val="18"/>
          <w:lang w:val="en-US"/>
        </w:rPr>
        <w:t xml:space="preserve">. </w:t>
      </w:r>
      <w:r w:rsidRPr="005B5602">
        <w:rPr>
          <w:rFonts w:cs="Arial"/>
          <w:sz w:val="18"/>
          <w:szCs w:val="18"/>
          <w:lang w:val="en-US"/>
        </w:rPr>
        <w:t>This provision must be included in all sub-contracts or sub-agreements entered i</w:t>
      </w:r>
      <w:r w:rsidR="00DA4F23" w:rsidRPr="005B5602">
        <w:rPr>
          <w:rFonts w:cs="Arial"/>
          <w:sz w:val="18"/>
          <w:szCs w:val="18"/>
          <w:lang w:val="en-US"/>
        </w:rPr>
        <w:t>nto under this Project Document.</w:t>
      </w:r>
    </w:p>
    <w:p w14:paraId="4AB4A663" w14:textId="77777777" w:rsidR="00DA4F23" w:rsidRPr="005B5602" w:rsidRDefault="00DA4F23" w:rsidP="00043249">
      <w:pPr>
        <w:spacing w:after="120"/>
        <w:jc w:val="left"/>
        <w:rPr>
          <w:rFonts w:cs="Arial"/>
          <w:sz w:val="18"/>
          <w:szCs w:val="18"/>
          <w:lang w:val="en-US"/>
        </w:rPr>
      </w:pPr>
    </w:p>
    <w:p w14:paraId="0F5FEF1F" w14:textId="77777777" w:rsidR="00E1433A" w:rsidRPr="005B5602" w:rsidRDefault="00E1433A" w:rsidP="00043249">
      <w:pPr>
        <w:spacing w:after="120"/>
        <w:jc w:val="left"/>
        <w:rPr>
          <w:rFonts w:cs="Arial"/>
          <w:b/>
          <w:sz w:val="18"/>
          <w:szCs w:val="18"/>
          <w:lang w:val="en-US"/>
        </w:rPr>
      </w:pPr>
      <w:r w:rsidRPr="005B5602">
        <w:rPr>
          <w:rFonts w:cs="Arial"/>
          <w:b/>
          <w:sz w:val="18"/>
          <w:szCs w:val="18"/>
          <w:lang w:val="en-US"/>
        </w:rPr>
        <w:t xml:space="preserve">The following standard text for a global/ multi country and regional projects should be included: </w:t>
      </w:r>
    </w:p>
    <w:p w14:paraId="6E6532DA" w14:textId="77777777" w:rsidR="00E1433A" w:rsidRPr="005B5602" w:rsidRDefault="00E1433A" w:rsidP="00043249">
      <w:pPr>
        <w:pStyle w:val="ListParagraph"/>
        <w:rPr>
          <w:rFonts w:ascii="Arial" w:hAnsi="Arial" w:cs="Arial"/>
          <w:sz w:val="18"/>
          <w:szCs w:val="18"/>
        </w:rPr>
      </w:pPr>
    </w:p>
    <w:p w14:paraId="3B5CD70C" w14:textId="77777777" w:rsidR="00E1433A" w:rsidRPr="005B5602" w:rsidRDefault="00E1433A" w:rsidP="00043249">
      <w:pPr>
        <w:pStyle w:val="ListParagraph"/>
        <w:ind w:left="0"/>
        <w:rPr>
          <w:rFonts w:ascii="Arial" w:hAnsi="Arial" w:cs="Arial"/>
          <w:sz w:val="18"/>
          <w:szCs w:val="18"/>
        </w:rPr>
      </w:pPr>
      <w:r w:rsidRPr="005B5602">
        <w:rPr>
          <w:rFonts w:ascii="Arial" w:hAnsi="Arial" w:cs="Arial"/>
          <w:sz w:val="18"/>
          <w:szCs w:val="18"/>
        </w:rPr>
        <w:t xml:space="preserve">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(i) the respective signed SBAAs for the specific countries; or (ii) in the </w:t>
      </w:r>
      <w:hyperlink r:id="rId38" w:tooltip="http://intra.undp.org/bdp/archive-programming-manual/docs/reference-centre/chapter6/sbaa.pdf outbind://44/reference_centre/chapter5/supplementprovsbaa.pdf" w:history="1">
        <w:r w:rsidRPr="005B5602">
          <w:rPr>
            <w:rStyle w:val="Hyperlink"/>
            <w:color w:val="auto"/>
            <w:sz w:val="18"/>
            <w:szCs w:val="18"/>
          </w:rPr>
          <w:t>Supplemental Provisions</w:t>
        </w:r>
      </w:hyperlink>
      <w:r w:rsidRPr="005B5602">
        <w:rPr>
          <w:rFonts w:ascii="Arial" w:hAnsi="Arial" w:cs="Arial"/>
          <w:sz w:val="18"/>
          <w:szCs w:val="18"/>
        </w:rPr>
        <w:t xml:space="preserve"> attached to the Project Document in cases where the recipient country has not signed an SBAA with UNDP, attached hereto and forming an integral part hereof</w:t>
      </w:r>
      <w:r w:rsidR="00DB18FA" w:rsidRPr="005B5602">
        <w:rPr>
          <w:rFonts w:ascii="Arial" w:hAnsi="Arial" w:cs="Arial"/>
          <w:sz w:val="18"/>
          <w:szCs w:val="18"/>
        </w:rPr>
        <w:t>.</w:t>
      </w:r>
    </w:p>
    <w:p w14:paraId="73B2B8F4" w14:textId="77777777" w:rsidR="00E1433A" w:rsidRPr="005B5602" w:rsidRDefault="00E1433A" w:rsidP="00043249">
      <w:pPr>
        <w:jc w:val="left"/>
        <w:rPr>
          <w:rFonts w:cs="Arial"/>
          <w:sz w:val="18"/>
          <w:szCs w:val="18"/>
          <w:lang w:val="en-US"/>
        </w:rPr>
      </w:pPr>
    </w:p>
    <w:p w14:paraId="2A6E616D" w14:textId="77777777" w:rsidR="00E1433A" w:rsidRPr="005B5602" w:rsidRDefault="00E1433A" w:rsidP="00043249">
      <w:pPr>
        <w:jc w:val="left"/>
        <w:rPr>
          <w:rFonts w:cs="Arial"/>
          <w:b/>
          <w:bCs/>
          <w:sz w:val="18"/>
          <w:szCs w:val="18"/>
          <w:lang w:val="en-US"/>
        </w:rPr>
      </w:pPr>
      <w:r w:rsidRPr="005B5602">
        <w:rPr>
          <w:rFonts w:cs="Arial"/>
          <w:sz w:val="18"/>
          <w:szCs w:val="18"/>
          <w:lang w:val="en-US"/>
        </w:rPr>
        <w:t>This project will be implemented by the agency (name of agency)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5B5602">
        <w:rPr>
          <w:rFonts w:cs="Arial"/>
          <w:b/>
          <w:bCs/>
          <w:sz w:val="18"/>
          <w:szCs w:val="18"/>
          <w:lang w:val="en-US"/>
        </w:rPr>
        <w:t xml:space="preserve">.  </w:t>
      </w:r>
    </w:p>
    <w:p w14:paraId="679C64F1" w14:textId="77777777" w:rsidR="00E1433A" w:rsidRPr="005B5602" w:rsidRDefault="00E1433A" w:rsidP="00043249">
      <w:pPr>
        <w:jc w:val="left"/>
        <w:rPr>
          <w:rFonts w:cs="Arial"/>
          <w:sz w:val="18"/>
          <w:szCs w:val="18"/>
          <w:lang w:val="en-US"/>
        </w:rPr>
      </w:pPr>
    </w:p>
    <w:p w14:paraId="75D9634A" w14:textId="77777777" w:rsidR="00E1433A" w:rsidRPr="005B5602" w:rsidRDefault="00E1433A" w:rsidP="00043249">
      <w:pPr>
        <w:jc w:val="left"/>
        <w:rPr>
          <w:rFonts w:cs="Arial"/>
          <w:sz w:val="18"/>
          <w:szCs w:val="18"/>
          <w:lang w:val="en-US"/>
        </w:rPr>
      </w:pPr>
      <w:r w:rsidRPr="005B5602">
        <w:rPr>
          <w:rFonts w:cs="Arial"/>
          <w:sz w:val="18"/>
          <w:szCs w:val="18"/>
          <w:lang w:val="en-US"/>
        </w:rPr>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2FC303BF" w14:textId="77777777" w:rsidR="00E1433A" w:rsidRPr="005B5602" w:rsidRDefault="00E1433A" w:rsidP="00043249">
      <w:pPr>
        <w:jc w:val="left"/>
        <w:rPr>
          <w:rFonts w:cs="Arial"/>
          <w:sz w:val="18"/>
          <w:szCs w:val="18"/>
          <w:lang w:val="en-US"/>
        </w:rPr>
      </w:pPr>
    </w:p>
    <w:p w14:paraId="67738595" w14:textId="77777777" w:rsidR="00E1433A" w:rsidRPr="005B5602" w:rsidRDefault="00E1433A" w:rsidP="00043249">
      <w:pPr>
        <w:jc w:val="left"/>
        <w:rPr>
          <w:rFonts w:cs="Arial"/>
          <w:sz w:val="18"/>
          <w:szCs w:val="18"/>
          <w:lang w:val="en-US"/>
        </w:rPr>
      </w:pPr>
      <w:r w:rsidRPr="005B5602">
        <w:rPr>
          <w:rFonts w:cs="Arial"/>
          <w:sz w:val="18"/>
          <w:szCs w:val="18"/>
          <w:lang w:val="en-US"/>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9" w:tooltip="http://www.un.org/Docs/sc/committees/1267/1267ListEng.htm" w:history="1">
        <w:r w:rsidRPr="005B5602">
          <w:rPr>
            <w:rStyle w:val="Hyperlink"/>
            <w:color w:val="auto"/>
            <w:sz w:val="18"/>
            <w:szCs w:val="18"/>
            <w:lang w:val="en-US"/>
          </w:rPr>
          <w:t>http://www.un.org/Docs/sc/committees/1267/1267ListEng.htm</w:t>
        </w:r>
      </w:hyperlink>
      <w:r w:rsidRPr="005B5602">
        <w:rPr>
          <w:rFonts w:cs="Arial"/>
          <w:sz w:val="18"/>
          <w:szCs w:val="18"/>
          <w:lang w:val="en-US"/>
        </w:rPr>
        <w:t xml:space="preserve">. This provision must be included in all sub-contracts or sub-agreements entered into under this Project Document. </w:t>
      </w:r>
    </w:p>
    <w:p w14:paraId="55D8A51B" w14:textId="77777777" w:rsidR="00E1433A" w:rsidRPr="005B5602" w:rsidRDefault="00E1433A" w:rsidP="00E1433A">
      <w:pPr>
        <w:pStyle w:val="ListParagraph"/>
        <w:ind w:left="360"/>
        <w:rPr>
          <w:rFonts w:ascii="Arial" w:hAnsi="Arial" w:cs="Arial"/>
          <w:sz w:val="18"/>
          <w:szCs w:val="18"/>
        </w:rPr>
      </w:pPr>
    </w:p>
    <w:p w14:paraId="7342DFF0" w14:textId="77777777" w:rsidR="00E1433A" w:rsidRPr="005B5602" w:rsidRDefault="009B02E0" w:rsidP="00E95FC3">
      <w:pPr>
        <w:pStyle w:val="Heading1"/>
        <w:rPr>
          <w:lang w:val="en-US"/>
        </w:rPr>
      </w:pPr>
      <w:bookmarkStart w:id="82" w:name="_Toc393449008"/>
      <w:r w:rsidRPr="005B5602">
        <w:rPr>
          <w:lang w:val="en-US"/>
        </w:rPr>
        <w:t>A</w:t>
      </w:r>
      <w:r w:rsidR="00E1433A" w:rsidRPr="005B5602">
        <w:rPr>
          <w:lang w:val="en-US"/>
        </w:rPr>
        <w:t>nnexes</w:t>
      </w:r>
      <w:bookmarkEnd w:id="82"/>
    </w:p>
    <w:p w14:paraId="6795DFF0" w14:textId="77777777" w:rsidR="00E95FC3" w:rsidRPr="005B5602" w:rsidRDefault="00E1433A" w:rsidP="009B02E0">
      <w:pPr>
        <w:pStyle w:val="Heading2"/>
        <w:keepLines/>
        <w:spacing w:before="200" w:after="0" w:line="276" w:lineRule="auto"/>
        <w:jc w:val="left"/>
        <w:rPr>
          <w:rFonts w:ascii="Arial" w:hAnsi="Arial"/>
        </w:rPr>
      </w:pPr>
      <w:bookmarkStart w:id="83" w:name="_Toc393449009"/>
      <w:r w:rsidRPr="005B5602">
        <w:rPr>
          <w:rFonts w:ascii="Arial" w:hAnsi="Arial"/>
        </w:rPr>
        <w:t>Risk Analysis</w:t>
      </w:r>
      <w:bookmarkEnd w:id="83"/>
    </w:p>
    <w:p w14:paraId="7BBCEDCC" w14:textId="77777777" w:rsidR="00E1433A" w:rsidRPr="005B5602" w:rsidRDefault="00E1433A" w:rsidP="00E1433A">
      <w:pPr>
        <w:spacing w:after="0"/>
        <w:jc w:val="left"/>
        <w:rPr>
          <w:rFonts w:cs="Arial"/>
          <w:sz w:val="18"/>
          <w:szCs w:val="18"/>
          <w:lang w:val="en-US"/>
        </w:rPr>
      </w:pPr>
      <w:r w:rsidRPr="005B5602">
        <w:rPr>
          <w:rFonts w:cs="Arial"/>
          <w:i/>
          <w:sz w:val="18"/>
          <w:szCs w:val="18"/>
          <w:lang w:val="en-US"/>
        </w:rPr>
        <w:t xml:space="preserve">Use the standard UNDP Atlas </w:t>
      </w:r>
      <w:hyperlink r:id="rId40" w:history="1">
        <w:r w:rsidRPr="005B5602">
          <w:rPr>
            <w:rStyle w:val="Hyperlink"/>
            <w:i/>
            <w:sz w:val="18"/>
            <w:szCs w:val="18"/>
            <w:lang w:val="en-US"/>
          </w:rPr>
          <w:t>Risk Log template</w:t>
        </w:r>
      </w:hyperlink>
      <w:r w:rsidRPr="005B5602">
        <w:rPr>
          <w:rFonts w:cs="Arial"/>
          <w:i/>
          <w:sz w:val="18"/>
          <w:szCs w:val="18"/>
          <w:lang w:val="en-US"/>
        </w:rPr>
        <w:t>. For UNDP GEF projects in particular, please outline the risk management measures including improving resilience to climate change that the project proposes to undertake.</w:t>
      </w:r>
    </w:p>
    <w:p w14:paraId="19FBB5BB" w14:textId="77777777" w:rsidR="00E17B73" w:rsidRPr="005B5602" w:rsidRDefault="00E17B73" w:rsidP="00E1433A">
      <w:pPr>
        <w:spacing w:after="0"/>
        <w:jc w:val="left"/>
        <w:rPr>
          <w:rFonts w:cs="Arial"/>
          <w:b/>
          <w:iCs/>
          <w:sz w:val="18"/>
          <w:szCs w:val="18"/>
          <w:lang w:val="en-US"/>
        </w:rPr>
      </w:pPr>
    </w:p>
    <w:p w14:paraId="68777BE8" w14:textId="77777777" w:rsidR="00E17B73" w:rsidRPr="005B5602" w:rsidRDefault="00E17B73" w:rsidP="00E1433A">
      <w:pPr>
        <w:spacing w:after="0"/>
        <w:jc w:val="left"/>
        <w:rPr>
          <w:rFonts w:cs="Arial"/>
          <w:b/>
          <w:iCs/>
          <w:sz w:val="18"/>
          <w:szCs w:val="18"/>
          <w:lang w:val="en-US"/>
        </w:rPr>
      </w:pPr>
    </w:p>
    <w:p w14:paraId="4AD95D3B" w14:textId="77777777" w:rsidR="00E17B73" w:rsidRPr="005B5602" w:rsidRDefault="00E17B73" w:rsidP="00E17B73">
      <w:pPr>
        <w:autoSpaceDE w:val="0"/>
        <w:autoSpaceDN w:val="0"/>
        <w:adjustRightInd w:val="0"/>
        <w:rPr>
          <w:szCs w:val="20"/>
        </w:rPr>
      </w:pPr>
      <w:r w:rsidRPr="005B5602">
        <w:rPr>
          <w:szCs w:val="20"/>
        </w:rPr>
        <w:t>Potential risks associated with the project, along with proposed mitigation measures, are summarized in a table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8"/>
        <w:gridCol w:w="1161"/>
        <w:gridCol w:w="5187"/>
      </w:tblGrid>
      <w:tr w:rsidR="00E17B73" w:rsidRPr="005B5602" w14:paraId="56389E57" w14:textId="77777777">
        <w:trPr>
          <w:tblHeader/>
        </w:trPr>
        <w:tc>
          <w:tcPr>
            <w:tcW w:w="0" w:type="auto"/>
          </w:tcPr>
          <w:p w14:paraId="0FDA7422" w14:textId="77777777" w:rsidR="00E17B73" w:rsidRPr="005B5602" w:rsidRDefault="00E17B73" w:rsidP="00E17B73">
            <w:pPr>
              <w:jc w:val="left"/>
              <w:rPr>
                <w:b/>
                <w:sz w:val="20"/>
                <w:szCs w:val="20"/>
              </w:rPr>
            </w:pPr>
            <w:r w:rsidRPr="005B5602">
              <w:rPr>
                <w:b/>
                <w:sz w:val="20"/>
                <w:szCs w:val="20"/>
              </w:rPr>
              <w:t>Risks</w:t>
            </w:r>
          </w:p>
        </w:tc>
        <w:tc>
          <w:tcPr>
            <w:tcW w:w="0" w:type="auto"/>
          </w:tcPr>
          <w:p w14:paraId="4AA5EBB5" w14:textId="77777777" w:rsidR="00E17B73" w:rsidRPr="005B5602" w:rsidRDefault="00E17B73" w:rsidP="00E17B73">
            <w:pPr>
              <w:jc w:val="left"/>
              <w:rPr>
                <w:b/>
                <w:sz w:val="20"/>
                <w:szCs w:val="20"/>
              </w:rPr>
            </w:pPr>
            <w:r w:rsidRPr="005B5602">
              <w:rPr>
                <w:b/>
                <w:sz w:val="20"/>
                <w:szCs w:val="20"/>
              </w:rPr>
              <w:t>Rating</w:t>
            </w:r>
          </w:p>
        </w:tc>
        <w:tc>
          <w:tcPr>
            <w:tcW w:w="0" w:type="auto"/>
          </w:tcPr>
          <w:p w14:paraId="5A5050CD" w14:textId="77777777" w:rsidR="00E17B73" w:rsidRPr="005B5602" w:rsidRDefault="00E17B73" w:rsidP="00E17B73">
            <w:pPr>
              <w:jc w:val="left"/>
              <w:rPr>
                <w:b/>
                <w:sz w:val="20"/>
                <w:szCs w:val="20"/>
              </w:rPr>
            </w:pPr>
            <w:r w:rsidRPr="005B5602">
              <w:rPr>
                <w:b/>
                <w:sz w:val="20"/>
                <w:szCs w:val="20"/>
              </w:rPr>
              <w:t>Mitigation measures</w:t>
            </w:r>
          </w:p>
        </w:tc>
      </w:tr>
      <w:tr w:rsidR="00E17B73" w:rsidRPr="005B5602" w14:paraId="338019DF" w14:textId="77777777">
        <w:tc>
          <w:tcPr>
            <w:tcW w:w="0" w:type="auto"/>
          </w:tcPr>
          <w:p w14:paraId="551F4F96" w14:textId="77777777" w:rsidR="00E17B73" w:rsidRPr="005B5602" w:rsidRDefault="00E17B73" w:rsidP="00E17B73">
            <w:pPr>
              <w:jc w:val="left"/>
              <w:rPr>
                <w:sz w:val="20"/>
                <w:szCs w:val="20"/>
              </w:rPr>
            </w:pPr>
            <w:r w:rsidRPr="005B5602">
              <w:rPr>
                <w:sz w:val="20"/>
                <w:szCs w:val="20"/>
              </w:rPr>
              <w:t>Political risk of Kazakhstan withdrawing its commitment under UNFCCC</w:t>
            </w:r>
          </w:p>
        </w:tc>
        <w:tc>
          <w:tcPr>
            <w:tcW w:w="0" w:type="auto"/>
          </w:tcPr>
          <w:p w14:paraId="2D3D217C" w14:textId="77777777" w:rsidR="00E17B73" w:rsidRPr="005B5602" w:rsidRDefault="00E17B73" w:rsidP="00E17B73">
            <w:pPr>
              <w:jc w:val="left"/>
              <w:rPr>
                <w:sz w:val="20"/>
                <w:szCs w:val="20"/>
              </w:rPr>
            </w:pPr>
            <w:r w:rsidRPr="005B5602">
              <w:rPr>
                <w:sz w:val="20"/>
                <w:szCs w:val="20"/>
              </w:rPr>
              <w:t>Low</w:t>
            </w:r>
          </w:p>
        </w:tc>
        <w:tc>
          <w:tcPr>
            <w:tcW w:w="0" w:type="auto"/>
          </w:tcPr>
          <w:p w14:paraId="1D3A4C6B" w14:textId="77777777" w:rsidR="00E17B73" w:rsidRPr="005B5602" w:rsidRDefault="00E17B73" w:rsidP="00E17B73">
            <w:pPr>
              <w:autoSpaceDE w:val="0"/>
              <w:autoSpaceDN w:val="0"/>
              <w:adjustRightInd w:val="0"/>
              <w:jc w:val="left"/>
              <w:rPr>
                <w:sz w:val="20"/>
                <w:szCs w:val="20"/>
              </w:rPr>
            </w:pPr>
            <w:r w:rsidRPr="005B5602">
              <w:rPr>
                <w:sz w:val="20"/>
                <w:szCs w:val="20"/>
              </w:rPr>
              <w:t xml:space="preserve">Kazakhstan has consistently demonstrated its high-level political commitment to climate change mitigation starting from its voluntary decision to join Annex I in 1999, accepting binding emission stabilization targets and later on in 2010 by taking additional voluntary commitment to reduce GHG emission by 15% below 1992 baseline. </w:t>
            </w:r>
          </w:p>
          <w:p w14:paraId="60926B74" w14:textId="77777777" w:rsidR="00E17B73" w:rsidRPr="005B5602" w:rsidRDefault="00E17B73" w:rsidP="00E17B73">
            <w:pPr>
              <w:autoSpaceDE w:val="0"/>
              <w:autoSpaceDN w:val="0"/>
              <w:adjustRightInd w:val="0"/>
              <w:jc w:val="left"/>
              <w:rPr>
                <w:sz w:val="20"/>
                <w:szCs w:val="20"/>
              </w:rPr>
            </w:pPr>
          </w:p>
          <w:p w14:paraId="6C311F06" w14:textId="77777777" w:rsidR="00E17B73" w:rsidRPr="005B5602" w:rsidRDefault="00E17B73" w:rsidP="00E17B73">
            <w:pPr>
              <w:autoSpaceDE w:val="0"/>
              <w:autoSpaceDN w:val="0"/>
              <w:adjustRightInd w:val="0"/>
              <w:jc w:val="left"/>
              <w:rPr>
                <w:sz w:val="20"/>
                <w:szCs w:val="20"/>
              </w:rPr>
            </w:pPr>
            <w:r w:rsidRPr="005B5602">
              <w:rPr>
                <w:sz w:val="20"/>
                <w:szCs w:val="20"/>
              </w:rPr>
              <w:t xml:space="preserve">The project will build on this and will generate additional political support and commitments to reduce emissions among the Kazakhstani cities. A high level political involvement from regional and cities’ authorities will be ensured throughout the implementation of the project to secure their continuous involvement and buy-in. </w:t>
            </w:r>
          </w:p>
        </w:tc>
      </w:tr>
      <w:tr w:rsidR="00E17B73" w:rsidRPr="005B5602" w14:paraId="005700E9" w14:textId="77777777">
        <w:tc>
          <w:tcPr>
            <w:tcW w:w="0" w:type="auto"/>
          </w:tcPr>
          <w:p w14:paraId="546D610B" w14:textId="77777777" w:rsidR="00BE3228" w:rsidRDefault="00BE3228" w:rsidP="00E17B73">
            <w:pPr>
              <w:jc w:val="left"/>
              <w:rPr>
                <w:sz w:val="20"/>
                <w:szCs w:val="20"/>
              </w:rPr>
            </w:pPr>
            <w:r>
              <w:rPr>
                <w:sz w:val="20"/>
                <w:szCs w:val="20"/>
              </w:rPr>
              <w:t>Lack of bankable projects in pilot cities</w:t>
            </w:r>
          </w:p>
          <w:p w14:paraId="0330C575" w14:textId="77777777" w:rsidR="00E17B73" w:rsidRPr="005B5602" w:rsidRDefault="00E17B73" w:rsidP="00E17B73">
            <w:pPr>
              <w:jc w:val="left"/>
              <w:rPr>
                <w:sz w:val="20"/>
                <w:szCs w:val="20"/>
              </w:rPr>
            </w:pPr>
            <w:r w:rsidRPr="005B5602">
              <w:rPr>
                <w:sz w:val="20"/>
                <w:szCs w:val="20"/>
              </w:rPr>
              <w:t>Lack of private sector interest and motivation to invest in urban mitigation actions</w:t>
            </w:r>
          </w:p>
        </w:tc>
        <w:tc>
          <w:tcPr>
            <w:tcW w:w="0" w:type="auto"/>
          </w:tcPr>
          <w:p w14:paraId="0113C08C" w14:textId="77777777" w:rsidR="00E17B73" w:rsidRPr="005B5602" w:rsidRDefault="00E17B73" w:rsidP="00E17B73">
            <w:pPr>
              <w:jc w:val="left"/>
              <w:rPr>
                <w:sz w:val="20"/>
                <w:szCs w:val="20"/>
              </w:rPr>
            </w:pPr>
            <w:r w:rsidRPr="005B5602">
              <w:rPr>
                <w:sz w:val="20"/>
                <w:szCs w:val="20"/>
              </w:rPr>
              <w:t>High</w:t>
            </w:r>
          </w:p>
        </w:tc>
        <w:tc>
          <w:tcPr>
            <w:tcW w:w="0" w:type="auto"/>
          </w:tcPr>
          <w:p w14:paraId="6DCE6053" w14:textId="77777777" w:rsidR="00E17B73" w:rsidRPr="005B5602" w:rsidRDefault="00E17B73" w:rsidP="00E17B73">
            <w:pPr>
              <w:jc w:val="left"/>
              <w:rPr>
                <w:sz w:val="20"/>
                <w:szCs w:val="20"/>
              </w:rPr>
            </w:pPr>
            <w:r w:rsidRPr="005B5602">
              <w:rPr>
                <w:sz w:val="20"/>
                <w:szCs w:val="20"/>
              </w:rPr>
              <w:t>The risk is indeed high, but so is also the interest and motivation of the Government to remove barriers to private sector participation and investment in climate mitigation, as demonstrated by its decision to introduce ETS. To mitigate this risk the project will:</w:t>
            </w:r>
          </w:p>
          <w:p w14:paraId="21523A19" w14:textId="77777777" w:rsidR="00E17B73" w:rsidRPr="005B5602" w:rsidRDefault="00E17B73" w:rsidP="007D6892">
            <w:pPr>
              <w:numPr>
                <w:ilvl w:val="0"/>
                <w:numId w:val="28"/>
              </w:numPr>
              <w:spacing w:after="0"/>
              <w:ind w:left="252" w:hanging="252"/>
              <w:jc w:val="left"/>
              <w:rPr>
                <w:sz w:val="20"/>
                <w:szCs w:val="20"/>
              </w:rPr>
            </w:pPr>
            <w:r w:rsidRPr="005B5602">
              <w:rPr>
                <w:sz w:val="20"/>
                <w:szCs w:val="20"/>
              </w:rPr>
              <w:t>Engage with domestic entities covered under ETS to understand their potential demand for emission reduction and the cost-effectiveness threshold, as well as facilitate design of mechanisms to link NAMAs with ETS (Component 5)</w:t>
            </w:r>
          </w:p>
          <w:p w14:paraId="6A8B91BE" w14:textId="77777777" w:rsidR="00E17B73" w:rsidRPr="005B5602" w:rsidRDefault="00E17B73" w:rsidP="007D6892">
            <w:pPr>
              <w:numPr>
                <w:ilvl w:val="0"/>
                <w:numId w:val="28"/>
              </w:numPr>
              <w:spacing w:after="0"/>
              <w:ind w:left="252" w:hanging="252"/>
              <w:jc w:val="left"/>
              <w:rPr>
                <w:sz w:val="20"/>
                <w:szCs w:val="20"/>
              </w:rPr>
            </w:pPr>
            <w:r w:rsidRPr="005B5602">
              <w:rPr>
                <w:sz w:val="20"/>
                <w:szCs w:val="20"/>
              </w:rPr>
              <w:t>Conduct rigorous economic assessment of urban mitigation measures to identify and demonstrate their profitability and cost-effectiveness, as well as engage private sector representatives early on in consultation about potential mitigation actions in cities and solicit their views and perspectives regarding their feasibility (Component 1)</w:t>
            </w:r>
          </w:p>
          <w:p w14:paraId="07631CDD" w14:textId="77777777" w:rsidR="00E17B73" w:rsidRPr="005B5602" w:rsidRDefault="00E17B73" w:rsidP="007D6892">
            <w:pPr>
              <w:numPr>
                <w:ilvl w:val="0"/>
                <w:numId w:val="28"/>
              </w:numPr>
              <w:spacing w:after="0"/>
              <w:ind w:left="252" w:hanging="252"/>
              <w:jc w:val="left"/>
              <w:rPr>
                <w:sz w:val="20"/>
                <w:szCs w:val="20"/>
              </w:rPr>
            </w:pPr>
            <w:r w:rsidRPr="005B5602">
              <w:rPr>
                <w:sz w:val="20"/>
                <w:szCs w:val="20"/>
              </w:rPr>
              <w:t>Support establishment and capacity building of PPPs (Component 2)</w:t>
            </w:r>
          </w:p>
        </w:tc>
      </w:tr>
      <w:tr w:rsidR="00C603FC" w:rsidRPr="00C35DA9" w14:paraId="5584AE83" w14:textId="77777777">
        <w:tc>
          <w:tcPr>
            <w:tcW w:w="0" w:type="auto"/>
            <w:tcBorders>
              <w:bottom w:val="single" w:sz="4" w:space="0" w:color="auto"/>
            </w:tcBorders>
          </w:tcPr>
          <w:p w14:paraId="24CAAE15" w14:textId="77777777" w:rsidR="00C603FC" w:rsidRPr="005B5602" w:rsidRDefault="00C603FC" w:rsidP="00C603FC">
            <w:pPr>
              <w:jc w:val="left"/>
              <w:rPr>
                <w:sz w:val="20"/>
                <w:szCs w:val="20"/>
              </w:rPr>
            </w:pPr>
            <w:r w:rsidRPr="005B5602">
              <w:rPr>
                <w:sz w:val="20"/>
                <w:szCs w:val="20"/>
              </w:rPr>
              <w:t>Low capacity of city authorities to implement required regulatory changes</w:t>
            </w:r>
          </w:p>
          <w:p w14:paraId="0E852164" w14:textId="77777777" w:rsidR="00C603FC" w:rsidRPr="005B5602" w:rsidRDefault="00C603FC" w:rsidP="00E17B73">
            <w:pPr>
              <w:jc w:val="left"/>
              <w:rPr>
                <w:sz w:val="20"/>
                <w:szCs w:val="20"/>
              </w:rPr>
            </w:pPr>
          </w:p>
        </w:tc>
        <w:tc>
          <w:tcPr>
            <w:tcW w:w="0" w:type="auto"/>
            <w:tcBorders>
              <w:bottom w:val="single" w:sz="4" w:space="0" w:color="auto"/>
            </w:tcBorders>
          </w:tcPr>
          <w:p w14:paraId="245EBF50" w14:textId="77777777" w:rsidR="00C603FC" w:rsidRPr="005B5602" w:rsidRDefault="00C603FC" w:rsidP="00C603FC">
            <w:pPr>
              <w:jc w:val="left"/>
              <w:rPr>
                <w:sz w:val="20"/>
                <w:szCs w:val="20"/>
              </w:rPr>
            </w:pPr>
            <w:r w:rsidRPr="005B5602">
              <w:rPr>
                <w:sz w:val="20"/>
                <w:szCs w:val="20"/>
              </w:rPr>
              <w:t>Moderate</w:t>
            </w:r>
          </w:p>
          <w:p w14:paraId="61DE2C90" w14:textId="77777777" w:rsidR="00C603FC" w:rsidRPr="005B5602" w:rsidRDefault="00C603FC" w:rsidP="00E17B73">
            <w:pPr>
              <w:jc w:val="left"/>
              <w:rPr>
                <w:sz w:val="20"/>
                <w:szCs w:val="20"/>
              </w:rPr>
            </w:pPr>
          </w:p>
        </w:tc>
        <w:tc>
          <w:tcPr>
            <w:tcW w:w="0" w:type="auto"/>
            <w:tcBorders>
              <w:bottom w:val="single" w:sz="4" w:space="0" w:color="auto"/>
            </w:tcBorders>
          </w:tcPr>
          <w:p w14:paraId="23607B9D" w14:textId="77777777" w:rsidR="00C603FC" w:rsidRPr="005B5602" w:rsidRDefault="00C603FC" w:rsidP="00C603FC">
            <w:pPr>
              <w:jc w:val="left"/>
              <w:rPr>
                <w:sz w:val="20"/>
                <w:szCs w:val="20"/>
              </w:rPr>
            </w:pPr>
            <w:r w:rsidRPr="005B5602">
              <w:rPr>
                <w:sz w:val="20"/>
                <w:szCs w:val="20"/>
              </w:rPr>
              <w:t>This is a moderate risk, which can be effectively mitigated by adopting the following approach to capacity building activities:</w:t>
            </w:r>
          </w:p>
          <w:p w14:paraId="4772EDB5" w14:textId="77777777" w:rsidR="00C603FC" w:rsidRPr="005B5602" w:rsidRDefault="00C603FC" w:rsidP="00C35DA9">
            <w:pPr>
              <w:jc w:val="left"/>
              <w:rPr>
                <w:sz w:val="20"/>
                <w:szCs w:val="20"/>
              </w:rPr>
            </w:pPr>
            <w:r w:rsidRPr="005B5602">
              <w:rPr>
                <w:sz w:val="20"/>
                <w:szCs w:val="20"/>
              </w:rPr>
              <w:t>Instead of organizing stand-alone training and workshop, the project will support learning-by-doing activities for the municipal staff, such as preparation of GHG inventories, identification and formulation of urban mitigation actions, designing pilot public-private partnership schemes;</w:t>
            </w:r>
          </w:p>
          <w:p w14:paraId="1F161106" w14:textId="77777777" w:rsidR="00C603FC" w:rsidRPr="005B5602" w:rsidRDefault="00C603FC" w:rsidP="00C35DA9">
            <w:pPr>
              <w:jc w:val="left"/>
              <w:rPr>
                <w:sz w:val="20"/>
                <w:szCs w:val="20"/>
              </w:rPr>
            </w:pPr>
            <w:r w:rsidRPr="005B5602">
              <w:rPr>
                <w:sz w:val="20"/>
                <w:szCs w:val="20"/>
              </w:rPr>
              <w:t>Supporting cross-cities collaboration, exchanges and networking so that municipal staff can learn from each other and be inspired by successful examples in Kazakhstan.</w:t>
            </w:r>
          </w:p>
          <w:p w14:paraId="2C97C59C" w14:textId="77777777" w:rsidR="00C603FC" w:rsidRPr="005B5602" w:rsidRDefault="00C603FC" w:rsidP="00E17B73">
            <w:pPr>
              <w:jc w:val="left"/>
              <w:rPr>
                <w:sz w:val="20"/>
                <w:szCs w:val="20"/>
              </w:rPr>
            </w:pPr>
          </w:p>
        </w:tc>
      </w:tr>
      <w:tr w:rsidR="00BE3228" w:rsidRPr="005B5602" w14:paraId="79D5DC43" w14:textId="77777777">
        <w:trPr>
          <w:trHeight w:val="665"/>
        </w:trPr>
        <w:tc>
          <w:tcPr>
            <w:tcW w:w="0" w:type="auto"/>
            <w:tcBorders>
              <w:top w:val="single" w:sz="4" w:space="0" w:color="auto"/>
              <w:left w:val="single" w:sz="4" w:space="0" w:color="auto"/>
              <w:bottom w:val="single" w:sz="4" w:space="0" w:color="auto"/>
              <w:right w:val="single" w:sz="4" w:space="0" w:color="auto"/>
            </w:tcBorders>
          </w:tcPr>
          <w:p w14:paraId="5E27C44F" w14:textId="77777777" w:rsidR="00BE3228" w:rsidRDefault="00BE3228" w:rsidP="00BE3228">
            <w:pPr>
              <w:jc w:val="left"/>
              <w:rPr>
                <w:sz w:val="20"/>
                <w:szCs w:val="20"/>
              </w:rPr>
            </w:pPr>
            <w:r>
              <w:rPr>
                <w:sz w:val="20"/>
                <w:szCs w:val="20"/>
              </w:rPr>
              <w:t>Lack of coordination between administration at regional and city levels</w:t>
            </w:r>
          </w:p>
          <w:p w14:paraId="36A2FA0B" w14:textId="77777777" w:rsidR="00BE3228" w:rsidRDefault="00BE3228" w:rsidP="00BE3228">
            <w:pPr>
              <w:jc w:val="left"/>
              <w:rPr>
                <w:sz w:val="20"/>
                <w:szCs w:val="20"/>
              </w:rPr>
            </w:pPr>
          </w:p>
          <w:p w14:paraId="255F4EB1" w14:textId="77777777" w:rsidR="00BE3228" w:rsidRPr="005B5602" w:rsidRDefault="00BE3228" w:rsidP="00BE3228">
            <w:pPr>
              <w:jc w:val="left"/>
              <w:rPr>
                <w:sz w:val="20"/>
                <w:szCs w:val="20"/>
              </w:rPr>
            </w:pPr>
            <w:r>
              <w:rPr>
                <w:sz w:val="20"/>
                <w:szCs w:val="20"/>
              </w:rPr>
              <w:t>Highly centralized decision-making</w:t>
            </w:r>
          </w:p>
        </w:tc>
        <w:tc>
          <w:tcPr>
            <w:tcW w:w="0" w:type="auto"/>
            <w:tcBorders>
              <w:top w:val="single" w:sz="4" w:space="0" w:color="auto"/>
              <w:left w:val="single" w:sz="4" w:space="0" w:color="auto"/>
              <w:bottom w:val="single" w:sz="4" w:space="0" w:color="auto"/>
              <w:right w:val="single" w:sz="4" w:space="0" w:color="auto"/>
            </w:tcBorders>
          </w:tcPr>
          <w:p w14:paraId="545A95D8" w14:textId="77777777" w:rsidR="00BE3228" w:rsidRPr="005B5602" w:rsidRDefault="00BE3228" w:rsidP="00E17B73">
            <w:pPr>
              <w:jc w:val="left"/>
              <w:rPr>
                <w:sz w:val="20"/>
                <w:szCs w:val="20"/>
              </w:rPr>
            </w:pPr>
            <w:r>
              <w:rPr>
                <w:sz w:val="20"/>
                <w:szCs w:val="20"/>
              </w:rPr>
              <w:t>Moderate</w:t>
            </w:r>
          </w:p>
        </w:tc>
        <w:tc>
          <w:tcPr>
            <w:tcW w:w="0" w:type="auto"/>
            <w:tcBorders>
              <w:top w:val="single" w:sz="4" w:space="0" w:color="auto"/>
              <w:left w:val="single" w:sz="4" w:space="0" w:color="auto"/>
              <w:bottom w:val="single" w:sz="4" w:space="0" w:color="auto"/>
              <w:right w:val="single" w:sz="4" w:space="0" w:color="auto"/>
            </w:tcBorders>
          </w:tcPr>
          <w:p w14:paraId="32336C7E" w14:textId="19877AFB" w:rsidR="00BE3228" w:rsidRPr="005B5602" w:rsidRDefault="00BE3228" w:rsidP="00E17B73">
            <w:pPr>
              <w:jc w:val="left"/>
              <w:rPr>
                <w:sz w:val="20"/>
                <w:szCs w:val="20"/>
              </w:rPr>
            </w:pPr>
            <w:r>
              <w:rPr>
                <w:sz w:val="20"/>
                <w:szCs w:val="20"/>
              </w:rPr>
              <w:t>The project will work in an open and transparent manner and through consu</w:t>
            </w:r>
            <w:r w:rsidR="00E44CF3">
              <w:rPr>
                <w:sz w:val="20"/>
                <w:szCs w:val="20"/>
              </w:rPr>
              <w:t>ltations envisioned as part of C</w:t>
            </w:r>
            <w:r>
              <w:rPr>
                <w:sz w:val="20"/>
                <w:szCs w:val="20"/>
              </w:rPr>
              <w:t>omponents 1, 2 and 3 will strive to ensure alignment between strategies and action plans such that decisions made at all levels have support</w:t>
            </w:r>
          </w:p>
        </w:tc>
      </w:tr>
      <w:tr w:rsidR="00BE3228" w:rsidRPr="00C35DA9" w14:paraId="23B6F915" w14:textId="77777777">
        <w:trPr>
          <w:trHeight w:val="665"/>
        </w:trPr>
        <w:tc>
          <w:tcPr>
            <w:tcW w:w="0" w:type="auto"/>
            <w:tcBorders>
              <w:top w:val="single" w:sz="4" w:space="0" w:color="auto"/>
              <w:left w:val="single" w:sz="4" w:space="0" w:color="auto"/>
              <w:bottom w:val="single" w:sz="4" w:space="0" w:color="auto"/>
              <w:right w:val="single" w:sz="4" w:space="0" w:color="auto"/>
            </w:tcBorders>
          </w:tcPr>
          <w:p w14:paraId="1C6FE2EA" w14:textId="77777777" w:rsidR="00BE3228" w:rsidRPr="005B5602" w:rsidRDefault="00BE3228" w:rsidP="00E17B73">
            <w:pPr>
              <w:jc w:val="left"/>
              <w:rPr>
                <w:sz w:val="20"/>
                <w:szCs w:val="20"/>
              </w:rPr>
            </w:pPr>
            <w:r>
              <w:rPr>
                <w:sz w:val="20"/>
                <w:szCs w:val="20"/>
              </w:rPr>
              <w:t>F</w:t>
            </w:r>
            <w:r w:rsidRPr="00BE3228">
              <w:rPr>
                <w:sz w:val="20"/>
                <w:szCs w:val="20"/>
              </w:rPr>
              <w:t>requent changes in akimats, institutional memory is lacking</w:t>
            </w:r>
          </w:p>
        </w:tc>
        <w:tc>
          <w:tcPr>
            <w:tcW w:w="0" w:type="auto"/>
            <w:tcBorders>
              <w:top w:val="single" w:sz="4" w:space="0" w:color="auto"/>
              <w:left w:val="single" w:sz="4" w:space="0" w:color="auto"/>
              <w:bottom w:val="single" w:sz="4" w:space="0" w:color="auto"/>
              <w:right w:val="single" w:sz="4" w:space="0" w:color="auto"/>
            </w:tcBorders>
          </w:tcPr>
          <w:p w14:paraId="0B60E621" w14:textId="77777777" w:rsidR="00BE3228" w:rsidRPr="005B5602" w:rsidRDefault="00BE3228" w:rsidP="00E17B73">
            <w:pPr>
              <w:jc w:val="left"/>
              <w:rPr>
                <w:sz w:val="20"/>
                <w:szCs w:val="20"/>
              </w:rPr>
            </w:pPr>
            <w:r>
              <w:rPr>
                <w:sz w:val="20"/>
                <w:szCs w:val="20"/>
              </w:rPr>
              <w:t>Moderates</w:t>
            </w:r>
          </w:p>
        </w:tc>
        <w:tc>
          <w:tcPr>
            <w:tcW w:w="0" w:type="auto"/>
            <w:tcBorders>
              <w:top w:val="single" w:sz="4" w:space="0" w:color="auto"/>
              <w:left w:val="single" w:sz="4" w:space="0" w:color="auto"/>
              <w:bottom w:val="single" w:sz="4" w:space="0" w:color="auto"/>
              <w:right w:val="single" w:sz="4" w:space="0" w:color="auto"/>
            </w:tcBorders>
          </w:tcPr>
          <w:p w14:paraId="1F693F88" w14:textId="710BB50D" w:rsidR="00BE3228" w:rsidRPr="005B5602" w:rsidRDefault="00BE3228" w:rsidP="00BE3228">
            <w:pPr>
              <w:jc w:val="left"/>
              <w:rPr>
                <w:sz w:val="20"/>
                <w:szCs w:val="20"/>
              </w:rPr>
            </w:pPr>
            <w:r>
              <w:rPr>
                <w:sz w:val="20"/>
                <w:szCs w:val="20"/>
              </w:rPr>
              <w:t xml:space="preserve">To address changes during the project it will be necessary to </w:t>
            </w:r>
            <w:r w:rsidRPr="00BE3228">
              <w:rPr>
                <w:sz w:val="20"/>
                <w:szCs w:val="20"/>
              </w:rPr>
              <w:t>train new staff and renegotiate/explain again what w</w:t>
            </w:r>
            <w:r>
              <w:rPr>
                <w:sz w:val="20"/>
                <w:szCs w:val="20"/>
              </w:rPr>
              <w:t>as already agreed to, which is time and resource intensive. In the longer term, the concrete deliverab</w:t>
            </w:r>
            <w:r w:rsidR="00E44CF3">
              <w:rPr>
                <w:sz w:val="20"/>
                <w:szCs w:val="20"/>
              </w:rPr>
              <w:t>les will provide examples, and C</w:t>
            </w:r>
            <w:r>
              <w:rPr>
                <w:sz w:val="20"/>
                <w:szCs w:val="20"/>
              </w:rPr>
              <w:t>omponent 5b will focus on making enduring materials available to facilitate learning after the project.</w:t>
            </w:r>
          </w:p>
        </w:tc>
      </w:tr>
      <w:tr w:rsidR="00BE3228" w:rsidRPr="00C35DA9" w14:paraId="63CEDFEF" w14:textId="77777777">
        <w:trPr>
          <w:trHeight w:val="665"/>
        </w:trPr>
        <w:tc>
          <w:tcPr>
            <w:tcW w:w="0" w:type="auto"/>
            <w:tcBorders>
              <w:top w:val="single" w:sz="4" w:space="0" w:color="auto"/>
              <w:left w:val="single" w:sz="4" w:space="0" w:color="auto"/>
              <w:bottom w:val="single" w:sz="4" w:space="0" w:color="auto"/>
              <w:right w:val="single" w:sz="4" w:space="0" w:color="auto"/>
            </w:tcBorders>
          </w:tcPr>
          <w:p w14:paraId="3D7E68B4" w14:textId="77777777" w:rsidR="00BE3228" w:rsidRDefault="00BE3228" w:rsidP="00E17B73">
            <w:pPr>
              <w:jc w:val="left"/>
              <w:rPr>
                <w:sz w:val="20"/>
                <w:szCs w:val="20"/>
              </w:rPr>
            </w:pPr>
            <w:r>
              <w:rPr>
                <w:sz w:val="20"/>
                <w:szCs w:val="20"/>
              </w:rPr>
              <w:t>Lack of building / service maintenance standards</w:t>
            </w:r>
          </w:p>
          <w:p w14:paraId="3583A592" w14:textId="77777777" w:rsidR="00BE3228" w:rsidRDefault="00BE3228" w:rsidP="00E17B73">
            <w:pPr>
              <w:jc w:val="left"/>
              <w:rPr>
                <w:sz w:val="20"/>
                <w:szCs w:val="20"/>
              </w:rPr>
            </w:pPr>
          </w:p>
          <w:p w14:paraId="1673A643" w14:textId="77777777" w:rsidR="00BE3228" w:rsidRPr="005B5602" w:rsidRDefault="00BE3228" w:rsidP="00E17B73">
            <w:pPr>
              <w:jc w:val="left"/>
              <w:rPr>
                <w:sz w:val="20"/>
                <w:szCs w:val="20"/>
              </w:rPr>
            </w:pPr>
            <w:r>
              <w:rPr>
                <w:sz w:val="20"/>
                <w:szCs w:val="20"/>
              </w:rPr>
              <w:t xml:space="preserve">Legislation not incentivizing </w:t>
            </w:r>
            <w:r w:rsidR="007A44AD">
              <w:rPr>
                <w:sz w:val="20"/>
                <w:szCs w:val="20"/>
              </w:rPr>
              <w:t>improvements (for example in waste or building management)</w:t>
            </w:r>
          </w:p>
        </w:tc>
        <w:tc>
          <w:tcPr>
            <w:tcW w:w="0" w:type="auto"/>
            <w:tcBorders>
              <w:top w:val="single" w:sz="4" w:space="0" w:color="auto"/>
              <w:left w:val="single" w:sz="4" w:space="0" w:color="auto"/>
              <w:bottom w:val="single" w:sz="4" w:space="0" w:color="auto"/>
              <w:right w:val="single" w:sz="4" w:space="0" w:color="auto"/>
            </w:tcBorders>
          </w:tcPr>
          <w:p w14:paraId="6DBE121B" w14:textId="77777777" w:rsidR="00BE3228" w:rsidRPr="005B5602" w:rsidRDefault="007A44AD" w:rsidP="00E17B73">
            <w:pPr>
              <w:jc w:val="left"/>
              <w:rPr>
                <w:sz w:val="20"/>
                <w:szCs w:val="20"/>
              </w:rPr>
            </w:pPr>
            <w:r>
              <w:rPr>
                <w:sz w:val="20"/>
                <w:szCs w:val="20"/>
              </w:rPr>
              <w:t>Moderate</w:t>
            </w:r>
          </w:p>
        </w:tc>
        <w:tc>
          <w:tcPr>
            <w:tcW w:w="0" w:type="auto"/>
            <w:tcBorders>
              <w:top w:val="single" w:sz="4" w:space="0" w:color="auto"/>
              <w:left w:val="single" w:sz="4" w:space="0" w:color="auto"/>
              <w:bottom w:val="single" w:sz="4" w:space="0" w:color="auto"/>
              <w:right w:val="single" w:sz="4" w:space="0" w:color="auto"/>
            </w:tcBorders>
          </w:tcPr>
          <w:p w14:paraId="2FC997BC" w14:textId="77777777" w:rsidR="00BE3228" w:rsidRPr="005B5602" w:rsidRDefault="007A44AD" w:rsidP="007A44AD">
            <w:pPr>
              <w:jc w:val="left"/>
              <w:rPr>
                <w:sz w:val="20"/>
                <w:szCs w:val="20"/>
              </w:rPr>
            </w:pPr>
            <w:r>
              <w:rPr>
                <w:sz w:val="20"/>
                <w:szCs w:val="20"/>
              </w:rPr>
              <w:t>The project has been designed to be implementable under current legislation, and based on strong support from the national government. In the medium term these barriers will be addressed through other UNDP initiatives, along with efforts of others.</w:t>
            </w:r>
          </w:p>
        </w:tc>
      </w:tr>
      <w:tr w:rsidR="00E17B73" w:rsidRPr="00C35DA9" w14:paraId="6CA1BB5E" w14:textId="77777777">
        <w:trPr>
          <w:trHeight w:val="665"/>
        </w:trPr>
        <w:tc>
          <w:tcPr>
            <w:tcW w:w="0" w:type="auto"/>
            <w:tcBorders>
              <w:top w:val="single" w:sz="4" w:space="0" w:color="auto"/>
              <w:left w:val="single" w:sz="4" w:space="0" w:color="auto"/>
              <w:bottom w:val="single" w:sz="4" w:space="0" w:color="auto"/>
              <w:right w:val="single" w:sz="4" w:space="0" w:color="auto"/>
            </w:tcBorders>
          </w:tcPr>
          <w:p w14:paraId="1271CF76" w14:textId="77777777" w:rsidR="00E17B73" w:rsidRPr="005B5602" w:rsidRDefault="00E17B73" w:rsidP="00E17B73">
            <w:pPr>
              <w:jc w:val="left"/>
              <w:rPr>
                <w:sz w:val="20"/>
                <w:szCs w:val="20"/>
              </w:rPr>
            </w:pPr>
            <w:r w:rsidRPr="005B5602">
              <w:rPr>
                <w:sz w:val="20"/>
                <w:szCs w:val="20"/>
              </w:rPr>
              <w:t>Climate Change impacts</w:t>
            </w:r>
          </w:p>
        </w:tc>
        <w:tc>
          <w:tcPr>
            <w:tcW w:w="0" w:type="auto"/>
            <w:tcBorders>
              <w:top w:val="single" w:sz="4" w:space="0" w:color="auto"/>
              <w:left w:val="single" w:sz="4" w:space="0" w:color="auto"/>
              <w:bottom w:val="single" w:sz="4" w:space="0" w:color="auto"/>
              <w:right w:val="single" w:sz="4" w:space="0" w:color="auto"/>
            </w:tcBorders>
          </w:tcPr>
          <w:p w14:paraId="33308A1B" w14:textId="77777777" w:rsidR="00E17B73" w:rsidRPr="005B5602" w:rsidRDefault="00E17B73" w:rsidP="00E17B73">
            <w:pPr>
              <w:jc w:val="left"/>
              <w:rPr>
                <w:sz w:val="20"/>
                <w:szCs w:val="20"/>
              </w:rPr>
            </w:pPr>
            <w:r w:rsidRPr="005B5602">
              <w:rPr>
                <w:sz w:val="20"/>
                <w:szCs w:val="20"/>
              </w:rPr>
              <w:t>Moderate</w:t>
            </w:r>
          </w:p>
        </w:tc>
        <w:tc>
          <w:tcPr>
            <w:tcW w:w="0" w:type="auto"/>
            <w:tcBorders>
              <w:top w:val="single" w:sz="4" w:space="0" w:color="auto"/>
              <w:left w:val="single" w:sz="4" w:space="0" w:color="auto"/>
              <w:bottom w:val="single" w:sz="4" w:space="0" w:color="auto"/>
              <w:right w:val="single" w:sz="4" w:space="0" w:color="auto"/>
            </w:tcBorders>
          </w:tcPr>
          <w:p w14:paraId="682EF60A" w14:textId="77777777" w:rsidR="00E17B73" w:rsidRPr="005B5602" w:rsidRDefault="00E17B73" w:rsidP="00E17B73">
            <w:pPr>
              <w:jc w:val="left"/>
              <w:rPr>
                <w:sz w:val="20"/>
                <w:szCs w:val="20"/>
              </w:rPr>
            </w:pPr>
            <w:r w:rsidRPr="005B5602">
              <w:rPr>
                <w:sz w:val="20"/>
                <w:szCs w:val="20"/>
              </w:rPr>
              <w:t xml:space="preserve">Climate change is predicted to have adverse impacts on Kazakhstan with most severe consequences for the cities coming from intensified water shortages and raising summer temperature. These risks pose additional challenges to low-carbon urban development because of the increased energy needs for water supply/cooling in cities. The project will work closely with adaptation teams and experts in the Ministry of Environmental Protection and KAZNIEK to help city authorities identify such risks and integrate appropriate response measures in the proposed mitigation actions. </w:t>
            </w:r>
          </w:p>
        </w:tc>
      </w:tr>
      <w:tr w:rsidR="00E17B73" w:rsidRPr="00C35DA9" w14:paraId="1A055A74" w14:textId="77777777">
        <w:trPr>
          <w:trHeight w:val="665"/>
        </w:trPr>
        <w:tc>
          <w:tcPr>
            <w:tcW w:w="0" w:type="auto"/>
            <w:tcBorders>
              <w:top w:val="single" w:sz="4" w:space="0" w:color="auto"/>
              <w:left w:val="single" w:sz="4" w:space="0" w:color="auto"/>
              <w:bottom w:val="single" w:sz="4" w:space="0" w:color="auto"/>
              <w:right w:val="single" w:sz="4" w:space="0" w:color="auto"/>
            </w:tcBorders>
          </w:tcPr>
          <w:p w14:paraId="139DE7E8" w14:textId="77777777" w:rsidR="00E17B73" w:rsidRPr="005B5602" w:rsidRDefault="00E17B73" w:rsidP="00E17B73">
            <w:pPr>
              <w:jc w:val="left"/>
              <w:rPr>
                <w:sz w:val="20"/>
                <w:szCs w:val="20"/>
              </w:rPr>
            </w:pPr>
            <w:r w:rsidRPr="005B5602">
              <w:rPr>
                <w:sz w:val="20"/>
                <w:szCs w:val="20"/>
              </w:rPr>
              <w:t xml:space="preserve">Combination of two innovative approaches and instruments, such as PPPs and carbon finance, in one project makes project design more complex and its implementation inherently risky </w:t>
            </w:r>
          </w:p>
        </w:tc>
        <w:tc>
          <w:tcPr>
            <w:tcW w:w="0" w:type="auto"/>
            <w:tcBorders>
              <w:top w:val="single" w:sz="4" w:space="0" w:color="auto"/>
              <w:left w:val="single" w:sz="4" w:space="0" w:color="auto"/>
              <w:bottom w:val="single" w:sz="4" w:space="0" w:color="auto"/>
              <w:right w:val="single" w:sz="4" w:space="0" w:color="auto"/>
            </w:tcBorders>
          </w:tcPr>
          <w:p w14:paraId="2BD67258" w14:textId="77777777" w:rsidR="00E17B73" w:rsidRPr="005B5602" w:rsidRDefault="00E17B73" w:rsidP="00E17B73">
            <w:pPr>
              <w:jc w:val="left"/>
              <w:rPr>
                <w:sz w:val="20"/>
                <w:szCs w:val="20"/>
              </w:rPr>
            </w:pPr>
            <w:r w:rsidRPr="005B5602">
              <w:rPr>
                <w:sz w:val="20"/>
                <w:szCs w:val="20"/>
              </w:rPr>
              <w:t>Moderate</w:t>
            </w:r>
          </w:p>
        </w:tc>
        <w:tc>
          <w:tcPr>
            <w:tcW w:w="0" w:type="auto"/>
            <w:tcBorders>
              <w:top w:val="single" w:sz="4" w:space="0" w:color="auto"/>
              <w:left w:val="single" w:sz="4" w:space="0" w:color="auto"/>
              <w:bottom w:val="single" w:sz="4" w:space="0" w:color="auto"/>
              <w:right w:val="single" w:sz="4" w:space="0" w:color="auto"/>
            </w:tcBorders>
          </w:tcPr>
          <w:p w14:paraId="5CED633F" w14:textId="77777777" w:rsidR="00E17B73" w:rsidRPr="005B5602" w:rsidRDefault="00E17B73" w:rsidP="00E17B73">
            <w:pPr>
              <w:jc w:val="left"/>
              <w:rPr>
                <w:sz w:val="20"/>
                <w:szCs w:val="20"/>
              </w:rPr>
            </w:pPr>
            <w:r w:rsidRPr="005B5602">
              <w:rPr>
                <w:sz w:val="20"/>
                <w:szCs w:val="20"/>
              </w:rPr>
              <w:t xml:space="preserve">Realizing complexity of the issues the project will deal with, it puts only marginal importance on carbon finance and its role in financing urban NAMAs, i.e. only one out of fifteen envisaged NAMA will aim at piloting carbon crediting approach. Only a small portion of GEF resources under Component 5 will be used to facilitate this transaction, thus limiting GEF’s exposure and risks. On the other side, if successful, credited urban NAMA, can become a viable instrument for financing mitigation activities in urban sector and has therefore large potential for replication in Kazakhstan and other urbanized developing and emerging economies. Finally, both national partners, MENR and ACHCHA have expressed strong support and demand for such scheme: their political commitment is also an important factor in mitigating implementation risks. </w:t>
            </w:r>
          </w:p>
        </w:tc>
      </w:tr>
    </w:tbl>
    <w:p w14:paraId="5A6BE390" w14:textId="77777777" w:rsidR="00E1433A" w:rsidRDefault="00E1433A" w:rsidP="00E1433A">
      <w:pPr>
        <w:spacing w:after="0"/>
        <w:jc w:val="left"/>
        <w:rPr>
          <w:rFonts w:cs="Arial"/>
          <w:b/>
          <w:iCs/>
          <w:sz w:val="18"/>
          <w:szCs w:val="18"/>
          <w:lang w:val="en-US"/>
        </w:rPr>
      </w:pPr>
    </w:p>
    <w:p w14:paraId="7805F9D4" w14:textId="77777777" w:rsidR="00E95FC3" w:rsidRPr="005B5602" w:rsidRDefault="00E1433A" w:rsidP="009B02E0">
      <w:pPr>
        <w:pStyle w:val="Heading2"/>
        <w:keepLines/>
        <w:spacing w:before="200" w:after="0" w:line="276" w:lineRule="auto"/>
        <w:jc w:val="left"/>
        <w:rPr>
          <w:rFonts w:ascii="Arial" w:hAnsi="Arial"/>
        </w:rPr>
      </w:pPr>
      <w:bookmarkStart w:id="84" w:name="_Toc393449010"/>
      <w:r w:rsidRPr="005B5602">
        <w:rPr>
          <w:rFonts w:ascii="Arial" w:hAnsi="Arial"/>
        </w:rPr>
        <w:t>Agreements</w:t>
      </w:r>
      <w:bookmarkEnd w:id="84"/>
    </w:p>
    <w:p w14:paraId="184E3726" w14:textId="77777777" w:rsidR="00E1433A" w:rsidRPr="005B5602" w:rsidRDefault="00E1433A" w:rsidP="00E1433A">
      <w:pPr>
        <w:spacing w:after="0"/>
        <w:jc w:val="left"/>
        <w:rPr>
          <w:rFonts w:cs="Arial"/>
          <w:i/>
          <w:iCs/>
          <w:sz w:val="18"/>
          <w:szCs w:val="18"/>
          <w:lang w:val="en-US"/>
        </w:rPr>
      </w:pPr>
      <w:r w:rsidRPr="005B5602">
        <w:rPr>
          <w:rFonts w:cs="Arial"/>
          <w:i/>
          <w:iCs/>
          <w:sz w:val="18"/>
          <w:szCs w:val="18"/>
          <w:lang w:val="en-US"/>
        </w:rPr>
        <w:t>Any additional agreements, such as cost sharing agreements, project cooperation agreements signed with NGOs</w:t>
      </w:r>
      <w:r w:rsidRPr="005B5602">
        <w:rPr>
          <w:rStyle w:val="FootnoteReference"/>
          <w:rFonts w:cs="Arial"/>
          <w:i/>
          <w:iCs/>
          <w:szCs w:val="18"/>
          <w:lang w:val="en-US"/>
        </w:rPr>
        <w:footnoteReference w:id="32"/>
      </w:r>
      <w:r w:rsidRPr="005B5602">
        <w:rPr>
          <w:rFonts w:cs="Arial"/>
          <w:i/>
          <w:iCs/>
          <w:sz w:val="18"/>
          <w:szCs w:val="18"/>
          <w:lang w:val="en-US"/>
        </w:rPr>
        <w:t xml:space="preserve"> (where the NGO is designated as the “executing entity”, letters of financial commitments, GEF OFP letter, GEF PIFs and other templates for all project types) should be attached. </w:t>
      </w:r>
    </w:p>
    <w:p w14:paraId="0BA66D79" w14:textId="77777777" w:rsidR="00E1433A" w:rsidRPr="005B5602" w:rsidRDefault="00E1433A" w:rsidP="00E1433A">
      <w:pPr>
        <w:spacing w:after="0"/>
        <w:jc w:val="left"/>
        <w:rPr>
          <w:rFonts w:cs="Arial"/>
          <w:b/>
          <w:iCs/>
          <w:sz w:val="18"/>
          <w:szCs w:val="18"/>
          <w:lang w:val="en-US"/>
        </w:rPr>
      </w:pPr>
    </w:p>
    <w:p w14:paraId="0AC26512" w14:textId="77777777" w:rsidR="00E95FC3" w:rsidRPr="005B5602" w:rsidRDefault="00E1433A" w:rsidP="009B02E0">
      <w:pPr>
        <w:pStyle w:val="Heading2"/>
        <w:keepLines/>
        <w:spacing w:before="200" w:after="0" w:line="276" w:lineRule="auto"/>
        <w:jc w:val="left"/>
        <w:rPr>
          <w:rFonts w:ascii="Arial" w:hAnsi="Arial"/>
        </w:rPr>
      </w:pPr>
      <w:bookmarkStart w:id="85" w:name="_Toc393449011"/>
      <w:r w:rsidRPr="005B5602">
        <w:rPr>
          <w:rFonts w:ascii="Arial" w:hAnsi="Arial"/>
        </w:rPr>
        <w:t>Terms of Reference</w:t>
      </w:r>
      <w:bookmarkEnd w:id="85"/>
    </w:p>
    <w:p w14:paraId="7679B893" w14:textId="77777777" w:rsidR="00B44E0D" w:rsidRDefault="00B44E0D" w:rsidP="00E1433A">
      <w:pPr>
        <w:spacing w:after="0"/>
        <w:jc w:val="left"/>
        <w:rPr>
          <w:rFonts w:cs="Arial"/>
          <w:i/>
          <w:iCs/>
          <w:sz w:val="18"/>
          <w:szCs w:val="18"/>
          <w:lang w:val="en-US"/>
        </w:rPr>
      </w:pPr>
    </w:p>
    <w:p w14:paraId="5EAC1A29" w14:textId="7E46A01F" w:rsidR="00E1433A" w:rsidRPr="00943A74" w:rsidRDefault="00B44E0D" w:rsidP="00E1433A">
      <w:pPr>
        <w:spacing w:after="0"/>
        <w:jc w:val="left"/>
        <w:rPr>
          <w:rFonts w:cs="Arial"/>
          <w:b/>
          <w:i/>
          <w:iCs/>
          <w:szCs w:val="22"/>
          <w:lang w:val="en-US"/>
        </w:rPr>
      </w:pPr>
      <w:r w:rsidRPr="00943A74">
        <w:rPr>
          <w:rFonts w:cs="Arial"/>
          <w:b/>
          <w:i/>
          <w:iCs/>
          <w:szCs w:val="22"/>
          <w:lang w:val="en-US"/>
        </w:rPr>
        <w:t>Regular Project Staff</w:t>
      </w:r>
    </w:p>
    <w:p w14:paraId="36AACE39" w14:textId="77777777" w:rsidR="00B44E0D" w:rsidRPr="00943A74" w:rsidRDefault="00B44E0D" w:rsidP="00E1433A">
      <w:pPr>
        <w:spacing w:after="0"/>
        <w:jc w:val="left"/>
        <w:rPr>
          <w:rFonts w:cs="Arial"/>
          <w:b/>
          <w:iCs/>
          <w:szCs w:val="22"/>
          <w:lang w:val="en-US"/>
        </w:rPr>
      </w:pPr>
    </w:p>
    <w:p w14:paraId="177B145D" w14:textId="77777777" w:rsidR="00B44E0D" w:rsidRPr="00943A74" w:rsidRDefault="00B44E0D" w:rsidP="00B44E0D">
      <w:pPr>
        <w:spacing w:after="0"/>
        <w:jc w:val="left"/>
        <w:rPr>
          <w:rFonts w:cs="Arial"/>
          <w:b/>
          <w:iCs/>
          <w:szCs w:val="22"/>
        </w:rPr>
      </w:pPr>
      <w:bookmarkStart w:id="86" w:name="_Toc277786776"/>
      <w:bookmarkStart w:id="87" w:name="_Toc153669103"/>
      <w:bookmarkStart w:id="88" w:name="_Toc226786566"/>
      <w:bookmarkStart w:id="89" w:name="_Toc226801966"/>
      <w:r w:rsidRPr="00943A74">
        <w:rPr>
          <w:rFonts w:cs="Arial"/>
          <w:b/>
          <w:iCs/>
          <w:szCs w:val="22"/>
        </w:rPr>
        <w:t xml:space="preserve">National </w:t>
      </w:r>
      <w:bookmarkEnd w:id="86"/>
      <w:bookmarkEnd w:id="87"/>
      <w:r w:rsidRPr="00943A74">
        <w:rPr>
          <w:rFonts w:cs="Arial"/>
          <w:b/>
          <w:iCs/>
          <w:szCs w:val="22"/>
        </w:rPr>
        <w:t>Project Manager (NPM)</w:t>
      </w:r>
      <w:bookmarkEnd w:id="88"/>
      <w:bookmarkEnd w:id="89"/>
    </w:p>
    <w:p w14:paraId="67C90382" w14:textId="77777777" w:rsidR="00B44E0D" w:rsidRPr="00943A74" w:rsidRDefault="00B44E0D" w:rsidP="00B44E0D">
      <w:pPr>
        <w:spacing w:after="0"/>
        <w:jc w:val="left"/>
        <w:rPr>
          <w:rFonts w:cs="Arial"/>
          <w:b/>
          <w:iCs/>
          <w:szCs w:val="22"/>
          <w:u w:val="single"/>
        </w:rPr>
      </w:pPr>
    </w:p>
    <w:p w14:paraId="25987642" w14:textId="77777777" w:rsidR="00B44E0D" w:rsidRPr="00943A74" w:rsidRDefault="00B44E0D" w:rsidP="00B44E0D">
      <w:pPr>
        <w:spacing w:after="0"/>
        <w:jc w:val="left"/>
        <w:rPr>
          <w:rFonts w:cs="Arial"/>
          <w:iCs/>
          <w:szCs w:val="22"/>
        </w:rPr>
      </w:pPr>
      <w:r w:rsidRPr="00943A74">
        <w:rPr>
          <w:rFonts w:cs="Arial"/>
          <w:iCs/>
          <w:szCs w:val="22"/>
        </w:rPr>
        <w:t>The National Project Manager (NPM) will be a locally recruited national selected based on an open competitive process. The NPM will be tasked with the day-to-day management of project activities, as well as with financial and administrative reporting. The NPM’s prime responsibility is to ensure that the project produces the planned outputs and achieves the planned indicators and indicator targets by undertaking necessary activities specified in the project document to the required standard of quality and within the specified constraints of time and cost. This will require linking the indicators to the work plan to ensure Results-Based Management.</w:t>
      </w:r>
    </w:p>
    <w:p w14:paraId="64FD8842" w14:textId="77777777" w:rsidR="00B44E0D" w:rsidRPr="00943A74" w:rsidRDefault="00B44E0D" w:rsidP="00B44E0D">
      <w:pPr>
        <w:spacing w:after="0"/>
        <w:jc w:val="left"/>
        <w:rPr>
          <w:rFonts w:cs="Arial"/>
          <w:iCs/>
          <w:szCs w:val="22"/>
        </w:rPr>
      </w:pPr>
    </w:p>
    <w:p w14:paraId="6D613459" w14:textId="77777777" w:rsidR="00B44E0D" w:rsidRPr="00943A74" w:rsidRDefault="00B44E0D" w:rsidP="00B44E0D">
      <w:pPr>
        <w:spacing w:after="0"/>
        <w:jc w:val="left"/>
        <w:rPr>
          <w:rFonts w:cs="Arial"/>
          <w:iCs/>
          <w:szCs w:val="22"/>
        </w:rPr>
      </w:pPr>
      <w:r w:rsidRPr="00943A74">
        <w:rPr>
          <w:rFonts w:cs="Arial"/>
          <w:b/>
          <w:bCs/>
          <w:iCs/>
          <w:szCs w:val="22"/>
          <w:u w:val="single"/>
        </w:rPr>
        <w:t>Duties and Responsibilities</w:t>
      </w:r>
      <w:r w:rsidRPr="00943A74">
        <w:rPr>
          <w:rFonts w:cs="Arial"/>
          <w:b/>
          <w:bCs/>
          <w:iCs/>
          <w:szCs w:val="22"/>
        </w:rPr>
        <w:t>:</w:t>
      </w:r>
      <w:r w:rsidRPr="00943A74">
        <w:rPr>
          <w:rFonts w:cs="Arial"/>
          <w:iCs/>
          <w:szCs w:val="22"/>
        </w:rPr>
        <w:t xml:space="preserve">  The incumbent will be responsible for implementation of the project, including mobilization of all project inputs, supervision of project staff, consultants and oversight of sub-contractors.  The PM will be the leader of the Project Team and shall liaise with the government, UNDP, and all stakeholders involved in the project. S/he will be specifically responsible for (a) overall management of the project, (b) work closely with project stakeholders and ensure the project deliveries as per project document and work plan, (c) ensure technical coordination of the project and the work related to legal and institutional aspects, (d) mobilize all project inputs in accordance with UNDP procedures and GEF principles, (e) finalize the ToR for the consultants and subcontractors and coordinate with Procurement Unit for recruitment, procurement and contracting, (f) supervise and coordinate the work of all project staff, consultants and sub-contractors, (g) ensure proper management of funds consistent with UNDP requirements, and budget planning and control, (h) prepare and ensure timely submission of monthly reports, quarterly consolidated financial reports, quarterly consolidated progress reports, annual, mid-term and terminal reports, and other reports as may be required by UNDP; (i) submit the progress reports and key issue report to the Project Board, (j) prepare quarterly and annual work plan, (k) provide regular input to UNDP corporate system ATLAS for financial and programme management on project progress, financial status and various logs, (l) arrange for audit of all project accounts for each fiscal year (m) undertake field visit to ensure quality of work, and (n) undertake any activities that may be assigned by UNDP and Project Board.</w:t>
      </w:r>
    </w:p>
    <w:p w14:paraId="45223B82" w14:textId="77777777" w:rsidR="00B44E0D" w:rsidRPr="00943A74" w:rsidRDefault="00B44E0D" w:rsidP="00B44E0D">
      <w:pPr>
        <w:spacing w:after="0"/>
        <w:jc w:val="left"/>
        <w:rPr>
          <w:rFonts w:cs="Arial"/>
          <w:iCs/>
          <w:szCs w:val="22"/>
        </w:rPr>
      </w:pPr>
    </w:p>
    <w:p w14:paraId="51B62D0F" w14:textId="4D51C9C2" w:rsidR="00B44E0D" w:rsidRPr="00943A74" w:rsidRDefault="00B44E0D" w:rsidP="00B44E0D">
      <w:pPr>
        <w:spacing w:after="0"/>
        <w:jc w:val="left"/>
        <w:rPr>
          <w:rFonts w:cs="Arial"/>
          <w:iCs/>
          <w:szCs w:val="22"/>
          <w:lang w:val="en-US"/>
        </w:rPr>
      </w:pPr>
      <w:r w:rsidRPr="00943A74">
        <w:rPr>
          <w:rFonts w:cs="Arial"/>
          <w:b/>
          <w:bCs/>
          <w:iCs/>
          <w:szCs w:val="22"/>
          <w:u w:val="single"/>
        </w:rPr>
        <w:t>Qualifications and Experience</w:t>
      </w:r>
      <w:r w:rsidRPr="00943A74">
        <w:rPr>
          <w:rFonts w:cs="Arial"/>
          <w:b/>
          <w:bCs/>
          <w:iCs/>
          <w:szCs w:val="22"/>
        </w:rPr>
        <w:t>:</w:t>
      </w:r>
      <w:r w:rsidRPr="00943A74">
        <w:rPr>
          <w:rFonts w:cs="Arial"/>
          <w:iCs/>
          <w:szCs w:val="22"/>
        </w:rPr>
        <w:t xml:space="preserve"> The incumbent should have a minimum Bachelor degree with MBA/Master degree or Masters in energy/environment or other relevant academic discipline and profession qualifications with at least ten (10) years professional experience at senior level. S/he should have extensive experience and technical ability to manage a large project and a good technical knowledge in the fields related to municipal and low carbon development, climate change, energy efficiency and institutional development, regulatory and financial aspects. S/he must have effective interpersonal and negotiation skills proven through successful interactions with all levels of project stakeholder groups, including senior government officials, financial sectors, private entrepreneurs, technical groups and communities. S/he should have ability to effectively coordinate a complex, multi-stakeholder project and to lead, manage and motivate teams of international and local consultants to achieve results. Good capacities for strategic thinking, planning and management and excellent communication skills both in English and Russian are essential. Knowledge of Kazakh will be an asset. Knowledge of UNDP project implementation procedures, including procurement, disbursements, and reporting and monitoring will be an added advantage.</w:t>
      </w:r>
    </w:p>
    <w:p w14:paraId="0B7480B2" w14:textId="77777777" w:rsidR="00E1433A" w:rsidRPr="00943A74" w:rsidRDefault="00E1433A" w:rsidP="00E1433A">
      <w:pPr>
        <w:spacing w:after="0"/>
        <w:jc w:val="left"/>
        <w:rPr>
          <w:rFonts w:cs="Arial"/>
          <w:iCs/>
          <w:szCs w:val="22"/>
          <w:lang w:val="en-US"/>
        </w:rPr>
      </w:pPr>
    </w:p>
    <w:p w14:paraId="1E319CCC" w14:textId="77777777" w:rsidR="00B44E0D" w:rsidRPr="00943A74" w:rsidRDefault="00B44E0D" w:rsidP="00B44E0D">
      <w:pPr>
        <w:spacing w:after="0"/>
        <w:jc w:val="left"/>
        <w:rPr>
          <w:rFonts w:cs="Arial"/>
          <w:b/>
          <w:iCs/>
          <w:szCs w:val="22"/>
        </w:rPr>
      </w:pPr>
      <w:bookmarkStart w:id="90" w:name="_Toc226786567"/>
      <w:bookmarkStart w:id="91" w:name="_Toc226801967"/>
      <w:r w:rsidRPr="00943A74">
        <w:rPr>
          <w:rFonts w:cs="Arial"/>
          <w:b/>
          <w:iCs/>
          <w:szCs w:val="22"/>
        </w:rPr>
        <w:t>Administrative/Finance Assistant</w:t>
      </w:r>
      <w:bookmarkEnd w:id="90"/>
      <w:bookmarkEnd w:id="91"/>
    </w:p>
    <w:p w14:paraId="705904EA" w14:textId="77777777" w:rsidR="00B44E0D" w:rsidRPr="00943A74" w:rsidRDefault="00B44E0D" w:rsidP="00B44E0D">
      <w:pPr>
        <w:spacing w:after="0"/>
        <w:jc w:val="left"/>
        <w:rPr>
          <w:rFonts w:cs="Arial"/>
          <w:iCs/>
          <w:szCs w:val="22"/>
        </w:rPr>
      </w:pPr>
    </w:p>
    <w:p w14:paraId="221E77CD" w14:textId="77777777" w:rsidR="00B44E0D" w:rsidRPr="00943A74" w:rsidRDefault="00B44E0D" w:rsidP="00B44E0D">
      <w:pPr>
        <w:spacing w:after="0"/>
        <w:jc w:val="left"/>
        <w:rPr>
          <w:rFonts w:cs="Arial"/>
          <w:iCs/>
          <w:szCs w:val="22"/>
        </w:rPr>
      </w:pPr>
      <w:r w:rsidRPr="00943A74">
        <w:rPr>
          <w:rFonts w:cs="Arial"/>
          <w:iCs/>
          <w:szCs w:val="22"/>
        </w:rPr>
        <w:t>The Administrative and Finance Assistant (AFA), will be a locally recruited national selected based on an open competitive process. He/She will report to National Project Manager (NPM) and assist the NPM in the coordination of the UNDP-GEF project. He/She will have two roles: as an Administrative Assistant and as an Accountant.</w:t>
      </w:r>
    </w:p>
    <w:p w14:paraId="05E6B171" w14:textId="77777777" w:rsidR="00B44E0D" w:rsidRPr="00943A74" w:rsidRDefault="00B44E0D" w:rsidP="00B44E0D">
      <w:pPr>
        <w:spacing w:after="0"/>
        <w:jc w:val="left"/>
        <w:rPr>
          <w:rFonts w:cs="Arial"/>
          <w:iCs/>
          <w:szCs w:val="22"/>
        </w:rPr>
      </w:pPr>
    </w:p>
    <w:p w14:paraId="7E31F7D7" w14:textId="77777777" w:rsidR="00B44E0D" w:rsidRPr="00943A74" w:rsidRDefault="00B44E0D" w:rsidP="00B44E0D">
      <w:pPr>
        <w:spacing w:after="0"/>
        <w:jc w:val="left"/>
        <w:rPr>
          <w:rFonts w:cs="Arial"/>
          <w:iCs/>
          <w:szCs w:val="22"/>
        </w:rPr>
      </w:pPr>
      <w:r w:rsidRPr="00943A74">
        <w:rPr>
          <w:rFonts w:cs="Arial"/>
          <w:b/>
          <w:bCs/>
          <w:iCs/>
          <w:szCs w:val="22"/>
          <w:u w:val="single"/>
        </w:rPr>
        <w:t>Duties and Responsibilities</w:t>
      </w:r>
      <w:r w:rsidRPr="00943A74">
        <w:rPr>
          <w:rFonts w:cs="Arial"/>
          <w:b/>
          <w:bCs/>
          <w:iCs/>
          <w:szCs w:val="22"/>
        </w:rPr>
        <w:t>:</w:t>
      </w:r>
      <w:r w:rsidRPr="00943A74">
        <w:rPr>
          <w:rFonts w:cs="Arial"/>
          <w:iCs/>
          <w:szCs w:val="22"/>
        </w:rPr>
        <w:t xml:space="preserve">  The incumbent will be responsible to provide overall administration and financial services of the project such as processing payments, raising requisition, purchase order, projects logs etc. using UNDP corporate software ATLAS. S/he will be responsible to provide information to UNDP Project web, RRMC reporting and administrative trouble shooting. S/he will also perform (a) word processing, drafting routine letters/messages/reports, mailing (b) arrange travel, itinerary preparation for project related travels, (c) assist to arrange workshops/seminar/training programmes and mailing, (d) work at reception desk and make appointments and schedule meeting, (e) assist in work-plan and budgeting, (f) photocopying, binding and filing, (g) maintenance of all office equipment and keeping inventory/records of supplies and their usage and any other duties assigned by Project Manager or concerned officials.</w:t>
      </w:r>
    </w:p>
    <w:p w14:paraId="5DFDF15C" w14:textId="77777777" w:rsidR="00B44E0D" w:rsidRPr="00943A74" w:rsidRDefault="00B44E0D" w:rsidP="00B44E0D">
      <w:pPr>
        <w:spacing w:after="0"/>
        <w:jc w:val="left"/>
        <w:rPr>
          <w:rFonts w:cs="Arial"/>
          <w:b/>
          <w:bCs/>
          <w:iCs/>
          <w:szCs w:val="22"/>
          <w:u w:val="single"/>
        </w:rPr>
      </w:pPr>
    </w:p>
    <w:p w14:paraId="6330DD2E" w14:textId="722132CE" w:rsidR="00B44E0D" w:rsidRPr="00943A74" w:rsidRDefault="00B44E0D" w:rsidP="00B44E0D">
      <w:pPr>
        <w:spacing w:after="0"/>
        <w:jc w:val="left"/>
        <w:rPr>
          <w:rFonts w:cs="Arial"/>
          <w:iCs/>
          <w:szCs w:val="22"/>
        </w:rPr>
      </w:pPr>
      <w:r w:rsidRPr="00943A74">
        <w:rPr>
          <w:rFonts w:cs="Arial"/>
          <w:b/>
          <w:bCs/>
          <w:iCs/>
          <w:szCs w:val="22"/>
          <w:u w:val="single"/>
        </w:rPr>
        <w:t>Qualifications and Experience</w:t>
      </w:r>
      <w:r w:rsidRPr="00943A74">
        <w:rPr>
          <w:rFonts w:cs="Arial"/>
          <w:b/>
          <w:bCs/>
          <w:iCs/>
          <w:szCs w:val="22"/>
        </w:rPr>
        <w:t>:</w:t>
      </w:r>
      <w:r w:rsidRPr="00943A74">
        <w:rPr>
          <w:rFonts w:cs="Arial"/>
          <w:iCs/>
          <w:szCs w:val="22"/>
        </w:rPr>
        <w:t xml:space="preserve"> The incumbent should have at least a Bachelor degree in any discipline from a recognized university. S/he should have at least 3 years relevant working experience with foreign aided projects or international development or organizations. Computer proficiency in MS Office (Word, Excel and PowerPoint) and other common software is a prerequisite. Diploma in computer/secretarial science is desirable but not essential. Basic knowledge in procurement, petty cash handling, logistics supports, and filling systems is a basic requirement. Knowledge of UNDP project implementation procedures, including procurement, disbursements, and reporting and monitoring is preferable. Appropriate Kazakh, Russian and English language skills, both spoken and written.</w:t>
      </w:r>
    </w:p>
    <w:p w14:paraId="0CF0D87D" w14:textId="77777777" w:rsidR="00B44E0D" w:rsidRPr="00943A74" w:rsidRDefault="00B44E0D" w:rsidP="00B44E0D">
      <w:pPr>
        <w:spacing w:after="0"/>
        <w:jc w:val="left"/>
        <w:rPr>
          <w:rFonts w:cs="Arial"/>
          <w:iCs/>
          <w:szCs w:val="22"/>
        </w:rPr>
      </w:pPr>
    </w:p>
    <w:p w14:paraId="0EADE5EA" w14:textId="696BD5E3" w:rsidR="00B44E0D" w:rsidRPr="00943A74" w:rsidRDefault="00B44E0D" w:rsidP="00B44E0D">
      <w:pPr>
        <w:spacing w:after="0"/>
        <w:jc w:val="left"/>
        <w:rPr>
          <w:rFonts w:cs="Arial"/>
          <w:b/>
          <w:iCs/>
          <w:szCs w:val="22"/>
          <w:lang w:val="en-US"/>
        </w:rPr>
      </w:pPr>
      <w:r w:rsidRPr="00943A74">
        <w:rPr>
          <w:rFonts w:cs="Arial"/>
          <w:b/>
          <w:i/>
          <w:iCs/>
          <w:szCs w:val="22"/>
          <w:lang w:val="en-US"/>
        </w:rPr>
        <w:t>Key National Experts</w:t>
      </w:r>
    </w:p>
    <w:p w14:paraId="68F95734" w14:textId="77777777" w:rsidR="00B44E0D" w:rsidRDefault="00B44E0D" w:rsidP="00B44E0D">
      <w:pPr>
        <w:spacing w:after="0"/>
        <w:jc w:val="left"/>
        <w:rPr>
          <w:rFonts w:cs="Arial"/>
          <w:b/>
          <w:iCs/>
          <w:sz w:val="18"/>
          <w:szCs w:val="18"/>
          <w:lang w:val="en-US"/>
        </w:rPr>
      </w:pPr>
    </w:p>
    <w:p w14:paraId="7033CA3C" w14:textId="4702F5CB" w:rsidR="00B44E0D" w:rsidRDefault="00943A74" w:rsidP="00B44E0D">
      <w:pPr>
        <w:spacing w:after="0"/>
        <w:jc w:val="left"/>
        <w:rPr>
          <w:rFonts w:cs="Arial"/>
          <w:iCs/>
          <w:szCs w:val="22"/>
          <w:lang w:val="en-US"/>
        </w:rPr>
      </w:pPr>
      <w:r w:rsidRPr="00943A74">
        <w:rPr>
          <w:rFonts w:cs="Arial"/>
          <w:b/>
          <w:iCs/>
          <w:szCs w:val="22"/>
          <w:lang w:val="en-US"/>
        </w:rPr>
        <w:t>Low carbon urban planning &amp; capacity building specialist</w:t>
      </w:r>
    </w:p>
    <w:p w14:paraId="579C356D" w14:textId="77777777" w:rsidR="00943A74" w:rsidRDefault="00943A74" w:rsidP="00B44E0D">
      <w:pPr>
        <w:spacing w:after="0"/>
        <w:jc w:val="left"/>
        <w:rPr>
          <w:rFonts w:cs="Arial"/>
          <w:iCs/>
          <w:szCs w:val="22"/>
          <w:lang w:val="en-US"/>
        </w:rPr>
      </w:pPr>
    </w:p>
    <w:p w14:paraId="430E428C" w14:textId="4D19F227" w:rsidR="00EA4691" w:rsidRPr="00122C26" w:rsidRDefault="00943A74" w:rsidP="00943A74">
      <w:pPr>
        <w:spacing w:after="0"/>
        <w:jc w:val="left"/>
        <w:rPr>
          <w:rFonts w:cs="Arial"/>
          <w:iCs/>
          <w:szCs w:val="22"/>
          <w:lang w:val="en-US"/>
        </w:rPr>
      </w:pPr>
      <w:r w:rsidRPr="00943A74">
        <w:rPr>
          <w:rFonts w:cs="Arial"/>
          <w:iCs/>
          <w:szCs w:val="22"/>
          <w:lang w:val="en-US"/>
        </w:rPr>
        <w:t xml:space="preserve">The individual recruited as the </w:t>
      </w:r>
      <w:r>
        <w:rPr>
          <w:rFonts w:cs="Arial"/>
          <w:iCs/>
          <w:szCs w:val="22"/>
          <w:lang w:val="en-US"/>
        </w:rPr>
        <w:t>Low carbon urban planning &amp; capacity building specialist</w:t>
      </w:r>
      <w:r w:rsidRPr="00943A74">
        <w:rPr>
          <w:rFonts w:cs="Arial"/>
          <w:iCs/>
          <w:szCs w:val="22"/>
          <w:lang w:val="en-US"/>
        </w:rPr>
        <w:t xml:space="preserve"> will work </w:t>
      </w:r>
      <w:r w:rsidR="00EA4691">
        <w:rPr>
          <w:rFonts w:cs="Arial"/>
          <w:iCs/>
          <w:szCs w:val="22"/>
          <w:lang w:val="en-US"/>
        </w:rPr>
        <w:t>under the overall guidance of</w:t>
      </w:r>
      <w:r w:rsidRPr="00943A74">
        <w:rPr>
          <w:rFonts w:cs="Arial"/>
          <w:iCs/>
          <w:szCs w:val="22"/>
          <w:lang w:val="en-US"/>
        </w:rPr>
        <w:t xml:space="preserve"> the Project Manager </w:t>
      </w:r>
      <w:r w:rsidR="00EA4691">
        <w:rPr>
          <w:rFonts w:cs="Arial"/>
          <w:iCs/>
          <w:szCs w:val="22"/>
          <w:lang w:val="en-US"/>
        </w:rPr>
        <w:t xml:space="preserve">and will coordinate implementation of Outcomes 1 and 5. In particular, he/she will provide </w:t>
      </w:r>
      <w:r w:rsidR="00EA4691" w:rsidRPr="00EA4691">
        <w:rPr>
          <w:rFonts w:cs="Arial"/>
          <w:iCs/>
          <w:szCs w:val="22"/>
        </w:rPr>
        <w:t>technical training and methodological support to 15 city municipalities, as well as assistance with data coll</w:t>
      </w:r>
      <w:r w:rsidR="00580ECC">
        <w:rPr>
          <w:rFonts w:cs="Arial"/>
          <w:iCs/>
          <w:szCs w:val="22"/>
        </w:rPr>
        <w:t xml:space="preserve">ection, processing and analysis, for preparation of </w:t>
      </w:r>
      <w:r w:rsidR="00EA4691" w:rsidRPr="00EA4691">
        <w:rPr>
          <w:rFonts w:cs="Arial"/>
          <w:iCs/>
          <w:szCs w:val="22"/>
        </w:rPr>
        <w:t xml:space="preserve">urban GHG inventories and baseline scenarios, assessment of abatement potential and costs, prioritization of </w:t>
      </w:r>
      <w:r w:rsidR="00580ECC" w:rsidRPr="00EA4691">
        <w:rPr>
          <w:rFonts w:cs="Arial"/>
          <w:iCs/>
          <w:szCs w:val="22"/>
        </w:rPr>
        <w:t>investment projects where GHG emissions can be achieved most cost-effectively and where opportunities exist to leverage private capital and financing</w:t>
      </w:r>
      <w:r w:rsidR="00EA4691" w:rsidRPr="00EA4691">
        <w:rPr>
          <w:rFonts w:cs="Arial"/>
          <w:iCs/>
          <w:szCs w:val="22"/>
        </w:rPr>
        <w:t>.</w:t>
      </w:r>
      <w:r w:rsidR="00EA4691">
        <w:rPr>
          <w:rFonts w:cs="Arial"/>
          <w:iCs/>
          <w:szCs w:val="22"/>
        </w:rPr>
        <w:t xml:space="preserve"> </w:t>
      </w:r>
      <w:r w:rsidR="00580ECC">
        <w:rPr>
          <w:rFonts w:cs="Arial"/>
          <w:iCs/>
          <w:szCs w:val="22"/>
          <w:lang w:val="en-US"/>
        </w:rPr>
        <w:t>This expert will closely coordinate the work with n</w:t>
      </w:r>
      <w:r w:rsidR="00EA4691">
        <w:rPr>
          <w:rFonts w:cs="Arial"/>
          <w:iCs/>
          <w:szCs w:val="22"/>
          <w:lang w:val="en-US"/>
        </w:rPr>
        <w:t>ation</w:t>
      </w:r>
      <w:r w:rsidR="00580ECC">
        <w:rPr>
          <w:rFonts w:cs="Arial"/>
          <w:iCs/>
          <w:szCs w:val="22"/>
          <w:lang w:val="en-US"/>
        </w:rPr>
        <w:t>al</w:t>
      </w:r>
      <w:r w:rsidR="00EA4691">
        <w:rPr>
          <w:rFonts w:cs="Arial"/>
          <w:iCs/>
          <w:szCs w:val="22"/>
          <w:lang w:val="en-US"/>
        </w:rPr>
        <w:t xml:space="preserve"> urban financing &amp; investment and energy efficiency &amp; RE experts and </w:t>
      </w:r>
      <w:r w:rsidR="00EA4691" w:rsidRPr="00943A74">
        <w:rPr>
          <w:rFonts w:cs="Arial"/>
          <w:iCs/>
          <w:szCs w:val="22"/>
          <w:lang w:val="en-US"/>
        </w:rPr>
        <w:t>other national and international specialists</w:t>
      </w:r>
      <w:r w:rsidR="00580ECC">
        <w:rPr>
          <w:rFonts w:cs="Arial"/>
          <w:iCs/>
          <w:szCs w:val="22"/>
          <w:lang w:val="en-US"/>
        </w:rPr>
        <w:t xml:space="preserve">. In addition, the expert will consult </w:t>
      </w:r>
      <w:r w:rsidR="00580ECC" w:rsidRPr="002B00D4">
        <w:rPr>
          <w:rFonts w:cs="Arial"/>
          <w:iCs/>
          <w:szCs w:val="22"/>
        </w:rPr>
        <w:t xml:space="preserve">with relevant institutions and government officers on reforming institutional arrangements for </w:t>
      </w:r>
      <w:r w:rsidR="00580ECC">
        <w:rPr>
          <w:rFonts w:cs="Arial"/>
          <w:iCs/>
          <w:szCs w:val="22"/>
        </w:rPr>
        <w:t xml:space="preserve">comprehensive low-carbon urban planning and will recommend </w:t>
      </w:r>
      <w:r w:rsidR="00580ECC" w:rsidRPr="002B00D4">
        <w:rPr>
          <w:rFonts w:cs="Arial"/>
          <w:iCs/>
          <w:szCs w:val="22"/>
        </w:rPr>
        <w:t xml:space="preserve">institutional streamlining actions </w:t>
      </w:r>
      <w:r w:rsidR="00580ECC">
        <w:rPr>
          <w:rFonts w:cs="Arial"/>
          <w:iCs/>
          <w:szCs w:val="22"/>
        </w:rPr>
        <w:t xml:space="preserve">at national, regional and local levels </w:t>
      </w:r>
      <w:r w:rsidR="00580ECC" w:rsidRPr="002B00D4">
        <w:rPr>
          <w:rFonts w:cs="Arial"/>
          <w:iCs/>
          <w:szCs w:val="22"/>
        </w:rPr>
        <w:t>that have the consensus with relevant government agencies</w:t>
      </w:r>
      <w:r w:rsidR="00580ECC">
        <w:rPr>
          <w:rFonts w:cs="Arial"/>
          <w:iCs/>
          <w:szCs w:val="22"/>
        </w:rPr>
        <w:t xml:space="preserve"> and institutions</w:t>
      </w:r>
      <w:r w:rsidR="00580ECC" w:rsidRPr="002B00D4">
        <w:rPr>
          <w:rFonts w:cs="Arial"/>
          <w:iCs/>
          <w:szCs w:val="22"/>
        </w:rPr>
        <w:t xml:space="preserve"> that have the mandate to effectively develop urban policies and projects.</w:t>
      </w:r>
      <w:r w:rsidR="00122C26">
        <w:rPr>
          <w:rFonts w:cs="Arial"/>
          <w:iCs/>
          <w:szCs w:val="22"/>
        </w:rPr>
        <w:t xml:space="preserve"> </w:t>
      </w:r>
      <w:r w:rsidR="002F47DC">
        <w:rPr>
          <w:rFonts w:cs="Arial"/>
          <w:iCs/>
          <w:szCs w:val="22"/>
          <w:lang w:val="en-US"/>
        </w:rPr>
        <w:t xml:space="preserve">This expert will oversee and contribute to the set up of a monitoring, verification and reporting system of GHG emission reductions of urban NAMA projects in 15 municipalities </w:t>
      </w:r>
      <w:r w:rsidR="002F47DC" w:rsidRPr="002F47DC">
        <w:rPr>
          <w:rFonts w:cs="Arial"/>
          <w:iCs/>
          <w:szCs w:val="22"/>
        </w:rPr>
        <w:t xml:space="preserve">linking the </w:t>
      </w:r>
      <w:r w:rsidR="002F47DC">
        <w:rPr>
          <w:rFonts w:cs="Arial"/>
          <w:iCs/>
          <w:szCs w:val="22"/>
        </w:rPr>
        <w:t xml:space="preserve">NAMA process </w:t>
      </w:r>
      <w:r w:rsidR="002F47DC" w:rsidRPr="002F47DC">
        <w:rPr>
          <w:rFonts w:cs="Arial"/>
          <w:iCs/>
          <w:szCs w:val="22"/>
        </w:rPr>
        <w:t>into national GHG mitigation efforts, including through promoting better information dissemination to stakeholders.</w:t>
      </w:r>
      <w:r w:rsidR="00447756">
        <w:rPr>
          <w:rFonts w:cs="Arial"/>
          <w:iCs/>
          <w:szCs w:val="22"/>
        </w:rPr>
        <w:t xml:space="preserve"> Finally, the expert will work with other national short-term experts to consolidate generated results and lessons learned from the NAMA process in Kazakhstan by developing</w:t>
      </w:r>
      <w:r w:rsidR="00447756" w:rsidRPr="00447756">
        <w:rPr>
          <w:rFonts w:cs="Arial"/>
          <w:iCs/>
          <w:szCs w:val="22"/>
        </w:rPr>
        <w:t xml:space="preserve"> the appropriate formats for reaching the relevant stakeholder</w:t>
      </w:r>
      <w:r w:rsidR="00447756">
        <w:rPr>
          <w:rFonts w:cs="Arial"/>
          <w:iCs/>
          <w:szCs w:val="22"/>
        </w:rPr>
        <w:t xml:space="preserve">s, </w:t>
      </w:r>
      <w:r w:rsidR="00447756" w:rsidRPr="00447756">
        <w:rPr>
          <w:rFonts w:cs="Arial"/>
          <w:iCs/>
          <w:szCs w:val="22"/>
        </w:rPr>
        <w:t xml:space="preserve">i.e. the general public, </w:t>
      </w:r>
      <w:r w:rsidR="00447756">
        <w:rPr>
          <w:rFonts w:cs="Arial"/>
          <w:iCs/>
          <w:szCs w:val="22"/>
        </w:rPr>
        <w:t>regional and local authorities, central government, private sector, industries, etc.</w:t>
      </w:r>
    </w:p>
    <w:p w14:paraId="0688A32C" w14:textId="77777777" w:rsidR="00485F26" w:rsidRDefault="00485F26" w:rsidP="00943A74">
      <w:pPr>
        <w:spacing w:after="0"/>
        <w:jc w:val="left"/>
        <w:rPr>
          <w:rFonts w:cs="Arial"/>
          <w:iCs/>
          <w:szCs w:val="22"/>
          <w:lang w:val="en-US"/>
        </w:rPr>
      </w:pPr>
    </w:p>
    <w:p w14:paraId="42E881A3" w14:textId="1D80C9CB" w:rsidR="00485F26" w:rsidRDefault="00485F26" w:rsidP="00943A74">
      <w:pPr>
        <w:spacing w:after="0"/>
        <w:jc w:val="left"/>
        <w:rPr>
          <w:rFonts w:cs="Arial"/>
          <w:iCs/>
          <w:szCs w:val="22"/>
          <w:lang w:val="en-US"/>
        </w:rPr>
      </w:pPr>
      <w:r>
        <w:rPr>
          <w:rFonts w:cs="Arial"/>
          <w:b/>
          <w:iCs/>
          <w:szCs w:val="22"/>
          <w:lang w:val="en-US"/>
        </w:rPr>
        <w:t>Low carbon urban financing &amp; investment specialist</w:t>
      </w:r>
    </w:p>
    <w:p w14:paraId="70CA37ED" w14:textId="77777777" w:rsidR="00485F26" w:rsidRDefault="00485F26" w:rsidP="00943A74">
      <w:pPr>
        <w:spacing w:after="0"/>
        <w:jc w:val="left"/>
        <w:rPr>
          <w:rFonts w:cs="Arial"/>
          <w:iCs/>
          <w:szCs w:val="22"/>
          <w:lang w:val="en-US"/>
        </w:rPr>
      </w:pPr>
    </w:p>
    <w:p w14:paraId="04C9578A" w14:textId="6C0EC492" w:rsidR="00AD6EA6" w:rsidRDefault="00485F26" w:rsidP="00B575AD">
      <w:pPr>
        <w:spacing w:after="0"/>
        <w:jc w:val="left"/>
        <w:rPr>
          <w:lang w:val="en-US"/>
        </w:rPr>
      </w:pPr>
      <w:r w:rsidRPr="00943A74">
        <w:rPr>
          <w:rFonts w:cs="Arial"/>
          <w:iCs/>
          <w:szCs w:val="22"/>
          <w:lang w:val="en-US"/>
        </w:rPr>
        <w:t xml:space="preserve">The individual recruited as the </w:t>
      </w:r>
      <w:r>
        <w:rPr>
          <w:rFonts w:cs="Arial"/>
          <w:iCs/>
          <w:szCs w:val="22"/>
          <w:lang w:val="en-US"/>
        </w:rPr>
        <w:t>Low carbon urban financing &amp; investment specialist</w:t>
      </w:r>
      <w:r w:rsidRPr="00943A74">
        <w:rPr>
          <w:rFonts w:cs="Arial"/>
          <w:iCs/>
          <w:szCs w:val="22"/>
          <w:lang w:val="en-US"/>
        </w:rPr>
        <w:t xml:space="preserve"> will work </w:t>
      </w:r>
      <w:r>
        <w:rPr>
          <w:rFonts w:cs="Arial"/>
          <w:iCs/>
          <w:szCs w:val="22"/>
          <w:lang w:val="en-US"/>
        </w:rPr>
        <w:t>under the overall guidance of</w:t>
      </w:r>
      <w:r w:rsidRPr="00943A74">
        <w:rPr>
          <w:rFonts w:cs="Arial"/>
          <w:iCs/>
          <w:szCs w:val="22"/>
          <w:lang w:val="en-US"/>
        </w:rPr>
        <w:t xml:space="preserve"> the Project Manager </w:t>
      </w:r>
      <w:r>
        <w:rPr>
          <w:rFonts w:cs="Arial"/>
          <w:iCs/>
          <w:szCs w:val="22"/>
          <w:lang w:val="en-US"/>
        </w:rPr>
        <w:t>and will coordinate implementation of Outcomes 2 and 3.</w:t>
      </w:r>
      <w:r w:rsidR="00B575AD">
        <w:rPr>
          <w:rFonts w:cs="Arial"/>
          <w:iCs/>
          <w:szCs w:val="22"/>
          <w:lang w:val="en-US"/>
        </w:rPr>
        <w:t xml:space="preserve"> In particular, this expert will support pilot akimats in assessing their needs and priorities for NAMA related urban actions and formulating </w:t>
      </w:r>
      <w:r w:rsidR="00B575AD" w:rsidRPr="005B5602">
        <w:t xml:space="preserve">“bankable” </w:t>
      </w:r>
      <w:r w:rsidR="00B575AD">
        <w:t xml:space="preserve">project proposals. He/she will </w:t>
      </w:r>
      <w:r w:rsidR="00B575AD">
        <w:rPr>
          <w:lang w:val="en-US"/>
        </w:rPr>
        <w:t xml:space="preserve">provide targeted training and technical support to akimats and local, regional and national stakeholders </w:t>
      </w:r>
      <w:r w:rsidR="00B575AD">
        <w:t>including, for example, creation and management of</w:t>
      </w:r>
      <w:r w:rsidR="00B575AD" w:rsidRPr="005B5602">
        <w:t xml:space="preserve"> new institutional and financing mechanisms such as </w:t>
      </w:r>
      <w:r w:rsidR="00B575AD">
        <w:t>ESCOs</w:t>
      </w:r>
      <w:r w:rsidR="00B575AD" w:rsidRPr="005B5602">
        <w:t>, Performance Contracts</w:t>
      </w:r>
      <w:r w:rsidR="00B575AD">
        <w:t>, concession agreements, public service contracts,</w:t>
      </w:r>
      <w:r w:rsidR="00B575AD" w:rsidRPr="005B5602">
        <w:t xml:space="preserve"> and private-public partners</w:t>
      </w:r>
      <w:r w:rsidR="00B575AD">
        <w:t xml:space="preserve">hips; </w:t>
      </w:r>
      <w:r w:rsidR="00B575AD">
        <w:rPr>
          <w:lang w:val="en-US"/>
        </w:rPr>
        <w:t xml:space="preserve">preparation of budgets, progress reports and proposals; negotiations with private investors; and technical issues concerning the development of their proposed urban NAMAs. </w:t>
      </w:r>
      <w:r w:rsidR="00AD6EA6">
        <w:rPr>
          <w:lang w:val="en-US"/>
        </w:rPr>
        <w:t>The specialist will coordinate the work on establishment and operationalization of a pilot NAMA fund through either setting up a Pilot NAMA credit line within the NMF, or a separate fund such as</w:t>
      </w:r>
      <w:r w:rsidR="00AD6EA6">
        <w:t xml:space="preserve"> the Energy Saving Fund that is being considered by the government. Finally, this expert will coordinate a multi-stakeholder consultation process </w:t>
      </w:r>
      <w:r w:rsidR="00AD6EA6" w:rsidRPr="00AD6EA6">
        <w:rPr>
          <w:lang w:val="en-US"/>
        </w:rPr>
        <w:t xml:space="preserve">to </w:t>
      </w:r>
      <w:r w:rsidR="00AD6EA6">
        <w:rPr>
          <w:lang w:val="en-US"/>
        </w:rPr>
        <w:t>develop</w:t>
      </w:r>
      <w:r w:rsidR="00AD6EA6" w:rsidRPr="00AD6EA6">
        <w:rPr>
          <w:lang w:val="en-US"/>
        </w:rPr>
        <w:t xml:space="preserve"> a funding diversification strategy and propose mechanisms to allow for leveraging of addition contributions to the NAMA fund from a broad range of sources</w:t>
      </w:r>
      <w:r w:rsidR="00AD6EA6">
        <w:rPr>
          <w:lang w:val="en-US"/>
        </w:rPr>
        <w:t>.</w:t>
      </w:r>
    </w:p>
    <w:p w14:paraId="23F19257" w14:textId="77777777" w:rsidR="00D77E7C" w:rsidRDefault="00D77E7C" w:rsidP="00B575AD">
      <w:pPr>
        <w:spacing w:after="0"/>
        <w:jc w:val="left"/>
        <w:rPr>
          <w:lang w:val="en-US"/>
        </w:rPr>
      </w:pPr>
    </w:p>
    <w:p w14:paraId="0587D878" w14:textId="4788244C" w:rsidR="00D77E7C" w:rsidRDefault="00D77E7C" w:rsidP="00B575AD">
      <w:pPr>
        <w:spacing w:after="0"/>
        <w:jc w:val="left"/>
        <w:rPr>
          <w:lang w:val="en-US"/>
        </w:rPr>
      </w:pPr>
      <w:r>
        <w:rPr>
          <w:b/>
          <w:lang w:val="en-US"/>
        </w:rPr>
        <w:t>Energy efficiency &amp; RE specialist</w:t>
      </w:r>
    </w:p>
    <w:p w14:paraId="4CE553FF" w14:textId="77777777" w:rsidR="00D77E7C" w:rsidRDefault="00D77E7C" w:rsidP="00B575AD">
      <w:pPr>
        <w:spacing w:after="0"/>
        <w:jc w:val="left"/>
        <w:rPr>
          <w:lang w:val="en-US"/>
        </w:rPr>
      </w:pPr>
    </w:p>
    <w:p w14:paraId="3C8DAD22" w14:textId="1DE4A638" w:rsidR="00D77E7C" w:rsidRDefault="00D77E7C" w:rsidP="00B575AD">
      <w:pPr>
        <w:spacing w:after="0"/>
        <w:jc w:val="left"/>
        <w:rPr>
          <w:rFonts w:cs="Arial"/>
          <w:iCs/>
          <w:szCs w:val="22"/>
          <w:lang w:val="en-US"/>
        </w:rPr>
      </w:pPr>
      <w:r w:rsidRPr="00943A74">
        <w:rPr>
          <w:rFonts w:cs="Arial"/>
          <w:iCs/>
          <w:szCs w:val="22"/>
          <w:lang w:val="en-US"/>
        </w:rPr>
        <w:t xml:space="preserve">The individual recruited as the </w:t>
      </w:r>
      <w:r>
        <w:rPr>
          <w:rFonts w:cs="Arial"/>
          <w:iCs/>
          <w:szCs w:val="22"/>
          <w:lang w:val="en-US"/>
        </w:rPr>
        <w:t>Energy efficiency &amp; RE specialist</w:t>
      </w:r>
      <w:r w:rsidRPr="00943A74">
        <w:rPr>
          <w:rFonts w:cs="Arial"/>
          <w:iCs/>
          <w:szCs w:val="22"/>
          <w:lang w:val="en-US"/>
        </w:rPr>
        <w:t xml:space="preserve"> will work </w:t>
      </w:r>
      <w:r>
        <w:rPr>
          <w:rFonts w:cs="Arial"/>
          <w:iCs/>
          <w:szCs w:val="22"/>
          <w:lang w:val="en-US"/>
        </w:rPr>
        <w:t>under the overall guidance of</w:t>
      </w:r>
      <w:r w:rsidRPr="00943A74">
        <w:rPr>
          <w:rFonts w:cs="Arial"/>
          <w:iCs/>
          <w:szCs w:val="22"/>
          <w:lang w:val="en-US"/>
        </w:rPr>
        <w:t xml:space="preserve"> the Project Manager </w:t>
      </w:r>
      <w:r>
        <w:rPr>
          <w:rFonts w:cs="Arial"/>
          <w:iCs/>
          <w:szCs w:val="22"/>
          <w:lang w:val="en-US"/>
        </w:rPr>
        <w:t>and will coordinate implementation of Outcomes 1 and 4.</w:t>
      </w:r>
      <w:r w:rsidR="00F84EF6">
        <w:rPr>
          <w:rFonts w:cs="Arial"/>
          <w:iCs/>
          <w:szCs w:val="22"/>
          <w:lang w:val="en-US"/>
        </w:rPr>
        <w:t xml:space="preserve"> </w:t>
      </w:r>
      <w:r w:rsidR="00691434">
        <w:rPr>
          <w:rFonts w:cs="Arial"/>
          <w:iCs/>
          <w:szCs w:val="22"/>
          <w:lang w:val="en-US"/>
        </w:rPr>
        <w:t>In particular, the expert will oversee implementation of pilot urban NAMA project in the district of Prigorodnoye in the capital city of Astana</w:t>
      </w:r>
      <w:r w:rsidR="005A726D">
        <w:rPr>
          <w:rFonts w:cs="Arial"/>
          <w:iCs/>
          <w:szCs w:val="22"/>
          <w:lang w:val="en-US"/>
        </w:rPr>
        <w:t xml:space="preserve"> as specified in Outcome 4</w:t>
      </w:r>
      <w:r w:rsidR="00691434">
        <w:rPr>
          <w:rFonts w:cs="Arial"/>
          <w:iCs/>
          <w:szCs w:val="22"/>
          <w:lang w:val="en-US"/>
        </w:rPr>
        <w:t xml:space="preserve">. He/she will work with the district akimat to conduct GHG inventory, identify GHG emissions reduction measures and design abatement cost curve for </w:t>
      </w:r>
      <w:r w:rsidR="00691434" w:rsidRPr="00EC3EB4">
        <w:t xml:space="preserve">Prigorodnoye to be developed under </w:t>
      </w:r>
      <w:r w:rsidR="00691434">
        <w:t>Outcome</w:t>
      </w:r>
      <w:r w:rsidR="00691434" w:rsidRPr="00EC3EB4">
        <w:t xml:space="preserve"> 1 as part of urban NAMA design.</w:t>
      </w:r>
      <w:r w:rsidR="00691434">
        <w:t xml:space="preserve"> The expert will work closely with the Urban financing &amp; investment specialist to formulate ‘bankable’ proposals for the pilot NAMA fund and other sources of financing. The expert will also contribute to the design of training materials on cost-effective and energy-efficient measures for urban infrastructure and will serve as a resource person and facilitator for relevant trainings.</w:t>
      </w:r>
    </w:p>
    <w:p w14:paraId="14D4360E" w14:textId="77777777" w:rsidR="00D77E7C" w:rsidRPr="00D77E7C" w:rsidRDefault="00D77E7C" w:rsidP="00B575AD">
      <w:pPr>
        <w:spacing w:after="0"/>
        <w:jc w:val="left"/>
        <w:rPr>
          <w:lang w:val="en-US"/>
        </w:rPr>
      </w:pPr>
    </w:p>
    <w:p w14:paraId="3B93177D" w14:textId="77777777" w:rsidR="00AD6EA6" w:rsidRDefault="00AD6EA6" w:rsidP="00B575AD">
      <w:pPr>
        <w:spacing w:after="0"/>
        <w:jc w:val="left"/>
        <w:rPr>
          <w:lang w:val="en-US"/>
        </w:rPr>
      </w:pPr>
    </w:p>
    <w:p w14:paraId="40935BC1" w14:textId="77777777" w:rsidR="00B44E0D" w:rsidRPr="00B44E0D" w:rsidRDefault="00B44E0D" w:rsidP="00B44E0D">
      <w:pPr>
        <w:spacing w:after="0"/>
        <w:jc w:val="left"/>
        <w:rPr>
          <w:rFonts w:cs="Arial"/>
          <w:b/>
          <w:iCs/>
          <w:sz w:val="18"/>
          <w:szCs w:val="18"/>
          <w:lang w:val="en-US"/>
        </w:rPr>
      </w:pPr>
    </w:p>
    <w:p w14:paraId="72B68FFB" w14:textId="77777777" w:rsidR="00652DD1" w:rsidRDefault="00652DD1">
      <w:pPr>
        <w:spacing w:after="0"/>
        <w:jc w:val="left"/>
        <w:rPr>
          <w:b/>
          <w:bCs/>
          <w:sz w:val="28"/>
        </w:rPr>
      </w:pPr>
      <w:bookmarkStart w:id="92" w:name="_Toc393449012"/>
      <w:r>
        <w:br w:type="page"/>
      </w:r>
    </w:p>
    <w:p w14:paraId="0F79F26D" w14:textId="4793231B" w:rsidR="00E95FC3" w:rsidRPr="005B5602" w:rsidRDefault="00E1433A" w:rsidP="009B02E0">
      <w:pPr>
        <w:pStyle w:val="Heading2"/>
        <w:keepLines/>
        <w:spacing w:before="200" w:after="0" w:line="276" w:lineRule="auto"/>
        <w:jc w:val="left"/>
        <w:rPr>
          <w:rFonts w:ascii="Arial" w:hAnsi="Arial"/>
        </w:rPr>
      </w:pPr>
      <w:r w:rsidRPr="005B5602">
        <w:rPr>
          <w:rFonts w:ascii="Arial" w:hAnsi="Arial"/>
        </w:rPr>
        <w:t>Capacity Assessment</w:t>
      </w:r>
      <w:bookmarkEnd w:id="92"/>
    </w:p>
    <w:p w14:paraId="5455F732" w14:textId="595A1943" w:rsidR="00E1433A" w:rsidRDefault="00E1433A" w:rsidP="00E1433A">
      <w:pPr>
        <w:spacing w:after="0"/>
        <w:jc w:val="left"/>
        <w:rPr>
          <w:rFonts w:cs="Arial"/>
          <w:i/>
          <w:iCs/>
          <w:sz w:val="18"/>
          <w:szCs w:val="18"/>
          <w:lang w:val="en-US"/>
        </w:rPr>
      </w:pPr>
      <w:r w:rsidRPr="005B5602">
        <w:rPr>
          <w:rFonts w:cs="Arial"/>
          <w:i/>
          <w:iCs/>
          <w:sz w:val="18"/>
          <w:szCs w:val="18"/>
          <w:lang w:val="en-US"/>
        </w:rPr>
        <w:t>Results of capacity assessments of Implementing Partner (including HACT Micro Assessment)</w:t>
      </w:r>
    </w:p>
    <w:p w14:paraId="6CBAA7C3" w14:textId="77777777" w:rsidR="00C35DA9" w:rsidRPr="005B5602" w:rsidRDefault="00C35DA9" w:rsidP="00E1433A">
      <w:pPr>
        <w:spacing w:after="0"/>
        <w:jc w:val="left"/>
        <w:rPr>
          <w:rFonts w:cs="Arial"/>
          <w:i/>
          <w:iCs/>
          <w:sz w:val="18"/>
          <w:szCs w:val="18"/>
          <w:lang w:val="en-US"/>
        </w:rPr>
      </w:pPr>
    </w:p>
    <w:p w14:paraId="0EC7463B" w14:textId="3865CB5E" w:rsidR="00C35DA9" w:rsidRPr="005B5602" w:rsidRDefault="00C35DA9" w:rsidP="00C35DA9">
      <w:pPr>
        <w:autoSpaceDE w:val="0"/>
        <w:autoSpaceDN w:val="0"/>
        <w:adjustRightInd w:val="0"/>
        <w:rPr>
          <w:szCs w:val="20"/>
        </w:rPr>
      </w:pPr>
      <w:r>
        <w:rPr>
          <w:szCs w:val="20"/>
        </w:rPr>
        <w:t>A capacity assessment of the NMF, including HACT Micro Assessment will be carried out at project inception, and / or, prior to any funding allocation.</w:t>
      </w:r>
    </w:p>
    <w:p w14:paraId="00F90A77" w14:textId="77777777" w:rsidR="00E1433A" w:rsidRPr="005B5602" w:rsidRDefault="00E1433A" w:rsidP="00E1433A">
      <w:pPr>
        <w:spacing w:after="0"/>
        <w:rPr>
          <w:rFonts w:cs="Arial"/>
          <w:b/>
          <w:sz w:val="18"/>
          <w:szCs w:val="18"/>
          <w:lang w:val="en-US"/>
        </w:rPr>
      </w:pPr>
    </w:p>
    <w:p w14:paraId="6D132DC7" w14:textId="77777777" w:rsidR="00E95FC3" w:rsidRPr="005B5602" w:rsidRDefault="00E1433A" w:rsidP="009B02E0">
      <w:pPr>
        <w:pStyle w:val="Heading2"/>
        <w:keepLines/>
        <w:spacing w:before="200" w:after="0" w:line="276" w:lineRule="auto"/>
        <w:jc w:val="left"/>
        <w:rPr>
          <w:rFonts w:ascii="Arial" w:hAnsi="Arial"/>
        </w:rPr>
      </w:pPr>
      <w:bookmarkStart w:id="93" w:name="_Toc393449013"/>
      <w:r w:rsidRPr="005B5602">
        <w:rPr>
          <w:rFonts w:ascii="Arial" w:hAnsi="Arial"/>
        </w:rPr>
        <w:t>Special Clauses</w:t>
      </w:r>
      <w:bookmarkEnd w:id="93"/>
    </w:p>
    <w:p w14:paraId="13D00E21" w14:textId="77777777" w:rsidR="00E1433A" w:rsidRPr="005B5602" w:rsidRDefault="00E1433A" w:rsidP="00E1433A">
      <w:pPr>
        <w:spacing w:after="0"/>
        <w:rPr>
          <w:rFonts w:cs="Arial"/>
          <w:b/>
          <w:i/>
          <w:sz w:val="18"/>
          <w:szCs w:val="18"/>
          <w:lang w:val="en-US"/>
        </w:rPr>
      </w:pPr>
      <w:r w:rsidRPr="005B5602">
        <w:rPr>
          <w:rFonts w:cs="Arial"/>
          <w:i/>
          <w:sz w:val="18"/>
          <w:szCs w:val="18"/>
          <w:lang w:val="en-US"/>
        </w:rPr>
        <w:t xml:space="preserve">In case of government cost-sharing through the project which is not within the CPAP, the following </w:t>
      </w:r>
      <w:r w:rsidR="00DB18FA" w:rsidRPr="005B5602">
        <w:rPr>
          <w:rFonts w:cs="Arial"/>
          <w:i/>
          <w:sz w:val="18"/>
          <w:szCs w:val="18"/>
          <w:lang w:val="en-US"/>
        </w:rPr>
        <w:t xml:space="preserve">10 </w:t>
      </w:r>
      <w:r w:rsidRPr="005B5602">
        <w:rPr>
          <w:rFonts w:cs="Arial"/>
          <w:i/>
          <w:sz w:val="18"/>
          <w:szCs w:val="18"/>
          <w:lang w:val="en-US"/>
        </w:rPr>
        <w:t>clauses should be included:</w:t>
      </w:r>
    </w:p>
    <w:p w14:paraId="2FBAB71F" w14:textId="77777777" w:rsidR="00E1433A" w:rsidRPr="005B5602" w:rsidRDefault="00E1433A" w:rsidP="007D6892">
      <w:pPr>
        <w:numPr>
          <w:ilvl w:val="0"/>
          <w:numId w:val="17"/>
        </w:numPr>
        <w:autoSpaceDE w:val="0"/>
        <w:autoSpaceDN w:val="0"/>
        <w:adjustRightInd w:val="0"/>
        <w:jc w:val="left"/>
        <w:rPr>
          <w:rFonts w:cs="Arial"/>
          <w:sz w:val="18"/>
          <w:szCs w:val="18"/>
          <w:lang w:val="en-US"/>
        </w:rPr>
      </w:pPr>
      <w:r w:rsidRPr="005B5602">
        <w:rPr>
          <w:rFonts w:cs="Arial"/>
          <w:sz w:val="18"/>
          <w:szCs w:val="18"/>
          <w:lang w:val="en-US"/>
        </w:rPr>
        <w:t>The schedule of payments and UNDP bank account details.</w:t>
      </w:r>
    </w:p>
    <w:p w14:paraId="290FDD68" w14:textId="77777777" w:rsidR="00E1433A" w:rsidRPr="005B5602" w:rsidRDefault="00E1433A" w:rsidP="007D6892">
      <w:pPr>
        <w:numPr>
          <w:ilvl w:val="0"/>
          <w:numId w:val="17"/>
        </w:numPr>
        <w:autoSpaceDE w:val="0"/>
        <w:autoSpaceDN w:val="0"/>
        <w:adjustRightInd w:val="0"/>
        <w:jc w:val="left"/>
        <w:rPr>
          <w:rFonts w:cs="Arial"/>
          <w:sz w:val="18"/>
          <w:szCs w:val="18"/>
          <w:lang w:val="en-US"/>
        </w:rPr>
      </w:pPr>
      <w:r w:rsidRPr="005B5602">
        <w:rPr>
          <w:rFonts w:cs="Arial"/>
          <w:sz w:val="18"/>
          <w:szCs w:val="18"/>
          <w:lang w:val="en-US"/>
        </w:rPr>
        <w:t>The value of the payment, if made in a currency other than United States dollars, shall be determined by applying the United Nations operational rate of exchange in effect on the date of payment.  Should there be a change in the United Nations operational rate of exchange prior to the full utilization by the UNDP of the payment, the value of the balance of funds still held at that time will be adjusted accordingly.  If, in such a case, a loss in the value of the balance of funds is recorded, UNDP shall inform the Government with a view to determining whether any further financing could be provided by the Government.  Should such further financing not be available, the assistance to be provided to the project may be reduced, suspended or terminated by UNDP.</w:t>
      </w:r>
    </w:p>
    <w:p w14:paraId="60AD9AA6" w14:textId="77777777" w:rsidR="00E1433A" w:rsidRPr="005B5602" w:rsidRDefault="00E1433A" w:rsidP="007D6892">
      <w:pPr>
        <w:numPr>
          <w:ilvl w:val="0"/>
          <w:numId w:val="17"/>
        </w:numPr>
        <w:autoSpaceDE w:val="0"/>
        <w:autoSpaceDN w:val="0"/>
        <w:adjustRightInd w:val="0"/>
        <w:jc w:val="left"/>
        <w:rPr>
          <w:rFonts w:cs="Arial"/>
          <w:sz w:val="18"/>
          <w:szCs w:val="18"/>
          <w:lang w:val="en-US"/>
        </w:rPr>
      </w:pPr>
      <w:r w:rsidRPr="005B5602">
        <w:rPr>
          <w:rFonts w:cs="Arial"/>
          <w:sz w:val="18"/>
          <w:szCs w:val="18"/>
          <w:lang w:val="en-US"/>
        </w:rPr>
        <w:t xml:space="preserve">The above schedule of payments takes into account the requirement that the payments shall be made in advance of the implementation of planned activities.  It may be amended to be consistent with the progress of project delivery. </w:t>
      </w:r>
      <w:r w:rsidRPr="005B5602">
        <w:rPr>
          <w:rFonts w:cs="Arial"/>
          <w:spacing w:val="-2"/>
          <w:sz w:val="18"/>
          <w:szCs w:val="18"/>
          <w:lang w:val="en-US"/>
        </w:rPr>
        <w:t xml:space="preserve">  </w:t>
      </w:r>
    </w:p>
    <w:p w14:paraId="7F12B129" w14:textId="77777777" w:rsidR="00E1433A" w:rsidRPr="005B5602" w:rsidRDefault="00E1433A" w:rsidP="007D6892">
      <w:pPr>
        <w:numPr>
          <w:ilvl w:val="0"/>
          <w:numId w:val="17"/>
        </w:numPr>
        <w:autoSpaceDE w:val="0"/>
        <w:autoSpaceDN w:val="0"/>
        <w:adjustRightInd w:val="0"/>
        <w:jc w:val="left"/>
        <w:rPr>
          <w:rFonts w:cs="Arial"/>
          <w:sz w:val="18"/>
          <w:szCs w:val="18"/>
          <w:lang w:val="en-US"/>
        </w:rPr>
      </w:pPr>
      <w:r w:rsidRPr="005B5602">
        <w:rPr>
          <w:rFonts w:cs="Arial"/>
          <w:sz w:val="18"/>
          <w:szCs w:val="18"/>
          <w:lang w:val="en-US"/>
        </w:rPr>
        <w:t xml:space="preserve">UNDP shall receive and administer the payment in accordance with the regulations, rules and directives of UNDP.  </w:t>
      </w:r>
    </w:p>
    <w:p w14:paraId="0B237074" w14:textId="77777777" w:rsidR="00E1433A" w:rsidRPr="005B5602" w:rsidRDefault="00E1433A" w:rsidP="007D6892">
      <w:pPr>
        <w:numPr>
          <w:ilvl w:val="0"/>
          <w:numId w:val="17"/>
        </w:numPr>
        <w:autoSpaceDE w:val="0"/>
        <w:autoSpaceDN w:val="0"/>
        <w:adjustRightInd w:val="0"/>
        <w:jc w:val="left"/>
        <w:rPr>
          <w:rFonts w:cs="Arial"/>
          <w:sz w:val="18"/>
          <w:szCs w:val="18"/>
          <w:lang w:val="en-US"/>
        </w:rPr>
      </w:pPr>
      <w:r w:rsidRPr="005B5602">
        <w:rPr>
          <w:rFonts w:cs="Arial"/>
          <w:sz w:val="18"/>
          <w:szCs w:val="18"/>
          <w:lang w:val="en-US"/>
        </w:rPr>
        <w:t>All financial accounts and statements shall be expressed in United States dollars.</w:t>
      </w:r>
    </w:p>
    <w:p w14:paraId="699DBDAC" w14:textId="77777777" w:rsidR="00E1433A" w:rsidRPr="005B5602" w:rsidRDefault="00E1433A" w:rsidP="007D6892">
      <w:pPr>
        <w:numPr>
          <w:ilvl w:val="0"/>
          <w:numId w:val="17"/>
        </w:numPr>
        <w:tabs>
          <w:tab w:val="left" w:pos="-720"/>
          <w:tab w:val="num" w:pos="720"/>
        </w:tabs>
        <w:suppressAutoHyphens/>
        <w:autoSpaceDE w:val="0"/>
        <w:autoSpaceDN w:val="0"/>
        <w:adjustRightInd w:val="0"/>
        <w:jc w:val="left"/>
        <w:rPr>
          <w:rFonts w:cs="Arial"/>
          <w:spacing w:val="-2"/>
          <w:sz w:val="18"/>
          <w:szCs w:val="18"/>
          <w:lang w:val="en-US"/>
        </w:rPr>
      </w:pPr>
      <w:r w:rsidRPr="005B5602">
        <w:rPr>
          <w:rFonts w:cs="Arial"/>
          <w:sz w:val="18"/>
          <w:szCs w:val="18"/>
          <w:lang w:val="en-US"/>
        </w:rPr>
        <w:t xml:space="preserve">If unforeseen increases in expenditures or commitments are expected or realized (whether owing to inflationary factors, fluctuation in exchange rates or unforeseen contingencies), UNDP shall submit to the government on a timely basis a supplementary estimate showing the further financing that will be necessary. The Government shall use its best </w:t>
      </w:r>
      <w:r w:rsidR="002F3761" w:rsidRPr="005B5602">
        <w:rPr>
          <w:rFonts w:cs="Arial"/>
          <w:sz w:val="18"/>
          <w:szCs w:val="18"/>
          <w:lang w:val="en-US"/>
        </w:rPr>
        <w:t>endeavours</w:t>
      </w:r>
      <w:r w:rsidRPr="005B5602">
        <w:rPr>
          <w:rFonts w:cs="Arial"/>
          <w:sz w:val="18"/>
          <w:szCs w:val="18"/>
          <w:lang w:val="en-US"/>
        </w:rPr>
        <w:t xml:space="preserve"> to obtain the additional funds required.</w:t>
      </w:r>
    </w:p>
    <w:p w14:paraId="63825DC7" w14:textId="77777777" w:rsidR="00E1433A" w:rsidRPr="005B5602" w:rsidRDefault="00E1433A" w:rsidP="007D6892">
      <w:pPr>
        <w:numPr>
          <w:ilvl w:val="0"/>
          <w:numId w:val="17"/>
        </w:numPr>
        <w:tabs>
          <w:tab w:val="left" w:pos="-720"/>
          <w:tab w:val="num" w:pos="720"/>
        </w:tabs>
        <w:suppressAutoHyphens/>
        <w:autoSpaceDE w:val="0"/>
        <w:autoSpaceDN w:val="0"/>
        <w:adjustRightInd w:val="0"/>
        <w:jc w:val="left"/>
        <w:rPr>
          <w:rFonts w:cs="Arial"/>
          <w:spacing w:val="-2"/>
          <w:sz w:val="18"/>
          <w:szCs w:val="18"/>
          <w:lang w:val="en-US"/>
        </w:rPr>
      </w:pPr>
      <w:r w:rsidRPr="005B5602">
        <w:rPr>
          <w:rFonts w:cs="Arial"/>
          <w:sz w:val="18"/>
          <w:szCs w:val="18"/>
          <w:lang w:val="en-US"/>
        </w:rPr>
        <w:t>If the payments referred above are not received in accordance with the payment schedule, or if the additional financing required in accordance with paragraph (  ) above is not forthcoming from the Government or other sources, the assistance to be provided to the project under this Agreement may be reduced, suspended or terminated by UNDP.</w:t>
      </w:r>
      <w:r w:rsidRPr="005B5602">
        <w:rPr>
          <w:rFonts w:cs="Arial"/>
          <w:spacing w:val="-2"/>
          <w:sz w:val="18"/>
          <w:szCs w:val="18"/>
          <w:lang w:val="en-US"/>
        </w:rPr>
        <w:t xml:space="preserve">  </w:t>
      </w:r>
    </w:p>
    <w:p w14:paraId="1B548385" w14:textId="77777777" w:rsidR="00E1433A" w:rsidRPr="005B5602" w:rsidRDefault="00E1433A" w:rsidP="007D6892">
      <w:pPr>
        <w:numPr>
          <w:ilvl w:val="0"/>
          <w:numId w:val="17"/>
        </w:numPr>
        <w:tabs>
          <w:tab w:val="left" w:pos="-720"/>
          <w:tab w:val="num" w:pos="720"/>
        </w:tabs>
        <w:suppressAutoHyphens/>
        <w:autoSpaceDE w:val="0"/>
        <w:autoSpaceDN w:val="0"/>
        <w:adjustRightInd w:val="0"/>
        <w:jc w:val="left"/>
        <w:rPr>
          <w:rFonts w:cs="Arial"/>
          <w:spacing w:val="-2"/>
          <w:sz w:val="18"/>
          <w:szCs w:val="18"/>
          <w:lang w:val="en-US"/>
        </w:rPr>
      </w:pPr>
      <w:r w:rsidRPr="005B5602">
        <w:rPr>
          <w:rFonts w:cs="Arial"/>
          <w:sz w:val="18"/>
          <w:szCs w:val="18"/>
          <w:lang w:val="en-US"/>
        </w:rPr>
        <w:t xml:space="preserve">Any interest income attributable to the contribution shall be credited to UNDP Account and shall be utilized in accordance with established UNDP procedures. </w:t>
      </w:r>
    </w:p>
    <w:p w14:paraId="14465232" w14:textId="77777777" w:rsidR="00E1433A" w:rsidRPr="005B5602" w:rsidRDefault="00E1433A" w:rsidP="00E1433A">
      <w:pPr>
        <w:pStyle w:val="Footer"/>
        <w:tabs>
          <w:tab w:val="clear" w:pos="4153"/>
          <w:tab w:val="clear" w:pos="8306"/>
          <w:tab w:val="left" w:pos="-720"/>
          <w:tab w:val="num" w:pos="720"/>
        </w:tabs>
        <w:suppressAutoHyphens/>
        <w:jc w:val="left"/>
        <w:rPr>
          <w:rFonts w:cs="Arial"/>
          <w:sz w:val="18"/>
          <w:szCs w:val="18"/>
          <w:lang w:val="en-US"/>
        </w:rPr>
      </w:pPr>
    </w:p>
    <w:p w14:paraId="68CC0993" w14:textId="77777777" w:rsidR="00E1433A" w:rsidRPr="005B5602" w:rsidRDefault="00E1433A" w:rsidP="00E1433A">
      <w:pPr>
        <w:pStyle w:val="Footer"/>
        <w:tabs>
          <w:tab w:val="clear" w:pos="4153"/>
          <w:tab w:val="clear" w:pos="8306"/>
          <w:tab w:val="left" w:pos="-720"/>
          <w:tab w:val="num" w:pos="720"/>
        </w:tabs>
        <w:suppressAutoHyphens/>
        <w:jc w:val="left"/>
        <w:rPr>
          <w:rFonts w:cs="Arial"/>
          <w:spacing w:val="-2"/>
          <w:sz w:val="18"/>
          <w:szCs w:val="18"/>
          <w:lang w:val="en-US"/>
        </w:rPr>
      </w:pPr>
      <w:r w:rsidRPr="005B5602">
        <w:rPr>
          <w:rFonts w:cs="Arial"/>
          <w:spacing w:val="-2"/>
          <w:sz w:val="18"/>
          <w:szCs w:val="18"/>
          <w:lang w:val="en-US"/>
        </w:rPr>
        <w:t>In accordance with the decisions and directives of UNDP's Executive Board:</w:t>
      </w:r>
    </w:p>
    <w:p w14:paraId="76983C31" w14:textId="77777777" w:rsidR="00E1433A" w:rsidRPr="005B5602" w:rsidRDefault="00E1433A" w:rsidP="00E1433A">
      <w:pPr>
        <w:tabs>
          <w:tab w:val="left" w:pos="-720"/>
          <w:tab w:val="num" w:pos="720"/>
        </w:tabs>
        <w:suppressAutoHyphens/>
        <w:ind w:left="720"/>
        <w:jc w:val="left"/>
        <w:rPr>
          <w:rFonts w:cs="Arial"/>
          <w:spacing w:val="-2"/>
          <w:sz w:val="18"/>
          <w:szCs w:val="18"/>
          <w:lang w:val="en-US"/>
        </w:rPr>
      </w:pPr>
      <w:r w:rsidRPr="005B5602">
        <w:rPr>
          <w:rFonts w:cs="Arial"/>
          <w:spacing w:val="-2"/>
          <w:sz w:val="18"/>
          <w:szCs w:val="18"/>
          <w:lang w:val="en-US"/>
        </w:rPr>
        <w:t>The contribution shall be charged:</w:t>
      </w:r>
    </w:p>
    <w:p w14:paraId="494A244D" w14:textId="77777777" w:rsidR="00E1433A" w:rsidRPr="005B5602" w:rsidRDefault="00E1433A" w:rsidP="007D6892">
      <w:pPr>
        <w:numPr>
          <w:ilvl w:val="0"/>
          <w:numId w:val="4"/>
        </w:numPr>
        <w:tabs>
          <w:tab w:val="clear" w:pos="1080"/>
          <w:tab w:val="left" w:pos="-720"/>
          <w:tab w:val="num" w:pos="1440"/>
        </w:tabs>
        <w:suppressAutoHyphens/>
        <w:ind w:left="1440" w:hanging="720"/>
        <w:jc w:val="left"/>
        <w:rPr>
          <w:rFonts w:cs="Arial"/>
          <w:spacing w:val="-2"/>
          <w:sz w:val="18"/>
          <w:szCs w:val="18"/>
          <w:lang w:val="en-US"/>
        </w:rPr>
      </w:pPr>
      <w:r w:rsidRPr="005B5602">
        <w:rPr>
          <w:rFonts w:cs="Arial"/>
          <w:spacing w:val="-2"/>
          <w:sz w:val="18"/>
          <w:szCs w:val="18"/>
          <w:lang w:val="en-US"/>
        </w:rPr>
        <w:t>[…%]cost recovery for the provision of general management support (GMS) by UNDP headquarters and country offices</w:t>
      </w:r>
    </w:p>
    <w:p w14:paraId="3C5F8B98" w14:textId="77777777" w:rsidR="00E1433A" w:rsidRPr="005B5602" w:rsidRDefault="00E1433A" w:rsidP="007D6892">
      <w:pPr>
        <w:numPr>
          <w:ilvl w:val="0"/>
          <w:numId w:val="4"/>
        </w:numPr>
        <w:tabs>
          <w:tab w:val="clear" w:pos="1080"/>
          <w:tab w:val="left" w:pos="-720"/>
          <w:tab w:val="num" w:pos="1440"/>
        </w:tabs>
        <w:suppressAutoHyphens/>
        <w:ind w:left="1440" w:hanging="720"/>
        <w:jc w:val="left"/>
        <w:rPr>
          <w:rFonts w:cs="Arial"/>
          <w:spacing w:val="-2"/>
          <w:sz w:val="18"/>
          <w:szCs w:val="18"/>
          <w:lang w:val="en-US"/>
        </w:rPr>
      </w:pPr>
      <w:r w:rsidRPr="005B5602">
        <w:rPr>
          <w:rFonts w:cs="Arial"/>
          <w:spacing w:val="-2"/>
          <w:sz w:val="18"/>
          <w:szCs w:val="18"/>
          <w:lang w:val="en-US"/>
        </w:rPr>
        <w:t>Direct cost for implementation support services (ISS) provided by UNDP and/or an executing entity/implementing partner.</w:t>
      </w:r>
    </w:p>
    <w:p w14:paraId="387B1618" w14:textId="77777777" w:rsidR="00E1433A" w:rsidRPr="005B5602" w:rsidRDefault="00E1433A" w:rsidP="00E1433A">
      <w:pPr>
        <w:tabs>
          <w:tab w:val="left" w:pos="-720"/>
        </w:tabs>
        <w:suppressAutoHyphens/>
        <w:jc w:val="left"/>
        <w:rPr>
          <w:rFonts w:cs="Arial"/>
          <w:spacing w:val="-2"/>
          <w:sz w:val="18"/>
          <w:szCs w:val="18"/>
          <w:lang w:val="en-US"/>
        </w:rPr>
      </w:pPr>
    </w:p>
    <w:p w14:paraId="650B6252" w14:textId="77777777" w:rsidR="00E1433A" w:rsidRPr="005B5602" w:rsidRDefault="00E1433A" w:rsidP="007D6892">
      <w:pPr>
        <w:numPr>
          <w:ilvl w:val="0"/>
          <w:numId w:val="17"/>
        </w:numPr>
        <w:tabs>
          <w:tab w:val="left" w:pos="-720"/>
          <w:tab w:val="num" w:pos="720"/>
        </w:tabs>
        <w:suppressAutoHyphens/>
        <w:jc w:val="left"/>
        <w:rPr>
          <w:rFonts w:cs="Arial"/>
          <w:sz w:val="18"/>
          <w:szCs w:val="18"/>
          <w:lang w:val="en-US"/>
        </w:rPr>
      </w:pPr>
      <w:r w:rsidRPr="005B5602">
        <w:rPr>
          <w:rFonts w:cs="Arial"/>
          <w:spacing w:val="-2"/>
          <w:sz w:val="18"/>
          <w:szCs w:val="18"/>
          <w:lang w:val="en-US"/>
        </w:rPr>
        <w:t xml:space="preserve">Ownership of equipment, supplies and other properties financed from the contribution shall vest in UNDP.  Matters relating to the transfer of ownership by UNDP shall be determined in accordance with the relevant policies and procedures of UNDP.  </w:t>
      </w:r>
    </w:p>
    <w:p w14:paraId="00C7C832" w14:textId="77777777" w:rsidR="00E1433A" w:rsidRPr="006D5FDB" w:rsidRDefault="00E1433A" w:rsidP="007D6892">
      <w:pPr>
        <w:numPr>
          <w:ilvl w:val="0"/>
          <w:numId w:val="17"/>
        </w:numPr>
        <w:tabs>
          <w:tab w:val="left" w:pos="-720"/>
          <w:tab w:val="num" w:pos="720"/>
        </w:tabs>
        <w:suppressAutoHyphens/>
        <w:jc w:val="left"/>
        <w:rPr>
          <w:rFonts w:cs="Arial"/>
          <w:sz w:val="18"/>
          <w:szCs w:val="18"/>
          <w:lang w:val="en-US"/>
        </w:rPr>
      </w:pPr>
      <w:r w:rsidRPr="005B5602">
        <w:rPr>
          <w:rFonts w:cs="Arial"/>
          <w:spacing w:val="-2"/>
          <w:sz w:val="18"/>
          <w:szCs w:val="18"/>
          <w:lang w:val="en-US"/>
        </w:rPr>
        <w:t>The contribution shall be subject exclusively to the internal and external auditing procedures provided for in the financial regulations, rules and directives of UNDP.</w:t>
      </w:r>
    </w:p>
    <w:p w14:paraId="0B57E8EE" w14:textId="77777777" w:rsidR="006D5FDB" w:rsidRPr="005B5602" w:rsidRDefault="006D5FDB" w:rsidP="006D5FDB">
      <w:pPr>
        <w:tabs>
          <w:tab w:val="left" w:pos="-720"/>
        </w:tabs>
        <w:suppressAutoHyphens/>
        <w:jc w:val="left"/>
        <w:rPr>
          <w:rFonts w:cs="Arial"/>
          <w:sz w:val="18"/>
          <w:szCs w:val="18"/>
          <w:lang w:val="en-US"/>
        </w:rPr>
      </w:pPr>
    </w:p>
    <w:p w14:paraId="468F9FDE" w14:textId="77777777" w:rsidR="006D5FDB" w:rsidRDefault="006D5FDB" w:rsidP="00E1433A">
      <w:pPr>
        <w:jc w:val="left"/>
        <w:rPr>
          <w:rFonts w:cs="Arial"/>
          <w:sz w:val="18"/>
          <w:szCs w:val="18"/>
          <w:lang w:val="en-US"/>
        </w:rPr>
        <w:sectPr w:rsidR="006D5FDB" w:rsidSect="009B7E75">
          <w:headerReference w:type="default" r:id="rId41"/>
          <w:footerReference w:type="default" r:id="rId42"/>
          <w:pgSz w:w="12240" w:h="15840" w:code="1"/>
          <w:pgMar w:top="1440" w:right="1440" w:bottom="1440" w:left="1440" w:header="720" w:footer="720" w:gutter="0"/>
          <w:cols w:space="720"/>
          <w:docGrid w:linePitch="360"/>
        </w:sectPr>
      </w:pPr>
    </w:p>
    <w:p w14:paraId="0EF4EFD7" w14:textId="77777777" w:rsidR="00E1433A" w:rsidRPr="006D5FDB" w:rsidRDefault="006D5FDB" w:rsidP="006D5FDB">
      <w:pPr>
        <w:pStyle w:val="Heading1"/>
        <w:numPr>
          <w:ilvl w:val="0"/>
          <w:numId w:val="0"/>
        </w:numPr>
        <w:ind w:left="432" w:hanging="432"/>
        <w:rPr>
          <w:caps/>
          <w:smallCaps w:val="0"/>
          <w:lang w:val="en-US"/>
        </w:rPr>
      </w:pPr>
      <w:bookmarkStart w:id="94" w:name="_Toc393449014"/>
      <w:r w:rsidRPr="006D5FDB">
        <w:rPr>
          <w:caps/>
          <w:smallCaps w:val="0"/>
          <w:lang w:val="en-US"/>
        </w:rPr>
        <w:t>Annex A: Urban Modernization</w:t>
      </w:r>
      <w:r>
        <w:rPr>
          <w:caps/>
          <w:smallCaps w:val="0"/>
          <w:lang w:val="en-US"/>
        </w:rPr>
        <w:t xml:space="preserve"> IN KAZAKHSTAN</w:t>
      </w:r>
      <w:r w:rsidRPr="006D5FDB">
        <w:rPr>
          <w:caps/>
          <w:smallCaps w:val="0"/>
          <w:lang w:val="en-US"/>
        </w:rPr>
        <w:t xml:space="preserve"> Problem Tree</w:t>
      </w:r>
      <w:bookmarkEnd w:id="94"/>
    </w:p>
    <w:p w14:paraId="65A1C15A" w14:textId="77777777" w:rsidR="006D5FDB" w:rsidRDefault="006D5FDB" w:rsidP="00E1433A">
      <w:pPr>
        <w:jc w:val="left"/>
        <w:rPr>
          <w:rFonts w:cs="Arial"/>
          <w:sz w:val="18"/>
          <w:szCs w:val="18"/>
          <w:lang w:val="en-US"/>
        </w:rPr>
      </w:pPr>
      <w:r>
        <w:rPr>
          <w:rFonts w:cs="Arial"/>
          <w:noProof/>
          <w:sz w:val="18"/>
          <w:szCs w:val="18"/>
          <w:lang w:val="en-US"/>
        </w:rPr>
        <w:drawing>
          <wp:inline distT="0" distB="0" distL="0" distR="0" wp14:anchorId="56A5968B" wp14:editId="298D3EEB">
            <wp:extent cx="8229600" cy="5534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z Urban Problem Tree.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8229600" cy="5534025"/>
                    </a:xfrm>
                    <a:prstGeom prst="rect">
                      <a:avLst/>
                    </a:prstGeom>
                  </pic:spPr>
                </pic:pic>
              </a:graphicData>
            </a:graphic>
          </wp:inline>
        </w:drawing>
      </w:r>
    </w:p>
    <w:p w14:paraId="09838705" w14:textId="77777777" w:rsidR="006D5FDB" w:rsidRDefault="006D5FDB" w:rsidP="00E1433A">
      <w:pPr>
        <w:jc w:val="left"/>
        <w:rPr>
          <w:rFonts w:cs="Arial"/>
          <w:sz w:val="18"/>
          <w:szCs w:val="18"/>
          <w:lang w:val="en-US"/>
        </w:rPr>
        <w:sectPr w:rsidR="006D5FDB" w:rsidSect="009B7E75">
          <w:pgSz w:w="15840" w:h="12240" w:orient="landscape" w:code="1"/>
          <w:pgMar w:top="1440" w:right="1440" w:bottom="1440" w:left="1440" w:header="720" w:footer="720" w:gutter="0"/>
          <w:cols w:space="720"/>
          <w:docGrid w:linePitch="360"/>
        </w:sectPr>
      </w:pPr>
    </w:p>
    <w:p w14:paraId="15DF7ED2" w14:textId="77777777" w:rsidR="006D5FDB" w:rsidRDefault="002C4C59" w:rsidP="002C4C59">
      <w:pPr>
        <w:pStyle w:val="Heading1"/>
        <w:numPr>
          <w:ilvl w:val="0"/>
          <w:numId w:val="0"/>
        </w:numPr>
        <w:ind w:left="432" w:hanging="432"/>
        <w:rPr>
          <w:caps/>
          <w:smallCaps w:val="0"/>
          <w:lang w:val="en-US"/>
        </w:rPr>
      </w:pPr>
      <w:bookmarkStart w:id="95" w:name="_Toc393449015"/>
      <w:r w:rsidRPr="002C4C59">
        <w:rPr>
          <w:caps/>
          <w:smallCaps w:val="0"/>
          <w:lang w:val="en-US"/>
        </w:rPr>
        <w:t>Annex B: ESCO</w:t>
      </w:r>
      <w:r w:rsidR="00CB7C6B">
        <w:rPr>
          <w:caps/>
          <w:smallCaps w:val="0"/>
          <w:lang w:val="en-US"/>
        </w:rPr>
        <w:t>s</w:t>
      </w:r>
      <w:bookmarkEnd w:id="95"/>
    </w:p>
    <w:p w14:paraId="3A10F403" w14:textId="77777777" w:rsidR="002C4C59" w:rsidRDefault="002C4C59" w:rsidP="002C4C59">
      <w:pPr>
        <w:rPr>
          <w:rFonts w:cs="Arial"/>
        </w:rPr>
      </w:pPr>
      <w:r>
        <w:rPr>
          <w:rFonts w:cs="Arial"/>
        </w:rPr>
        <w:t xml:space="preserve">The only </w:t>
      </w:r>
      <w:r w:rsidRPr="007C621F">
        <w:rPr>
          <w:rFonts w:cs="Arial"/>
        </w:rPr>
        <w:t>operating ESCO</w:t>
      </w:r>
      <w:r>
        <w:rPr>
          <w:rFonts w:cs="Arial"/>
        </w:rPr>
        <w:t xml:space="preserve"> in Kazakhstan is a</w:t>
      </w:r>
      <w:r w:rsidRPr="007C621F">
        <w:rPr>
          <w:rFonts w:cs="Arial"/>
        </w:rPr>
        <w:t xml:space="preserve"> private ESCO in Karaganda</w:t>
      </w:r>
      <w:r>
        <w:rPr>
          <w:rFonts w:cs="Arial"/>
        </w:rPr>
        <w:t xml:space="preserve"> that was</w:t>
      </w:r>
      <w:r w:rsidRPr="007C621F">
        <w:rPr>
          <w:rFonts w:cs="Arial"/>
        </w:rPr>
        <w:t xml:space="preserve"> </w:t>
      </w:r>
      <w:r>
        <w:rPr>
          <w:rFonts w:cs="Arial"/>
        </w:rPr>
        <w:t xml:space="preserve">created by a private company “Ergonomika” LLC. A number of </w:t>
      </w:r>
      <w:r w:rsidRPr="007C621F">
        <w:rPr>
          <w:rFonts w:cs="Arial"/>
        </w:rPr>
        <w:t>engineer</w:t>
      </w:r>
      <w:r>
        <w:rPr>
          <w:rFonts w:cs="Arial"/>
        </w:rPr>
        <w:t xml:space="preserve">ing consulting companies focusing mainly on </w:t>
      </w:r>
      <w:r w:rsidRPr="007C621F">
        <w:rPr>
          <w:rFonts w:cs="Arial"/>
        </w:rPr>
        <w:t>energy efficiency</w:t>
      </w:r>
      <w:r>
        <w:rPr>
          <w:rFonts w:cs="Arial"/>
        </w:rPr>
        <w:t xml:space="preserve"> </w:t>
      </w:r>
      <w:r w:rsidRPr="007C621F">
        <w:rPr>
          <w:rFonts w:cs="Arial"/>
        </w:rPr>
        <w:t xml:space="preserve">in </w:t>
      </w:r>
      <w:r>
        <w:rPr>
          <w:rFonts w:cs="Arial"/>
        </w:rPr>
        <w:t xml:space="preserve">the </w:t>
      </w:r>
      <w:r w:rsidRPr="007C621F">
        <w:rPr>
          <w:rFonts w:cs="Arial"/>
        </w:rPr>
        <w:t xml:space="preserve">industrial </w:t>
      </w:r>
      <w:r>
        <w:rPr>
          <w:rFonts w:cs="Arial"/>
        </w:rPr>
        <w:t>sector also exist but they do not operate at present with performance contracting</w:t>
      </w:r>
      <w:r w:rsidRPr="007C621F">
        <w:rPr>
          <w:rFonts w:cs="Arial"/>
        </w:rPr>
        <w:t>.</w:t>
      </w:r>
    </w:p>
    <w:p w14:paraId="376DF9FF" w14:textId="77777777" w:rsidR="002C4C59" w:rsidRDefault="002C4C59" w:rsidP="002C4C59">
      <w:pPr>
        <w:rPr>
          <w:rFonts w:cs="Arial"/>
        </w:rPr>
      </w:pPr>
    </w:p>
    <w:p w14:paraId="111C7C7D" w14:textId="77777777" w:rsidR="002C4C59" w:rsidRDefault="002C4C59" w:rsidP="002C4C59">
      <w:pPr>
        <w:rPr>
          <w:rFonts w:cs="Arial"/>
        </w:rPr>
      </w:pPr>
      <w:r>
        <w:rPr>
          <w:rFonts w:cs="Arial"/>
        </w:rPr>
        <w:t xml:space="preserve">The city of Karaganda suffers from a large heat deficit, which is over 250 Gcal per hour. This certainly undermines the reliability of the city’s heat supply system. In this context, in 2009, a </w:t>
      </w:r>
      <w:r w:rsidRPr="00E45969">
        <w:rPr>
          <w:rFonts w:cs="Arial"/>
        </w:rPr>
        <w:t>private comp</w:t>
      </w:r>
      <w:r>
        <w:rPr>
          <w:rFonts w:cs="Arial"/>
        </w:rPr>
        <w:t xml:space="preserve">any “Ergonomika” LLC established a subsidiary energy service company to target energy efficiency in </w:t>
      </w:r>
      <w:r w:rsidRPr="00E45969">
        <w:rPr>
          <w:rFonts w:cs="Arial"/>
        </w:rPr>
        <w:t xml:space="preserve">residential </w:t>
      </w:r>
      <w:r>
        <w:rPr>
          <w:rFonts w:cs="Arial"/>
        </w:rPr>
        <w:t>buildings</w:t>
      </w:r>
      <w:r w:rsidRPr="00E45969">
        <w:rPr>
          <w:rFonts w:cs="Arial"/>
        </w:rPr>
        <w:t xml:space="preserve"> </w:t>
      </w:r>
      <w:r>
        <w:rPr>
          <w:rFonts w:cs="Arial"/>
        </w:rPr>
        <w:t xml:space="preserve">in the city of Karaganda. Being the first of its kind, Ergonomika LLC received extensive support from </w:t>
      </w:r>
      <w:r w:rsidRPr="00E45969">
        <w:rPr>
          <w:rFonts w:cs="Arial"/>
        </w:rPr>
        <w:t xml:space="preserve">local authorities </w:t>
      </w:r>
      <w:r>
        <w:rPr>
          <w:rFonts w:cs="Arial"/>
        </w:rPr>
        <w:t xml:space="preserve">as well as </w:t>
      </w:r>
      <w:r w:rsidRPr="00E45969">
        <w:rPr>
          <w:rFonts w:cs="Arial"/>
        </w:rPr>
        <w:t xml:space="preserve">financial </w:t>
      </w:r>
      <w:r>
        <w:rPr>
          <w:rFonts w:cs="Arial"/>
        </w:rPr>
        <w:t xml:space="preserve">and technical </w:t>
      </w:r>
      <w:r w:rsidRPr="00E45969">
        <w:rPr>
          <w:rFonts w:cs="Arial"/>
        </w:rPr>
        <w:t xml:space="preserve">support of </w:t>
      </w:r>
      <w:r>
        <w:rPr>
          <w:rFonts w:cs="Arial"/>
        </w:rPr>
        <w:t xml:space="preserve">the </w:t>
      </w:r>
      <w:r w:rsidRPr="00E45969">
        <w:rPr>
          <w:rFonts w:cs="Arial"/>
        </w:rPr>
        <w:t>UNDP/GEF project</w:t>
      </w:r>
      <w:r>
        <w:rPr>
          <w:rFonts w:cs="Arial"/>
        </w:rPr>
        <w:t xml:space="preserve"> on “</w:t>
      </w:r>
      <w:r w:rsidRPr="007C621F">
        <w:rPr>
          <w:rFonts w:cs="Arial"/>
        </w:rPr>
        <w:t xml:space="preserve">Removing barriers to energy efficiency </w:t>
      </w:r>
      <w:r>
        <w:rPr>
          <w:rFonts w:cs="Arial"/>
        </w:rPr>
        <w:t>in</w:t>
      </w:r>
      <w:r w:rsidRPr="007C621F">
        <w:rPr>
          <w:rFonts w:cs="Arial"/>
        </w:rPr>
        <w:t xml:space="preserve"> municipal heat a</w:t>
      </w:r>
      <w:r>
        <w:rPr>
          <w:rFonts w:cs="Arial"/>
        </w:rPr>
        <w:t>nd hot water supply”</w:t>
      </w:r>
      <w:r w:rsidRPr="00E45969">
        <w:rPr>
          <w:rFonts w:cs="Arial"/>
        </w:rPr>
        <w:t xml:space="preserve">. During </w:t>
      </w:r>
      <w:r>
        <w:rPr>
          <w:rFonts w:cs="Arial"/>
        </w:rPr>
        <w:t xml:space="preserve">the first </w:t>
      </w:r>
      <w:r w:rsidRPr="00E45969">
        <w:rPr>
          <w:rFonts w:cs="Arial"/>
        </w:rPr>
        <w:t>two years, ESCO</w:t>
      </w:r>
      <w:r>
        <w:rPr>
          <w:rFonts w:cs="Arial"/>
        </w:rPr>
        <w:t>-Karaganda</w:t>
      </w:r>
      <w:r w:rsidRPr="00E45969">
        <w:rPr>
          <w:rFonts w:cs="Arial"/>
        </w:rPr>
        <w:t xml:space="preserve"> performed several pilot projects on energy saving</w:t>
      </w:r>
      <w:r>
        <w:rPr>
          <w:rFonts w:cs="Arial"/>
        </w:rPr>
        <w:t>,</w:t>
      </w:r>
      <w:r w:rsidRPr="00E45969">
        <w:rPr>
          <w:rFonts w:cs="Arial"/>
        </w:rPr>
        <w:t xml:space="preserve"> </w:t>
      </w:r>
      <w:r>
        <w:rPr>
          <w:rFonts w:cs="Arial"/>
        </w:rPr>
        <w:t>including</w:t>
      </w:r>
      <w:r w:rsidRPr="00E45969">
        <w:rPr>
          <w:rFonts w:cs="Arial"/>
        </w:rPr>
        <w:t xml:space="preserve"> energy audit</w:t>
      </w:r>
      <w:r>
        <w:rPr>
          <w:rFonts w:cs="Arial"/>
        </w:rPr>
        <w:t>s</w:t>
      </w:r>
      <w:r w:rsidRPr="00E45969">
        <w:rPr>
          <w:rFonts w:cs="Arial"/>
        </w:rPr>
        <w:t xml:space="preserve"> of </w:t>
      </w:r>
      <w:r>
        <w:rPr>
          <w:rFonts w:cs="Arial"/>
        </w:rPr>
        <w:t xml:space="preserve">residential </w:t>
      </w:r>
      <w:r w:rsidRPr="00E45969">
        <w:rPr>
          <w:rFonts w:cs="Arial"/>
        </w:rPr>
        <w:t xml:space="preserve">buildings, installation of metering devices and automatic heat consumption control systems. </w:t>
      </w:r>
      <w:r>
        <w:rPr>
          <w:rFonts w:cs="Arial"/>
        </w:rPr>
        <w:t>In five pilot residential buildings, in particular, ESCO-Karaganda upgraded heat points and installed balancing valves on heat supply pipes. While the design and implementation of such technical measures went flawlessly, ESCO-Karaganda faced a number of institutional issues in implementing this new institutional setup for energy efficiency.</w:t>
      </w:r>
    </w:p>
    <w:p w14:paraId="0CE07A84" w14:textId="77777777" w:rsidR="002C4C59" w:rsidRDefault="002C4C59" w:rsidP="002C4C59">
      <w:pPr>
        <w:rPr>
          <w:rFonts w:cs="Arial"/>
        </w:rPr>
      </w:pPr>
    </w:p>
    <w:p w14:paraId="1AC8C8C9" w14:textId="77777777" w:rsidR="002C4C59" w:rsidRDefault="002C4C59" w:rsidP="002C4C59">
      <w:pPr>
        <w:rPr>
          <w:rFonts w:cs="Arial"/>
        </w:rPr>
      </w:pPr>
      <w:r w:rsidRPr="00E45969">
        <w:rPr>
          <w:rFonts w:cs="Arial"/>
        </w:rPr>
        <w:t xml:space="preserve">It took time to agree </w:t>
      </w:r>
      <w:r>
        <w:rPr>
          <w:rFonts w:cs="Arial"/>
        </w:rPr>
        <w:t>on a type of agreement</w:t>
      </w:r>
      <w:r w:rsidRPr="00E45969">
        <w:rPr>
          <w:rFonts w:cs="Arial"/>
        </w:rPr>
        <w:t xml:space="preserve"> for </w:t>
      </w:r>
      <w:r>
        <w:rPr>
          <w:rFonts w:cs="Arial"/>
        </w:rPr>
        <w:t>energy service</w:t>
      </w:r>
      <w:r w:rsidRPr="00E45969">
        <w:rPr>
          <w:rFonts w:cs="Arial"/>
        </w:rPr>
        <w:t xml:space="preserve"> delivery </w:t>
      </w:r>
      <w:r>
        <w:rPr>
          <w:rFonts w:cs="Arial"/>
        </w:rPr>
        <w:t xml:space="preserve">with Karaganda akimat, the </w:t>
      </w:r>
      <w:r w:rsidR="00EC59C1" w:rsidRPr="00EC59C1">
        <w:rPr>
          <w:rFonts w:cs="Arial"/>
        </w:rPr>
        <w:t>Agency on Regula</w:t>
      </w:r>
      <w:r w:rsidR="00EC59C1">
        <w:rPr>
          <w:rFonts w:cs="Arial"/>
        </w:rPr>
        <w:t>tion of Natural Monopolies</w:t>
      </w:r>
      <w:r>
        <w:rPr>
          <w:rFonts w:cs="Arial"/>
        </w:rPr>
        <w:t>, the heat supply company and cooperatives of apartment owners (CAOs)</w:t>
      </w:r>
      <w:r w:rsidRPr="00E45969">
        <w:rPr>
          <w:rFonts w:cs="Arial"/>
        </w:rPr>
        <w:t xml:space="preserve">. </w:t>
      </w:r>
      <w:r>
        <w:rPr>
          <w:rFonts w:cs="Arial"/>
        </w:rPr>
        <w:t xml:space="preserve">The initially proposed </w:t>
      </w:r>
      <w:r w:rsidRPr="00E45969">
        <w:rPr>
          <w:rFonts w:cs="Arial"/>
        </w:rPr>
        <w:t xml:space="preserve">agreement where </w:t>
      </w:r>
      <w:r>
        <w:rPr>
          <w:rFonts w:cs="Arial"/>
        </w:rPr>
        <w:t>the heat supply company would pay</w:t>
      </w:r>
      <w:r w:rsidRPr="00E45969">
        <w:rPr>
          <w:rFonts w:cs="Arial"/>
        </w:rPr>
        <w:t xml:space="preserve"> ESCO</w:t>
      </w:r>
      <w:r>
        <w:rPr>
          <w:rFonts w:cs="Arial"/>
        </w:rPr>
        <w:t>-Karaganda</w:t>
      </w:r>
      <w:r w:rsidRPr="00E45969">
        <w:rPr>
          <w:rFonts w:cs="Arial"/>
        </w:rPr>
        <w:t xml:space="preserve"> directly for </w:t>
      </w:r>
      <w:r>
        <w:rPr>
          <w:rFonts w:cs="Arial"/>
        </w:rPr>
        <w:t xml:space="preserve">provided </w:t>
      </w:r>
      <w:r w:rsidRPr="00E45969">
        <w:rPr>
          <w:rFonts w:cs="Arial"/>
        </w:rPr>
        <w:t>energy saving services was rejected</w:t>
      </w:r>
      <w:r>
        <w:rPr>
          <w:rFonts w:cs="Arial"/>
        </w:rPr>
        <w:t xml:space="preserve"> because of a possible risk that the heat supply company could refuse to transfer realized savings to the ESCO’s account</w:t>
      </w:r>
      <w:r w:rsidRPr="00E45969">
        <w:rPr>
          <w:rFonts w:cs="Arial"/>
        </w:rPr>
        <w:t xml:space="preserve">. </w:t>
      </w:r>
      <w:r>
        <w:rPr>
          <w:rFonts w:cs="Arial"/>
        </w:rPr>
        <w:t xml:space="preserve">Another business model was implemented that required ESCO-Karaganda to conclude an agreement with the CAO. In this case, the CAO should get approval from all residents in the building before signing the agreement, which increases transaction costs for ESCO. </w:t>
      </w:r>
    </w:p>
    <w:p w14:paraId="23CB8EA7" w14:textId="77777777" w:rsidR="002C4C59" w:rsidRDefault="002C4C59" w:rsidP="002C4C59">
      <w:pPr>
        <w:rPr>
          <w:rFonts w:cs="Arial"/>
        </w:rPr>
      </w:pPr>
    </w:p>
    <w:p w14:paraId="532C6905" w14:textId="77777777" w:rsidR="002C4C59" w:rsidRDefault="002C4C59" w:rsidP="002C4C59">
      <w:pPr>
        <w:rPr>
          <w:rFonts w:cs="Arial"/>
        </w:rPr>
      </w:pPr>
      <w:r>
        <w:rPr>
          <w:rFonts w:cs="Arial"/>
        </w:rPr>
        <w:t>A major bulk of work for ESCO, however, happened after all technical components had been complemented. Residents of pilot buildings started expressing complains either about lower temperatures or higher bills, and ESCO had no grievance redress mechanism established at the moment to properly address such grievances. The situation also affected Ergonomika’s motivation since the company overlooked the fact that it would need to deal with multiple end-users and underestimated the level of work and expertise need to respond to all incoming grievances.</w:t>
      </w:r>
    </w:p>
    <w:p w14:paraId="69C5C22D" w14:textId="77777777" w:rsidR="002C4C59" w:rsidRDefault="002C4C59" w:rsidP="002C4C59">
      <w:pPr>
        <w:rPr>
          <w:rFonts w:cs="Arial"/>
        </w:rPr>
      </w:pPr>
    </w:p>
    <w:p w14:paraId="62B71E9F" w14:textId="77777777" w:rsidR="002C4C59" w:rsidRPr="00E45969" w:rsidRDefault="002C4C59" w:rsidP="002C4C59">
      <w:pPr>
        <w:rPr>
          <w:rFonts w:cs="Arial"/>
        </w:rPr>
      </w:pPr>
      <w:r>
        <w:rPr>
          <w:rFonts w:cs="Arial"/>
        </w:rPr>
        <w:t xml:space="preserve">Also, </w:t>
      </w:r>
      <w:r w:rsidRPr="00E45969">
        <w:rPr>
          <w:rFonts w:cs="Arial"/>
        </w:rPr>
        <w:t>ESCO</w:t>
      </w:r>
      <w:r>
        <w:rPr>
          <w:rFonts w:cs="Arial"/>
        </w:rPr>
        <w:t>-Karaganda</w:t>
      </w:r>
      <w:r w:rsidRPr="00E45969">
        <w:rPr>
          <w:rFonts w:cs="Arial"/>
        </w:rPr>
        <w:t xml:space="preserve"> faced difficulties</w:t>
      </w:r>
      <w:r>
        <w:rPr>
          <w:rFonts w:cs="Arial"/>
        </w:rPr>
        <w:t xml:space="preserve"> when marketing its services to residential</w:t>
      </w:r>
      <w:r w:rsidRPr="00E45969">
        <w:rPr>
          <w:rFonts w:cs="Arial"/>
        </w:rPr>
        <w:t xml:space="preserve"> buildings. This </w:t>
      </w:r>
      <w:r>
        <w:rPr>
          <w:rFonts w:cs="Arial"/>
        </w:rPr>
        <w:t>relates to</w:t>
      </w:r>
      <w:r w:rsidRPr="00E45969">
        <w:rPr>
          <w:rFonts w:cs="Arial"/>
        </w:rPr>
        <w:t xml:space="preserve"> the fact that apartment owners have no incentives for installation </w:t>
      </w:r>
      <w:r>
        <w:rPr>
          <w:rFonts w:cs="Arial"/>
        </w:rPr>
        <w:t xml:space="preserve">of </w:t>
      </w:r>
      <w:r w:rsidRPr="00E45969">
        <w:rPr>
          <w:rFonts w:cs="Arial"/>
        </w:rPr>
        <w:t xml:space="preserve">heat metering devices and implementation </w:t>
      </w:r>
      <w:r>
        <w:rPr>
          <w:rFonts w:cs="Arial"/>
        </w:rPr>
        <w:t xml:space="preserve">of </w:t>
      </w:r>
      <w:r w:rsidRPr="00E45969">
        <w:rPr>
          <w:rFonts w:cs="Arial"/>
        </w:rPr>
        <w:t xml:space="preserve">energy saving measures in residential buildings. The existing rules allow </w:t>
      </w:r>
      <w:r>
        <w:rPr>
          <w:rFonts w:cs="Arial"/>
        </w:rPr>
        <w:t>the use of</w:t>
      </w:r>
      <w:r w:rsidRPr="00E45969">
        <w:rPr>
          <w:rFonts w:cs="Arial"/>
        </w:rPr>
        <w:t xml:space="preserve"> heat without </w:t>
      </w:r>
      <w:r>
        <w:rPr>
          <w:rFonts w:cs="Arial"/>
        </w:rPr>
        <w:t>a meter</w:t>
      </w:r>
      <w:r w:rsidRPr="00E45969">
        <w:rPr>
          <w:rFonts w:cs="Arial"/>
        </w:rPr>
        <w:t xml:space="preserve"> </w:t>
      </w:r>
      <w:r>
        <w:rPr>
          <w:rFonts w:cs="Arial"/>
        </w:rPr>
        <w:t>by</w:t>
      </w:r>
      <w:r w:rsidRPr="00E45969">
        <w:rPr>
          <w:rFonts w:cs="Arial"/>
        </w:rPr>
        <w:t xml:space="preserve"> paying heat consumption according to consumption norms.</w:t>
      </w:r>
    </w:p>
    <w:p w14:paraId="261EB7A5" w14:textId="77777777" w:rsidR="002C4C59" w:rsidRDefault="002C4C59" w:rsidP="002C4C59">
      <w:pPr>
        <w:rPr>
          <w:rFonts w:cs="Arial"/>
        </w:rPr>
      </w:pPr>
    </w:p>
    <w:p w14:paraId="0377EE6A" w14:textId="77777777" w:rsidR="00C603FC" w:rsidRDefault="002C4C59" w:rsidP="00C603FC">
      <w:pPr>
        <w:rPr>
          <w:rFonts w:cs="Arial"/>
        </w:rPr>
      </w:pPr>
      <w:r>
        <w:rPr>
          <w:rFonts w:cs="Arial"/>
        </w:rPr>
        <w:t>The first private ESCO surely generated important lessons learned for ESCO creation and operation in the Kazakhstani context but changes in the legal framework, institutional setup, tariff policies need to be undertaken by the government before this sector becomes attractive to private companies</w:t>
      </w:r>
      <w:r w:rsidR="00C603FC">
        <w:rPr>
          <w:rFonts w:cs="Arial"/>
        </w:rPr>
        <w:t>.</w:t>
      </w:r>
      <w:r w:rsidR="00C603FC">
        <w:rPr>
          <w:rFonts w:cs="Arial"/>
        </w:rPr>
        <w:br w:type="page"/>
      </w:r>
    </w:p>
    <w:p w14:paraId="2B021833" w14:textId="77777777" w:rsidR="00C603FC" w:rsidRPr="00C603FC" w:rsidRDefault="00C603FC" w:rsidP="00C603FC">
      <w:pPr>
        <w:pStyle w:val="Heading1"/>
        <w:numPr>
          <w:ilvl w:val="0"/>
          <w:numId w:val="0"/>
        </w:numPr>
        <w:ind w:left="432" w:hanging="432"/>
        <w:rPr>
          <w:caps/>
          <w:smallCaps w:val="0"/>
          <w:lang w:val="en-US"/>
        </w:rPr>
      </w:pPr>
      <w:bookmarkStart w:id="96" w:name="_Toc393449016"/>
      <w:r>
        <w:rPr>
          <w:caps/>
          <w:smallCaps w:val="0"/>
          <w:lang w:val="en-US"/>
        </w:rPr>
        <w:t xml:space="preserve">Annex C: </w:t>
      </w:r>
      <w:r w:rsidRPr="00C603FC">
        <w:rPr>
          <w:caps/>
          <w:smallCaps w:val="0"/>
          <w:lang w:val="en-US"/>
        </w:rPr>
        <w:t>Average prices and tariffs for housing and utility services in Kazakhstan</w:t>
      </w:r>
      <w:bookmarkEnd w:id="96"/>
    </w:p>
    <w:tbl>
      <w:tblPr>
        <w:tblStyle w:val="MediumGrid3-Accent1"/>
        <w:tblW w:w="10103" w:type="dxa"/>
        <w:tblInd w:w="-72" w:type="dxa"/>
        <w:tblLayout w:type="fixed"/>
        <w:tblLook w:val="04A0" w:firstRow="1" w:lastRow="0" w:firstColumn="1" w:lastColumn="0" w:noHBand="0" w:noVBand="1"/>
      </w:tblPr>
      <w:tblGrid>
        <w:gridCol w:w="1740"/>
        <w:gridCol w:w="1417"/>
        <w:gridCol w:w="1134"/>
        <w:gridCol w:w="1134"/>
        <w:gridCol w:w="992"/>
        <w:gridCol w:w="1276"/>
        <w:gridCol w:w="1134"/>
        <w:gridCol w:w="1276"/>
      </w:tblGrid>
      <w:tr w:rsidR="00C603FC" w:rsidRPr="00955220" w14:paraId="10DF6893" w14:textId="77777777" w:rsidTr="00C714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vMerge w:val="restart"/>
          </w:tcPr>
          <w:p w14:paraId="0A671F24" w14:textId="77777777" w:rsidR="00C603FC" w:rsidRPr="00955220" w:rsidRDefault="00C603FC" w:rsidP="00414F03">
            <w:pPr>
              <w:rPr>
                <w:rFonts w:cs="Arial"/>
                <w:szCs w:val="22"/>
              </w:rPr>
            </w:pPr>
            <w:r w:rsidRPr="00955220">
              <w:rPr>
                <w:rFonts w:cs="Arial"/>
                <w:szCs w:val="22"/>
              </w:rPr>
              <w:t>Cities</w:t>
            </w:r>
          </w:p>
        </w:tc>
        <w:tc>
          <w:tcPr>
            <w:tcW w:w="8363" w:type="dxa"/>
            <w:gridSpan w:val="7"/>
          </w:tcPr>
          <w:p w14:paraId="31226DEA" w14:textId="77777777" w:rsidR="00C603FC" w:rsidRPr="00955220" w:rsidRDefault="00C603FC" w:rsidP="00414F03">
            <w:pPr>
              <w:jc w:val="center"/>
              <w:cnfStyle w:val="100000000000" w:firstRow="1" w:lastRow="0" w:firstColumn="0" w:lastColumn="0" w:oddVBand="0" w:evenVBand="0" w:oddHBand="0" w:evenHBand="0" w:firstRowFirstColumn="0" w:firstRowLastColumn="0" w:lastRowFirstColumn="0" w:lastRowLastColumn="0"/>
              <w:rPr>
                <w:rFonts w:cs="Arial"/>
                <w:szCs w:val="22"/>
              </w:rPr>
            </w:pPr>
            <w:r>
              <w:rPr>
                <w:rFonts w:cs="Arial"/>
                <w:szCs w:val="22"/>
              </w:rPr>
              <w:t>Average prices &amp; tariffs for housing and utility services in Kazakhstan in 2012 (in US$*)</w:t>
            </w:r>
          </w:p>
        </w:tc>
      </w:tr>
      <w:tr w:rsidR="00C603FC" w:rsidRPr="00955220" w14:paraId="09B7A7F5" w14:textId="77777777" w:rsidTr="00C71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vMerge/>
          </w:tcPr>
          <w:p w14:paraId="65BB9C94" w14:textId="77777777" w:rsidR="00C603FC" w:rsidRPr="00955220" w:rsidRDefault="00C603FC" w:rsidP="00414F03">
            <w:pPr>
              <w:rPr>
                <w:rFonts w:cs="Arial"/>
                <w:szCs w:val="22"/>
              </w:rPr>
            </w:pPr>
          </w:p>
        </w:tc>
        <w:tc>
          <w:tcPr>
            <w:tcW w:w="1417" w:type="dxa"/>
          </w:tcPr>
          <w:p w14:paraId="6972B70D" w14:textId="77777777" w:rsidR="00C603FC" w:rsidRPr="00955220" w:rsidRDefault="00C603FC" w:rsidP="00414F03">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Building maintenance, per m</w:t>
            </w:r>
            <w:r w:rsidRPr="000E768D">
              <w:rPr>
                <w:rFonts w:cs="Arial"/>
                <w:szCs w:val="22"/>
                <w:vertAlign w:val="superscript"/>
              </w:rPr>
              <w:t>2</w:t>
            </w:r>
          </w:p>
        </w:tc>
        <w:tc>
          <w:tcPr>
            <w:tcW w:w="1134" w:type="dxa"/>
          </w:tcPr>
          <w:p w14:paraId="70E54D07" w14:textId="77777777" w:rsidR="00C603FC" w:rsidRPr="00955220" w:rsidRDefault="00C603FC" w:rsidP="00414F03">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Central heating, per 1 Gcal</w:t>
            </w:r>
          </w:p>
        </w:tc>
        <w:tc>
          <w:tcPr>
            <w:tcW w:w="1134" w:type="dxa"/>
          </w:tcPr>
          <w:p w14:paraId="27C9078C" w14:textId="77777777" w:rsidR="00C603FC" w:rsidRPr="00955220" w:rsidRDefault="00C603FC" w:rsidP="00414F03">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Hot water, per 1 m</w:t>
            </w:r>
            <w:r w:rsidRPr="000E768D">
              <w:rPr>
                <w:rFonts w:cs="Arial"/>
                <w:szCs w:val="22"/>
                <w:vertAlign w:val="superscript"/>
              </w:rPr>
              <w:t>3</w:t>
            </w:r>
          </w:p>
        </w:tc>
        <w:tc>
          <w:tcPr>
            <w:tcW w:w="992" w:type="dxa"/>
          </w:tcPr>
          <w:p w14:paraId="66333F07" w14:textId="77777777" w:rsidR="00C603FC" w:rsidRPr="00955220" w:rsidRDefault="00C603FC" w:rsidP="00414F03">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Cold water, per 1 m</w:t>
            </w:r>
            <w:r w:rsidRPr="000E768D">
              <w:rPr>
                <w:rFonts w:cs="Arial"/>
                <w:szCs w:val="22"/>
                <w:vertAlign w:val="superscript"/>
              </w:rPr>
              <w:t>3</w:t>
            </w:r>
          </w:p>
        </w:tc>
        <w:tc>
          <w:tcPr>
            <w:tcW w:w="1276" w:type="dxa"/>
          </w:tcPr>
          <w:p w14:paraId="5705E016" w14:textId="77777777" w:rsidR="00C603FC" w:rsidRPr="00955220" w:rsidRDefault="00C603FC" w:rsidP="00414F03">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Electricity, per 100kWh</w:t>
            </w:r>
          </w:p>
        </w:tc>
        <w:tc>
          <w:tcPr>
            <w:tcW w:w="1134" w:type="dxa"/>
          </w:tcPr>
          <w:p w14:paraId="17727F17" w14:textId="77777777" w:rsidR="00C603FC" w:rsidRPr="00962F92" w:rsidRDefault="00C603FC" w:rsidP="00414F03">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Sewage, per 1 m</w:t>
            </w:r>
            <w:r>
              <w:rPr>
                <w:rFonts w:cs="Arial"/>
                <w:szCs w:val="22"/>
                <w:vertAlign w:val="superscript"/>
              </w:rPr>
              <w:t>3</w:t>
            </w:r>
          </w:p>
        </w:tc>
        <w:tc>
          <w:tcPr>
            <w:tcW w:w="1276" w:type="dxa"/>
          </w:tcPr>
          <w:p w14:paraId="1E8259B1" w14:textId="77777777" w:rsidR="00C603FC" w:rsidRPr="00955220" w:rsidRDefault="00C603FC" w:rsidP="00414F03">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Waste collection, per person</w:t>
            </w:r>
          </w:p>
        </w:tc>
      </w:tr>
      <w:tr w:rsidR="00C603FC" w:rsidRPr="00955220" w14:paraId="68E3DCDA" w14:textId="77777777" w:rsidTr="00C714AF">
        <w:tc>
          <w:tcPr>
            <w:cnfStyle w:val="001000000000" w:firstRow="0" w:lastRow="0" w:firstColumn="1" w:lastColumn="0" w:oddVBand="0" w:evenVBand="0" w:oddHBand="0" w:evenHBand="0" w:firstRowFirstColumn="0" w:firstRowLastColumn="0" w:lastRowFirstColumn="0" w:lastRowLastColumn="0"/>
            <w:tcW w:w="1740" w:type="dxa"/>
          </w:tcPr>
          <w:p w14:paraId="65B30E82" w14:textId="77777777" w:rsidR="00C603FC" w:rsidRPr="00955220" w:rsidRDefault="00C603FC" w:rsidP="00414F03">
            <w:pPr>
              <w:rPr>
                <w:rFonts w:cs="Arial"/>
                <w:szCs w:val="22"/>
              </w:rPr>
            </w:pPr>
            <w:r>
              <w:rPr>
                <w:rFonts w:cs="Arial"/>
                <w:szCs w:val="22"/>
              </w:rPr>
              <w:t>Kazakhstan</w:t>
            </w:r>
          </w:p>
        </w:tc>
        <w:tc>
          <w:tcPr>
            <w:tcW w:w="1417" w:type="dxa"/>
          </w:tcPr>
          <w:p w14:paraId="21408D63"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0.09</w:t>
            </w:r>
          </w:p>
        </w:tc>
        <w:tc>
          <w:tcPr>
            <w:tcW w:w="1134" w:type="dxa"/>
          </w:tcPr>
          <w:p w14:paraId="447CC19E"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18.30</w:t>
            </w:r>
          </w:p>
        </w:tc>
        <w:tc>
          <w:tcPr>
            <w:tcW w:w="1134" w:type="dxa"/>
          </w:tcPr>
          <w:p w14:paraId="011C9C26"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1.15</w:t>
            </w:r>
          </w:p>
        </w:tc>
        <w:tc>
          <w:tcPr>
            <w:tcW w:w="992" w:type="dxa"/>
          </w:tcPr>
          <w:p w14:paraId="419F17CD"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0.23</w:t>
            </w:r>
          </w:p>
        </w:tc>
        <w:tc>
          <w:tcPr>
            <w:tcW w:w="1276" w:type="dxa"/>
          </w:tcPr>
          <w:p w14:paraId="0F60DD95"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6.45</w:t>
            </w:r>
          </w:p>
        </w:tc>
        <w:tc>
          <w:tcPr>
            <w:tcW w:w="1134" w:type="dxa"/>
          </w:tcPr>
          <w:p w14:paraId="12214E5C"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0.15</w:t>
            </w:r>
          </w:p>
        </w:tc>
        <w:tc>
          <w:tcPr>
            <w:tcW w:w="1276" w:type="dxa"/>
          </w:tcPr>
          <w:p w14:paraId="22C7DFDD"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0.81</w:t>
            </w:r>
          </w:p>
        </w:tc>
      </w:tr>
      <w:tr w:rsidR="00C603FC" w:rsidRPr="00955220" w14:paraId="62EB4D88" w14:textId="77777777" w:rsidTr="00C71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tcPr>
          <w:p w14:paraId="089C808C" w14:textId="77777777" w:rsidR="00C603FC" w:rsidRPr="00955220" w:rsidRDefault="00C603FC" w:rsidP="00414F03">
            <w:pPr>
              <w:rPr>
                <w:rFonts w:cs="Arial"/>
                <w:szCs w:val="22"/>
              </w:rPr>
            </w:pPr>
            <w:r>
              <w:rPr>
                <w:rFonts w:cs="Arial"/>
                <w:szCs w:val="22"/>
              </w:rPr>
              <w:t>Astana</w:t>
            </w:r>
          </w:p>
        </w:tc>
        <w:tc>
          <w:tcPr>
            <w:tcW w:w="1417" w:type="dxa"/>
          </w:tcPr>
          <w:p w14:paraId="76FC3D2B"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0.17</w:t>
            </w:r>
          </w:p>
        </w:tc>
        <w:tc>
          <w:tcPr>
            <w:tcW w:w="1134" w:type="dxa"/>
          </w:tcPr>
          <w:p w14:paraId="45C3914F"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14.48</w:t>
            </w:r>
          </w:p>
        </w:tc>
        <w:tc>
          <w:tcPr>
            <w:tcW w:w="1134" w:type="dxa"/>
          </w:tcPr>
          <w:p w14:paraId="7AAA52BF"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0.85</w:t>
            </w:r>
          </w:p>
        </w:tc>
        <w:tc>
          <w:tcPr>
            <w:tcW w:w="992" w:type="dxa"/>
          </w:tcPr>
          <w:p w14:paraId="73355B6D"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0.23</w:t>
            </w:r>
          </w:p>
        </w:tc>
        <w:tc>
          <w:tcPr>
            <w:tcW w:w="1276" w:type="dxa"/>
          </w:tcPr>
          <w:p w14:paraId="6101501E"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6.96</w:t>
            </w:r>
          </w:p>
        </w:tc>
        <w:tc>
          <w:tcPr>
            <w:tcW w:w="1134" w:type="dxa"/>
          </w:tcPr>
          <w:p w14:paraId="0A6B81EB"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0.16</w:t>
            </w:r>
          </w:p>
        </w:tc>
        <w:tc>
          <w:tcPr>
            <w:tcW w:w="1276" w:type="dxa"/>
          </w:tcPr>
          <w:p w14:paraId="5963C0E1"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0.95</w:t>
            </w:r>
          </w:p>
        </w:tc>
      </w:tr>
      <w:tr w:rsidR="00C603FC" w:rsidRPr="00955220" w14:paraId="4288A86D" w14:textId="77777777" w:rsidTr="00C714AF">
        <w:tc>
          <w:tcPr>
            <w:cnfStyle w:val="001000000000" w:firstRow="0" w:lastRow="0" w:firstColumn="1" w:lastColumn="0" w:oddVBand="0" w:evenVBand="0" w:oddHBand="0" w:evenHBand="0" w:firstRowFirstColumn="0" w:firstRowLastColumn="0" w:lastRowFirstColumn="0" w:lastRowLastColumn="0"/>
            <w:tcW w:w="1740" w:type="dxa"/>
          </w:tcPr>
          <w:p w14:paraId="780A336B" w14:textId="77777777" w:rsidR="00C603FC" w:rsidRPr="00955220" w:rsidRDefault="00C603FC" w:rsidP="00414F03">
            <w:pPr>
              <w:rPr>
                <w:rFonts w:cs="Arial"/>
                <w:szCs w:val="22"/>
              </w:rPr>
            </w:pPr>
            <w:r>
              <w:rPr>
                <w:rFonts w:cs="Arial"/>
                <w:szCs w:val="22"/>
              </w:rPr>
              <w:t>Almaty</w:t>
            </w:r>
          </w:p>
        </w:tc>
        <w:tc>
          <w:tcPr>
            <w:tcW w:w="1417" w:type="dxa"/>
          </w:tcPr>
          <w:p w14:paraId="3A6387FB"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0.15</w:t>
            </w:r>
          </w:p>
        </w:tc>
        <w:tc>
          <w:tcPr>
            <w:tcW w:w="1134" w:type="dxa"/>
          </w:tcPr>
          <w:p w14:paraId="1764889E"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31.73</w:t>
            </w:r>
          </w:p>
        </w:tc>
        <w:tc>
          <w:tcPr>
            <w:tcW w:w="1134" w:type="dxa"/>
          </w:tcPr>
          <w:p w14:paraId="06D9E67A"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2.33</w:t>
            </w:r>
          </w:p>
        </w:tc>
        <w:tc>
          <w:tcPr>
            <w:tcW w:w="992" w:type="dxa"/>
          </w:tcPr>
          <w:p w14:paraId="706B77F6"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0.16</w:t>
            </w:r>
          </w:p>
        </w:tc>
        <w:tc>
          <w:tcPr>
            <w:tcW w:w="1276" w:type="dxa"/>
          </w:tcPr>
          <w:p w14:paraId="65E6078F"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9.56</w:t>
            </w:r>
          </w:p>
        </w:tc>
        <w:tc>
          <w:tcPr>
            <w:tcW w:w="1134" w:type="dxa"/>
          </w:tcPr>
          <w:p w14:paraId="44BCE811"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0.08</w:t>
            </w:r>
          </w:p>
        </w:tc>
        <w:tc>
          <w:tcPr>
            <w:tcW w:w="1276" w:type="dxa"/>
          </w:tcPr>
          <w:p w14:paraId="1E1FBC54"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2.05</w:t>
            </w:r>
          </w:p>
        </w:tc>
      </w:tr>
      <w:tr w:rsidR="00C603FC" w:rsidRPr="00955220" w14:paraId="377EDEA7" w14:textId="77777777" w:rsidTr="00C71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tcPr>
          <w:p w14:paraId="0FB22322" w14:textId="77777777" w:rsidR="00C603FC" w:rsidRPr="00955220" w:rsidRDefault="00C603FC" w:rsidP="00414F03">
            <w:pPr>
              <w:rPr>
                <w:rFonts w:cs="Arial"/>
                <w:szCs w:val="22"/>
              </w:rPr>
            </w:pPr>
            <w:r>
              <w:rPr>
                <w:rFonts w:cs="Arial"/>
                <w:szCs w:val="22"/>
              </w:rPr>
              <w:t>Aktau</w:t>
            </w:r>
          </w:p>
        </w:tc>
        <w:tc>
          <w:tcPr>
            <w:tcW w:w="1417" w:type="dxa"/>
          </w:tcPr>
          <w:p w14:paraId="3FFA9868"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0.21</w:t>
            </w:r>
          </w:p>
        </w:tc>
        <w:tc>
          <w:tcPr>
            <w:tcW w:w="1134" w:type="dxa"/>
          </w:tcPr>
          <w:p w14:paraId="0BB5AB72"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13.43</w:t>
            </w:r>
          </w:p>
        </w:tc>
        <w:tc>
          <w:tcPr>
            <w:tcW w:w="1134" w:type="dxa"/>
          </w:tcPr>
          <w:p w14:paraId="537EE9D6"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1.04</w:t>
            </w:r>
          </w:p>
        </w:tc>
        <w:tc>
          <w:tcPr>
            <w:tcW w:w="992" w:type="dxa"/>
          </w:tcPr>
          <w:p w14:paraId="46DDA423"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1.71</w:t>
            </w:r>
          </w:p>
        </w:tc>
        <w:tc>
          <w:tcPr>
            <w:tcW w:w="1276" w:type="dxa"/>
          </w:tcPr>
          <w:p w14:paraId="3FEEB40C"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3.13</w:t>
            </w:r>
          </w:p>
        </w:tc>
        <w:tc>
          <w:tcPr>
            <w:tcW w:w="1134" w:type="dxa"/>
          </w:tcPr>
          <w:p w14:paraId="437E0853"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0.33</w:t>
            </w:r>
          </w:p>
        </w:tc>
        <w:tc>
          <w:tcPr>
            <w:tcW w:w="1276" w:type="dxa"/>
          </w:tcPr>
          <w:p w14:paraId="55123B6E"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0.57</w:t>
            </w:r>
          </w:p>
        </w:tc>
      </w:tr>
      <w:tr w:rsidR="00C603FC" w:rsidRPr="00955220" w14:paraId="5B0FB783" w14:textId="77777777" w:rsidTr="00C714AF">
        <w:tc>
          <w:tcPr>
            <w:cnfStyle w:val="001000000000" w:firstRow="0" w:lastRow="0" w:firstColumn="1" w:lastColumn="0" w:oddVBand="0" w:evenVBand="0" w:oddHBand="0" w:evenHBand="0" w:firstRowFirstColumn="0" w:firstRowLastColumn="0" w:lastRowFirstColumn="0" w:lastRowLastColumn="0"/>
            <w:tcW w:w="1740" w:type="dxa"/>
          </w:tcPr>
          <w:p w14:paraId="19307188" w14:textId="77777777" w:rsidR="00C603FC" w:rsidRPr="00955220" w:rsidRDefault="00C603FC" w:rsidP="00414F03">
            <w:pPr>
              <w:rPr>
                <w:rFonts w:cs="Arial"/>
                <w:szCs w:val="22"/>
              </w:rPr>
            </w:pPr>
            <w:r>
              <w:rPr>
                <w:rFonts w:cs="Arial"/>
                <w:szCs w:val="22"/>
              </w:rPr>
              <w:t>Aktobe</w:t>
            </w:r>
          </w:p>
        </w:tc>
        <w:tc>
          <w:tcPr>
            <w:tcW w:w="1417" w:type="dxa"/>
          </w:tcPr>
          <w:p w14:paraId="72801F1B"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0.086</w:t>
            </w:r>
          </w:p>
        </w:tc>
        <w:tc>
          <w:tcPr>
            <w:tcW w:w="1134" w:type="dxa"/>
          </w:tcPr>
          <w:p w14:paraId="3836518F"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12.08</w:t>
            </w:r>
          </w:p>
        </w:tc>
        <w:tc>
          <w:tcPr>
            <w:tcW w:w="1134" w:type="dxa"/>
          </w:tcPr>
          <w:p w14:paraId="16E3B371"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0.79</w:t>
            </w:r>
          </w:p>
        </w:tc>
        <w:tc>
          <w:tcPr>
            <w:tcW w:w="992" w:type="dxa"/>
          </w:tcPr>
          <w:p w14:paraId="3867BD62"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0.2</w:t>
            </w:r>
          </w:p>
        </w:tc>
        <w:tc>
          <w:tcPr>
            <w:tcW w:w="1276" w:type="dxa"/>
          </w:tcPr>
          <w:p w14:paraId="7ED92F71"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6.33</w:t>
            </w:r>
          </w:p>
        </w:tc>
        <w:tc>
          <w:tcPr>
            <w:tcW w:w="1134" w:type="dxa"/>
          </w:tcPr>
          <w:p w14:paraId="6CFDEFE5"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0.21</w:t>
            </w:r>
          </w:p>
        </w:tc>
        <w:tc>
          <w:tcPr>
            <w:tcW w:w="1276" w:type="dxa"/>
          </w:tcPr>
          <w:p w14:paraId="64E9091E"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0.70</w:t>
            </w:r>
          </w:p>
        </w:tc>
      </w:tr>
      <w:tr w:rsidR="00C603FC" w:rsidRPr="00955220" w14:paraId="4A38F5E8" w14:textId="77777777" w:rsidTr="00C71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tcPr>
          <w:p w14:paraId="050000D9" w14:textId="77777777" w:rsidR="00C603FC" w:rsidRDefault="00C603FC" w:rsidP="00414F03">
            <w:pPr>
              <w:rPr>
                <w:rFonts w:cs="Arial"/>
                <w:szCs w:val="22"/>
              </w:rPr>
            </w:pPr>
            <w:r>
              <w:rPr>
                <w:rFonts w:cs="Arial"/>
                <w:szCs w:val="22"/>
              </w:rPr>
              <w:t>Atyrau</w:t>
            </w:r>
          </w:p>
        </w:tc>
        <w:tc>
          <w:tcPr>
            <w:tcW w:w="1417" w:type="dxa"/>
          </w:tcPr>
          <w:p w14:paraId="6C2D39A7"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0.15</w:t>
            </w:r>
          </w:p>
        </w:tc>
        <w:tc>
          <w:tcPr>
            <w:tcW w:w="1134" w:type="dxa"/>
          </w:tcPr>
          <w:p w14:paraId="1E09BE0C"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26.61</w:t>
            </w:r>
          </w:p>
        </w:tc>
        <w:tc>
          <w:tcPr>
            <w:tcW w:w="1134" w:type="dxa"/>
          </w:tcPr>
          <w:p w14:paraId="76CC87EE"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1.19</w:t>
            </w:r>
          </w:p>
        </w:tc>
        <w:tc>
          <w:tcPr>
            <w:tcW w:w="992" w:type="dxa"/>
          </w:tcPr>
          <w:p w14:paraId="1F87B0CC"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0.19</w:t>
            </w:r>
          </w:p>
        </w:tc>
        <w:tc>
          <w:tcPr>
            <w:tcW w:w="1276" w:type="dxa"/>
          </w:tcPr>
          <w:p w14:paraId="339634FD"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3.81</w:t>
            </w:r>
          </w:p>
        </w:tc>
        <w:tc>
          <w:tcPr>
            <w:tcW w:w="1134" w:type="dxa"/>
          </w:tcPr>
          <w:p w14:paraId="247B8E33"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0.18</w:t>
            </w:r>
          </w:p>
        </w:tc>
        <w:tc>
          <w:tcPr>
            <w:tcW w:w="1276" w:type="dxa"/>
          </w:tcPr>
          <w:p w14:paraId="330B0E86"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0.80</w:t>
            </w:r>
          </w:p>
        </w:tc>
      </w:tr>
      <w:tr w:rsidR="00C603FC" w:rsidRPr="00955220" w14:paraId="28AEC0EA" w14:textId="77777777" w:rsidTr="00C714AF">
        <w:tc>
          <w:tcPr>
            <w:cnfStyle w:val="001000000000" w:firstRow="0" w:lastRow="0" w:firstColumn="1" w:lastColumn="0" w:oddVBand="0" w:evenVBand="0" w:oddHBand="0" w:evenHBand="0" w:firstRowFirstColumn="0" w:firstRowLastColumn="0" w:lastRowFirstColumn="0" w:lastRowLastColumn="0"/>
            <w:tcW w:w="1740" w:type="dxa"/>
          </w:tcPr>
          <w:p w14:paraId="063EAD36" w14:textId="77777777" w:rsidR="00C603FC" w:rsidRPr="00955220" w:rsidRDefault="00C603FC" w:rsidP="00414F03">
            <w:pPr>
              <w:rPr>
                <w:rFonts w:cs="Arial"/>
                <w:szCs w:val="22"/>
              </w:rPr>
            </w:pPr>
            <w:r>
              <w:rPr>
                <w:rFonts w:cs="Arial"/>
                <w:szCs w:val="22"/>
              </w:rPr>
              <w:t>Zhezkazgan</w:t>
            </w:r>
          </w:p>
        </w:tc>
        <w:tc>
          <w:tcPr>
            <w:tcW w:w="1417" w:type="dxa"/>
          </w:tcPr>
          <w:p w14:paraId="2D87A19F"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0.08</w:t>
            </w:r>
          </w:p>
        </w:tc>
        <w:tc>
          <w:tcPr>
            <w:tcW w:w="1134" w:type="dxa"/>
          </w:tcPr>
          <w:p w14:paraId="475022A9"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11.85</w:t>
            </w:r>
          </w:p>
        </w:tc>
        <w:tc>
          <w:tcPr>
            <w:tcW w:w="1134" w:type="dxa"/>
          </w:tcPr>
          <w:p w14:paraId="684E7553"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0.44</w:t>
            </w:r>
          </w:p>
        </w:tc>
        <w:tc>
          <w:tcPr>
            <w:tcW w:w="992" w:type="dxa"/>
          </w:tcPr>
          <w:p w14:paraId="24F7D961"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0.18</w:t>
            </w:r>
          </w:p>
        </w:tc>
        <w:tc>
          <w:tcPr>
            <w:tcW w:w="1276" w:type="dxa"/>
          </w:tcPr>
          <w:p w14:paraId="535B2B1D"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7.09</w:t>
            </w:r>
          </w:p>
        </w:tc>
        <w:tc>
          <w:tcPr>
            <w:tcW w:w="1134" w:type="dxa"/>
          </w:tcPr>
          <w:p w14:paraId="6B91DF4F"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0.07</w:t>
            </w:r>
          </w:p>
        </w:tc>
        <w:tc>
          <w:tcPr>
            <w:tcW w:w="1276" w:type="dxa"/>
          </w:tcPr>
          <w:p w14:paraId="5630C97E"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0.53</w:t>
            </w:r>
          </w:p>
        </w:tc>
      </w:tr>
      <w:tr w:rsidR="00C603FC" w:rsidRPr="00955220" w14:paraId="0EBDCB3E" w14:textId="77777777" w:rsidTr="00C71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tcPr>
          <w:p w14:paraId="532B9830" w14:textId="77777777" w:rsidR="00C603FC" w:rsidRPr="00955220" w:rsidRDefault="00C603FC" w:rsidP="00414F03">
            <w:pPr>
              <w:rPr>
                <w:rFonts w:cs="Arial"/>
                <w:szCs w:val="22"/>
              </w:rPr>
            </w:pPr>
            <w:r>
              <w:rPr>
                <w:rFonts w:cs="Arial"/>
                <w:szCs w:val="22"/>
              </w:rPr>
              <w:t>Kokshetau</w:t>
            </w:r>
          </w:p>
        </w:tc>
        <w:tc>
          <w:tcPr>
            <w:tcW w:w="1417" w:type="dxa"/>
          </w:tcPr>
          <w:p w14:paraId="4A7A58B5"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0.086</w:t>
            </w:r>
          </w:p>
        </w:tc>
        <w:tc>
          <w:tcPr>
            <w:tcW w:w="1134" w:type="dxa"/>
          </w:tcPr>
          <w:p w14:paraId="52A9E77A"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21.10</w:t>
            </w:r>
          </w:p>
        </w:tc>
        <w:tc>
          <w:tcPr>
            <w:tcW w:w="1134" w:type="dxa"/>
          </w:tcPr>
          <w:p w14:paraId="5B221759"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158</w:t>
            </w:r>
          </w:p>
        </w:tc>
        <w:tc>
          <w:tcPr>
            <w:tcW w:w="992" w:type="dxa"/>
          </w:tcPr>
          <w:p w14:paraId="45E69DFA"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0.43</w:t>
            </w:r>
          </w:p>
        </w:tc>
        <w:tc>
          <w:tcPr>
            <w:tcW w:w="1276" w:type="dxa"/>
          </w:tcPr>
          <w:p w14:paraId="3B476832"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8.58</w:t>
            </w:r>
          </w:p>
        </w:tc>
        <w:tc>
          <w:tcPr>
            <w:tcW w:w="1134" w:type="dxa"/>
          </w:tcPr>
          <w:p w14:paraId="3D7520FA"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0.39</w:t>
            </w:r>
          </w:p>
        </w:tc>
        <w:tc>
          <w:tcPr>
            <w:tcW w:w="1276" w:type="dxa"/>
          </w:tcPr>
          <w:p w14:paraId="517EF65A"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0.91</w:t>
            </w:r>
          </w:p>
        </w:tc>
      </w:tr>
      <w:tr w:rsidR="00C603FC" w:rsidRPr="00955220" w14:paraId="63889232" w14:textId="77777777" w:rsidTr="00C714AF">
        <w:tc>
          <w:tcPr>
            <w:cnfStyle w:val="001000000000" w:firstRow="0" w:lastRow="0" w:firstColumn="1" w:lastColumn="0" w:oddVBand="0" w:evenVBand="0" w:oddHBand="0" w:evenHBand="0" w:firstRowFirstColumn="0" w:firstRowLastColumn="0" w:lastRowFirstColumn="0" w:lastRowLastColumn="0"/>
            <w:tcW w:w="1740" w:type="dxa"/>
          </w:tcPr>
          <w:p w14:paraId="222AB642" w14:textId="77777777" w:rsidR="00C603FC" w:rsidRPr="00955220" w:rsidRDefault="00C603FC" w:rsidP="00414F03">
            <w:pPr>
              <w:rPr>
                <w:rFonts w:cs="Arial"/>
                <w:szCs w:val="22"/>
              </w:rPr>
            </w:pPr>
            <w:r>
              <w:rPr>
                <w:rFonts w:cs="Arial"/>
                <w:szCs w:val="22"/>
              </w:rPr>
              <w:t>Karaganda</w:t>
            </w:r>
          </w:p>
        </w:tc>
        <w:tc>
          <w:tcPr>
            <w:tcW w:w="1417" w:type="dxa"/>
          </w:tcPr>
          <w:p w14:paraId="5B9EC64F"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0.073</w:t>
            </w:r>
          </w:p>
        </w:tc>
        <w:tc>
          <w:tcPr>
            <w:tcW w:w="1134" w:type="dxa"/>
          </w:tcPr>
          <w:p w14:paraId="752AB7B6"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18.66</w:t>
            </w:r>
          </w:p>
        </w:tc>
        <w:tc>
          <w:tcPr>
            <w:tcW w:w="1134" w:type="dxa"/>
          </w:tcPr>
          <w:p w14:paraId="02D6BA5B"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1.05</w:t>
            </w:r>
          </w:p>
        </w:tc>
        <w:tc>
          <w:tcPr>
            <w:tcW w:w="992" w:type="dxa"/>
          </w:tcPr>
          <w:p w14:paraId="02B7E4A4"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0.39</w:t>
            </w:r>
          </w:p>
        </w:tc>
        <w:tc>
          <w:tcPr>
            <w:tcW w:w="1276" w:type="dxa"/>
          </w:tcPr>
          <w:p w14:paraId="63CB282B"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4.75</w:t>
            </w:r>
          </w:p>
        </w:tc>
        <w:tc>
          <w:tcPr>
            <w:tcW w:w="1134" w:type="dxa"/>
          </w:tcPr>
          <w:p w14:paraId="03D0DA21"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0.32</w:t>
            </w:r>
          </w:p>
        </w:tc>
        <w:tc>
          <w:tcPr>
            <w:tcW w:w="1276" w:type="dxa"/>
          </w:tcPr>
          <w:p w14:paraId="7E4CCE05"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0.95</w:t>
            </w:r>
          </w:p>
        </w:tc>
      </w:tr>
      <w:tr w:rsidR="00C603FC" w:rsidRPr="00955220" w14:paraId="4F0FD0DF" w14:textId="77777777" w:rsidTr="00C71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tcPr>
          <w:p w14:paraId="095D7616" w14:textId="77777777" w:rsidR="00C603FC" w:rsidRPr="00955220" w:rsidRDefault="00C603FC" w:rsidP="00414F03">
            <w:pPr>
              <w:rPr>
                <w:rFonts w:cs="Arial"/>
                <w:szCs w:val="22"/>
              </w:rPr>
            </w:pPr>
            <w:r>
              <w:rPr>
                <w:rFonts w:cs="Arial"/>
                <w:szCs w:val="22"/>
              </w:rPr>
              <w:t>Kostanai</w:t>
            </w:r>
          </w:p>
        </w:tc>
        <w:tc>
          <w:tcPr>
            <w:tcW w:w="1417" w:type="dxa"/>
          </w:tcPr>
          <w:p w14:paraId="6187EF60"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0.19</w:t>
            </w:r>
          </w:p>
        </w:tc>
        <w:tc>
          <w:tcPr>
            <w:tcW w:w="1134" w:type="dxa"/>
          </w:tcPr>
          <w:p w14:paraId="36F7175C"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23.13</w:t>
            </w:r>
          </w:p>
        </w:tc>
        <w:tc>
          <w:tcPr>
            <w:tcW w:w="1134" w:type="dxa"/>
          </w:tcPr>
          <w:p w14:paraId="4047E3F6"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1.55</w:t>
            </w:r>
          </w:p>
        </w:tc>
        <w:tc>
          <w:tcPr>
            <w:tcW w:w="992" w:type="dxa"/>
          </w:tcPr>
          <w:p w14:paraId="21012F68"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0.32</w:t>
            </w:r>
          </w:p>
        </w:tc>
        <w:tc>
          <w:tcPr>
            <w:tcW w:w="1276" w:type="dxa"/>
          </w:tcPr>
          <w:p w14:paraId="458476DB"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8.61</w:t>
            </w:r>
          </w:p>
        </w:tc>
        <w:tc>
          <w:tcPr>
            <w:tcW w:w="1134" w:type="dxa"/>
          </w:tcPr>
          <w:p w14:paraId="05D093BE"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0.25</w:t>
            </w:r>
          </w:p>
        </w:tc>
        <w:tc>
          <w:tcPr>
            <w:tcW w:w="1276" w:type="dxa"/>
          </w:tcPr>
          <w:p w14:paraId="2DC08DE2"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1.12</w:t>
            </w:r>
          </w:p>
        </w:tc>
      </w:tr>
      <w:tr w:rsidR="00C603FC" w:rsidRPr="00955220" w14:paraId="049736E1" w14:textId="77777777" w:rsidTr="00C714AF">
        <w:tc>
          <w:tcPr>
            <w:cnfStyle w:val="001000000000" w:firstRow="0" w:lastRow="0" w:firstColumn="1" w:lastColumn="0" w:oddVBand="0" w:evenVBand="0" w:oddHBand="0" w:evenHBand="0" w:firstRowFirstColumn="0" w:firstRowLastColumn="0" w:lastRowFirstColumn="0" w:lastRowLastColumn="0"/>
            <w:tcW w:w="1740" w:type="dxa"/>
          </w:tcPr>
          <w:p w14:paraId="2CCCD693" w14:textId="77777777" w:rsidR="00C603FC" w:rsidRPr="00955220" w:rsidRDefault="00C603FC" w:rsidP="00414F03">
            <w:pPr>
              <w:rPr>
                <w:rFonts w:cs="Arial"/>
                <w:szCs w:val="22"/>
              </w:rPr>
            </w:pPr>
            <w:r>
              <w:rPr>
                <w:rFonts w:cs="Arial"/>
                <w:szCs w:val="22"/>
              </w:rPr>
              <w:t>Kzyl Orda</w:t>
            </w:r>
          </w:p>
        </w:tc>
        <w:tc>
          <w:tcPr>
            <w:tcW w:w="1417" w:type="dxa"/>
          </w:tcPr>
          <w:p w14:paraId="49509DE4"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0.06</w:t>
            </w:r>
          </w:p>
        </w:tc>
        <w:tc>
          <w:tcPr>
            <w:tcW w:w="1134" w:type="dxa"/>
          </w:tcPr>
          <w:p w14:paraId="34C62186"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18.46</w:t>
            </w:r>
          </w:p>
        </w:tc>
        <w:tc>
          <w:tcPr>
            <w:tcW w:w="1134" w:type="dxa"/>
          </w:tcPr>
          <w:p w14:paraId="3000E886"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w:t>
            </w:r>
          </w:p>
        </w:tc>
        <w:tc>
          <w:tcPr>
            <w:tcW w:w="992" w:type="dxa"/>
          </w:tcPr>
          <w:p w14:paraId="2DE5242A"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0.19</w:t>
            </w:r>
          </w:p>
        </w:tc>
        <w:tc>
          <w:tcPr>
            <w:tcW w:w="1276" w:type="dxa"/>
          </w:tcPr>
          <w:p w14:paraId="4AA91DAC"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8.93</w:t>
            </w:r>
          </w:p>
        </w:tc>
        <w:tc>
          <w:tcPr>
            <w:tcW w:w="1134" w:type="dxa"/>
          </w:tcPr>
          <w:p w14:paraId="54E43516"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0.17</w:t>
            </w:r>
          </w:p>
        </w:tc>
        <w:tc>
          <w:tcPr>
            <w:tcW w:w="1276" w:type="dxa"/>
          </w:tcPr>
          <w:p w14:paraId="51D57285"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0.57</w:t>
            </w:r>
          </w:p>
        </w:tc>
      </w:tr>
      <w:tr w:rsidR="00C603FC" w:rsidRPr="00955220" w14:paraId="35D5345D" w14:textId="77777777" w:rsidTr="00C71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tcPr>
          <w:p w14:paraId="3821120E" w14:textId="77777777" w:rsidR="00C603FC" w:rsidRPr="00955220" w:rsidRDefault="00C603FC" w:rsidP="00414F03">
            <w:pPr>
              <w:rPr>
                <w:rFonts w:cs="Arial"/>
                <w:szCs w:val="22"/>
              </w:rPr>
            </w:pPr>
            <w:r>
              <w:rPr>
                <w:rFonts w:cs="Arial"/>
                <w:szCs w:val="22"/>
              </w:rPr>
              <w:t>Uralsk</w:t>
            </w:r>
          </w:p>
        </w:tc>
        <w:tc>
          <w:tcPr>
            <w:tcW w:w="1417" w:type="dxa"/>
          </w:tcPr>
          <w:p w14:paraId="67BE8564"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0.10</w:t>
            </w:r>
          </w:p>
        </w:tc>
        <w:tc>
          <w:tcPr>
            <w:tcW w:w="1134" w:type="dxa"/>
          </w:tcPr>
          <w:p w14:paraId="13103329"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18.63</w:t>
            </w:r>
          </w:p>
        </w:tc>
        <w:tc>
          <w:tcPr>
            <w:tcW w:w="1134" w:type="dxa"/>
          </w:tcPr>
          <w:p w14:paraId="6F875999"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0.98</w:t>
            </w:r>
          </w:p>
        </w:tc>
        <w:tc>
          <w:tcPr>
            <w:tcW w:w="992" w:type="dxa"/>
          </w:tcPr>
          <w:p w14:paraId="36853B24"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0.15</w:t>
            </w:r>
          </w:p>
        </w:tc>
        <w:tc>
          <w:tcPr>
            <w:tcW w:w="1276" w:type="dxa"/>
          </w:tcPr>
          <w:p w14:paraId="303AB7F5"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4.87</w:t>
            </w:r>
          </w:p>
        </w:tc>
        <w:tc>
          <w:tcPr>
            <w:tcW w:w="1134" w:type="dxa"/>
          </w:tcPr>
          <w:p w14:paraId="57B010B6"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0.15</w:t>
            </w:r>
          </w:p>
        </w:tc>
        <w:tc>
          <w:tcPr>
            <w:tcW w:w="1276" w:type="dxa"/>
          </w:tcPr>
          <w:p w14:paraId="187E06BD"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0.71</w:t>
            </w:r>
          </w:p>
        </w:tc>
      </w:tr>
      <w:tr w:rsidR="00C603FC" w:rsidRPr="00955220" w14:paraId="1C81F732" w14:textId="77777777" w:rsidTr="00C714AF">
        <w:tc>
          <w:tcPr>
            <w:cnfStyle w:val="001000000000" w:firstRow="0" w:lastRow="0" w:firstColumn="1" w:lastColumn="0" w:oddVBand="0" w:evenVBand="0" w:oddHBand="0" w:evenHBand="0" w:firstRowFirstColumn="0" w:firstRowLastColumn="0" w:lastRowFirstColumn="0" w:lastRowLastColumn="0"/>
            <w:tcW w:w="1740" w:type="dxa"/>
          </w:tcPr>
          <w:p w14:paraId="4F469400" w14:textId="77777777" w:rsidR="00C603FC" w:rsidRPr="00955220" w:rsidRDefault="00C603FC" w:rsidP="00414F03">
            <w:pPr>
              <w:rPr>
                <w:rFonts w:cs="Arial"/>
                <w:szCs w:val="22"/>
              </w:rPr>
            </w:pPr>
            <w:r>
              <w:rPr>
                <w:rFonts w:cs="Arial"/>
                <w:szCs w:val="22"/>
              </w:rPr>
              <w:t>Ust-Kamenogorsk</w:t>
            </w:r>
          </w:p>
        </w:tc>
        <w:tc>
          <w:tcPr>
            <w:tcW w:w="1417" w:type="dxa"/>
          </w:tcPr>
          <w:p w14:paraId="61A89106"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0.12</w:t>
            </w:r>
          </w:p>
        </w:tc>
        <w:tc>
          <w:tcPr>
            <w:tcW w:w="1134" w:type="dxa"/>
          </w:tcPr>
          <w:p w14:paraId="1AD088E5"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16.25</w:t>
            </w:r>
          </w:p>
        </w:tc>
        <w:tc>
          <w:tcPr>
            <w:tcW w:w="1134" w:type="dxa"/>
          </w:tcPr>
          <w:p w14:paraId="4D207A61"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1.14</w:t>
            </w:r>
          </w:p>
        </w:tc>
        <w:tc>
          <w:tcPr>
            <w:tcW w:w="992" w:type="dxa"/>
          </w:tcPr>
          <w:p w14:paraId="7203B620"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0.14</w:t>
            </w:r>
          </w:p>
        </w:tc>
        <w:tc>
          <w:tcPr>
            <w:tcW w:w="1276" w:type="dxa"/>
          </w:tcPr>
          <w:p w14:paraId="136ED021"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5.45</w:t>
            </w:r>
          </w:p>
        </w:tc>
        <w:tc>
          <w:tcPr>
            <w:tcW w:w="1134" w:type="dxa"/>
          </w:tcPr>
          <w:p w14:paraId="1D33480C"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0.12</w:t>
            </w:r>
          </w:p>
        </w:tc>
        <w:tc>
          <w:tcPr>
            <w:tcW w:w="1276" w:type="dxa"/>
          </w:tcPr>
          <w:p w14:paraId="535FC7D4"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0.47</w:t>
            </w:r>
          </w:p>
        </w:tc>
      </w:tr>
      <w:tr w:rsidR="00C603FC" w:rsidRPr="00955220" w14:paraId="5EE4B94E" w14:textId="77777777" w:rsidTr="00C71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tcPr>
          <w:p w14:paraId="40F4F136" w14:textId="77777777" w:rsidR="00C603FC" w:rsidRPr="00955220" w:rsidRDefault="00C603FC" w:rsidP="00414F03">
            <w:pPr>
              <w:rPr>
                <w:rFonts w:cs="Arial"/>
                <w:szCs w:val="22"/>
              </w:rPr>
            </w:pPr>
            <w:r>
              <w:rPr>
                <w:rFonts w:cs="Arial"/>
                <w:szCs w:val="22"/>
              </w:rPr>
              <w:t>Pavlodar</w:t>
            </w:r>
          </w:p>
        </w:tc>
        <w:tc>
          <w:tcPr>
            <w:tcW w:w="1417" w:type="dxa"/>
          </w:tcPr>
          <w:p w14:paraId="0FD6795D"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0.086</w:t>
            </w:r>
          </w:p>
        </w:tc>
        <w:tc>
          <w:tcPr>
            <w:tcW w:w="1134" w:type="dxa"/>
          </w:tcPr>
          <w:p w14:paraId="31FAA8F9"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12.53</w:t>
            </w:r>
          </w:p>
        </w:tc>
        <w:tc>
          <w:tcPr>
            <w:tcW w:w="1134" w:type="dxa"/>
          </w:tcPr>
          <w:p w14:paraId="7831172B"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0.75</w:t>
            </w:r>
          </w:p>
        </w:tc>
        <w:tc>
          <w:tcPr>
            <w:tcW w:w="992" w:type="dxa"/>
          </w:tcPr>
          <w:p w14:paraId="0E52CE1A"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0.15</w:t>
            </w:r>
          </w:p>
        </w:tc>
        <w:tc>
          <w:tcPr>
            <w:tcW w:w="1276" w:type="dxa"/>
          </w:tcPr>
          <w:p w14:paraId="19B96A21"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6.05</w:t>
            </w:r>
          </w:p>
        </w:tc>
        <w:tc>
          <w:tcPr>
            <w:tcW w:w="1134" w:type="dxa"/>
          </w:tcPr>
          <w:p w14:paraId="79292DAE"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0.11</w:t>
            </w:r>
          </w:p>
        </w:tc>
        <w:tc>
          <w:tcPr>
            <w:tcW w:w="1276" w:type="dxa"/>
          </w:tcPr>
          <w:p w14:paraId="3BCA672B"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0.80</w:t>
            </w:r>
          </w:p>
        </w:tc>
      </w:tr>
      <w:tr w:rsidR="00C603FC" w:rsidRPr="00955220" w14:paraId="0E748DD1" w14:textId="77777777" w:rsidTr="00C714AF">
        <w:tc>
          <w:tcPr>
            <w:cnfStyle w:val="001000000000" w:firstRow="0" w:lastRow="0" w:firstColumn="1" w:lastColumn="0" w:oddVBand="0" w:evenVBand="0" w:oddHBand="0" w:evenHBand="0" w:firstRowFirstColumn="0" w:firstRowLastColumn="0" w:lastRowFirstColumn="0" w:lastRowLastColumn="0"/>
            <w:tcW w:w="1740" w:type="dxa"/>
          </w:tcPr>
          <w:p w14:paraId="07A5D9A1" w14:textId="77777777" w:rsidR="00C603FC" w:rsidRPr="00955220" w:rsidRDefault="00C603FC" w:rsidP="00414F03">
            <w:pPr>
              <w:rPr>
                <w:rFonts w:cs="Arial"/>
                <w:szCs w:val="22"/>
              </w:rPr>
            </w:pPr>
            <w:r>
              <w:rPr>
                <w:rFonts w:cs="Arial"/>
                <w:szCs w:val="22"/>
              </w:rPr>
              <w:t>Petropavlosk</w:t>
            </w:r>
          </w:p>
        </w:tc>
        <w:tc>
          <w:tcPr>
            <w:tcW w:w="1417" w:type="dxa"/>
          </w:tcPr>
          <w:p w14:paraId="009AA55F"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0.08</w:t>
            </w:r>
          </w:p>
        </w:tc>
        <w:tc>
          <w:tcPr>
            <w:tcW w:w="1134" w:type="dxa"/>
          </w:tcPr>
          <w:p w14:paraId="47C6E39C"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18.06</w:t>
            </w:r>
          </w:p>
        </w:tc>
        <w:tc>
          <w:tcPr>
            <w:tcW w:w="1134" w:type="dxa"/>
          </w:tcPr>
          <w:p w14:paraId="3416B70F"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0.77</w:t>
            </w:r>
          </w:p>
        </w:tc>
        <w:tc>
          <w:tcPr>
            <w:tcW w:w="992" w:type="dxa"/>
          </w:tcPr>
          <w:p w14:paraId="66798227"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0.27</w:t>
            </w:r>
          </w:p>
        </w:tc>
        <w:tc>
          <w:tcPr>
            <w:tcW w:w="1276" w:type="dxa"/>
          </w:tcPr>
          <w:p w14:paraId="5E830BDA"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6.30</w:t>
            </w:r>
          </w:p>
        </w:tc>
        <w:tc>
          <w:tcPr>
            <w:tcW w:w="1134" w:type="dxa"/>
          </w:tcPr>
          <w:p w14:paraId="646A836F"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0.28</w:t>
            </w:r>
          </w:p>
        </w:tc>
        <w:tc>
          <w:tcPr>
            <w:tcW w:w="1276" w:type="dxa"/>
          </w:tcPr>
          <w:p w14:paraId="65411FF9"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0.98</w:t>
            </w:r>
          </w:p>
        </w:tc>
      </w:tr>
      <w:tr w:rsidR="00C603FC" w:rsidRPr="00955220" w14:paraId="3FC1791D" w14:textId="77777777" w:rsidTr="00C71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tcPr>
          <w:p w14:paraId="28715628" w14:textId="77777777" w:rsidR="00C603FC" w:rsidRPr="00955220" w:rsidRDefault="00C603FC" w:rsidP="00414F03">
            <w:pPr>
              <w:rPr>
                <w:rFonts w:cs="Arial"/>
                <w:szCs w:val="22"/>
              </w:rPr>
            </w:pPr>
            <w:r>
              <w:rPr>
                <w:rFonts w:cs="Arial"/>
                <w:szCs w:val="22"/>
              </w:rPr>
              <w:t>Semipalatinsk</w:t>
            </w:r>
          </w:p>
        </w:tc>
        <w:tc>
          <w:tcPr>
            <w:tcW w:w="1417" w:type="dxa"/>
          </w:tcPr>
          <w:p w14:paraId="1F02FE19"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0.10</w:t>
            </w:r>
          </w:p>
        </w:tc>
        <w:tc>
          <w:tcPr>
            <w:tcW w:w="1134" w:type="dxa"/>
          </w:tcPr>
          <w:p w14:paraId="50DAB616"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19.49</w:t>
            </w:r>
          </w:p>
        </w:tc>
        <w:tc>
          <w:tcPr>
            <w:tcW w:w="1134" w:type="dxa"/>
          </w:tcPr>
          <w:p w14:paraId="71883BE3"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1.17</w:t>
            </w:r>
          </w:p>
        </w:tc>
        <w:tc>
          <w:tcPr>
            <w:tcW w:w="992" w:type="dxa"/>
          </w:tcPr>
          <w:p w14:paraId="126E61C3"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0.12</w:t>
            </w:r>
          </w:p>
        </w:tc>
        <w:tc>
          <w:tcPr>
            <w:tcW w:w="1276" w:type="dxa"/>
          </w:tcPr>
          <w:p w14:paraId="2FA937B4"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5.45</w:t>
            </w:r>
          </w:p>
        </w:tc>
        <w:tc>
          <w:tcPr>
            <w:tcW w:w="1134" w:type="dxa"/>
          </w:tcPr>
          <w:p w14:paraId="09CAC145"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0.12</w:t>
            </w:r>
          </w:p>
        </w:tc>
        <w:tc>
          <w:tcPr>
            <w:tcW w:w="1276" w:type="dxa"/>
          </w:tcPr>
          <w:p w14:paraId="4265357B"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0.87</w:t>
            </w:r>
          </w:p>
        </w:tc>
      </w:tr>
      <w:tr w:rsidR="00C603FC" w:rsidRPr="00955220" w14:paraId="65A99F4C" w14:textId="77777777" w:rsidTr="00C714AF">
        <w:tc>
          <w:tcPr>
            <w:cnfStyle w:val="001000000000" w:firstRow="0" w:lastRow="0" w:firstColumn="1" w:lastColumn="0" w:oddVBand="0" w:evenVBand="0" w:oddHBand="0" w:evenHBand="0" w:firstRowFirstColumn="0" w:firstRowLastColumn="0" w:lastRowFirstColumn="0" w:lastRowLastColumn="0"/>
            <w:tcW w:w="1740" w:type="dxa"/>
          </w:tcPr>
          <w:p w14:paraId="7C5027AC" w14:textId="77777777" w:rsidR="00C603FC" w:rsidRPr="00955220" w:rsidRDefault="00C603FC" w:rsidP="00414F03">
            <w:pPr>
              <w:rPr>
                <w:rFonts w:cs="Arial"/>
                <w:szCs w:val="22"/>
              </w:rPr>
            </w:pPr>
            <w:r>
              <w:rPr>
                <w:rFonts w:cs="Arial"/>
                <w:szCs w:val="22"/>
              </w:rPr>
              <w:t>Taldy Korgan</w:t>
            </w:r>
          </w:p>
        </w:tc>
        <w:tc>
          <w:tcPr>
            <w:tcW w:w="1417" w:type="dxa"/>
          </w:tcPr>
          <w:p w14:paraId="2A0EDF08"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0.05</w:t>
            </w:r>
          </w:p>
        </w:tc>
        <w:tc>
          <w:tcPr>
            <w:tcW w:w="1134" w:type="dxa"/>
          </w:tcPr>
          <w:p w14:paraId="178EFEF7"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18.11</w:t>
            </w:r>
          </w:p>
        </w:tc>
        <w:tc>
          <w:tcPr>
            <w:tcW w:w="1134" w:type="dxa"/>
          </w:tcPr>
          <w:p w14:paraId="63D80107"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1.17</w:t>
            </w:r>
          </w:p>
        </w:tc>
        <w:tc>
          <w:tcPr>
            <w:tcW w:w="992" w:type="dxa"/>
          </w:tcPr>
          <w:p w14:paraId="70AC4554"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0.24</w:t>
            </w:r>
          </w:p>
        </w:tc>
        <w:tc>
          <w:tcPr>
            <w:tcW w:w="1276" w:type="dxa"/>
          </w:tcPr>
          <w:p w14:paraId="1BEC94EA"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8.64</w:t>
            </w:r>
          </w:p>
        </w:tc>
        <w:tc>
          <w:tcPr>
            <w:tcW w:w="1134" w:type="dxa"/>
          </w:tcPr>
          <w:p w14:paraId="5E198FFA"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0.15</w:t>
            </w:r>
          </w:p>
        </w:tc>
        <w:tc>
          <w:tcPr>
            <w:tcW w:w="1276" w:type="dxa"/>
          </w:tcPr>
          <w:p w14:paraId="15B541CA"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0.48</w:t>
            </w:r>
          </w:p>
        </w:tc>
      </w:tr>
      <w:tr w:rsidR="00C603FC" w:rsidRPr="00955220" w14:paraId="7A89C4FF" w14:textId="77777777" w:rsidTr="00C714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0" w:type="dxa"/>
          </w:tcPr>
          <w:p w14:paraId="37511A4D" w14:textId="77777777" w:rsidR="00C603FC" w:rsidRPr="00955220" w:rsidRDefault="00C603FC" w:rsidP="00414F03">
            <w:pPr>
              <w:rPr>
                <w:rFonts w:cs="Arial"/>
                <w:szCs w:val="22"/>
              </w:rPr>
            </w:pPr>
            <w:r>
              <w:rPr>
                <w:rFonts w:cs="Arial"/>
                <w:szCs w:val="22"/>
              </w:rPr>
              <w:t>Taraz</w:t>
            </w:r>
          </w:p>
        </w:tc>
        <w:tc>
          <w:tcPr>
            <w:tcW w:w="1417" w:type="dxa"/>
          </w:tcPr>
          <w:p w14:paraId="3D6AC0D5"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0.05</w:t>
            </w:r>
          </w:p>
        </w:tc>
        <w:tc>
          <w:tcPr>
            <w:tcW w:w="1134" w:type="dxa"/>
          </w:tcPr>
          <w:p w14:paraId="43748272"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18.88</w:t>
            </w:r>
          </w:p>
        </w:tc>
        <w:tc>
          <w:tcPr>
            <w:tcW w:w="1134" w:type="dxa"/>
          </w:tcPr>
          <w:p w14:paraId="67BD2BCC"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1.13</w:t>
            </w:r>
          </w:p>
        </w:tc>
        <w:tc>
          <w:tcPr>
            <w:tcW w:w="992" w:type="dxa"/>
          </w:tcPr>
          <w:p w14:paraId="5F462FE3"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0.13</w:t>
            </w:r>
          </w:p>
        </w:tc>
        <w:tc>
          <w:tcPr>
            <w:tcW w:w="1276" w:type="dxa"/>
          </w:tcPr>
          <w:p w14:paraId="22A7FE32"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8.59</w:t>
            </w:r>
          </w:p>
        </w:tc>
        <w:tc>
          <w:tcPr>
            <w:tcW w:w="1134" w:type="dxa"/>
          </w:tcPr>
          <w:p w14:paraId="21CF78C4"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0.04</w:t>
            </w:r>
          </w:p>
        </w:tc>
        <w:tc>
          <w:tcPr>
            <w:tcW w:w="1276" w:type="dxa"/>
          </w:tcPr>
          <w:p w14:paraId="2F58BE50" w14:textId="77777777" w:rsidR="00C603FC" w:rsidRPr="00955220" w:rsidRDefault="00C603FC" w:rsidP="00414F03">
            <w:pPr>
              <w:jc w:val="cente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0.50</w:t>
            </w:r>
          </w:p>
        </w:tc>
      </w:tr>
      <w:tr w:rsidR="00C603FC" w:rsidRPr="00955220" w14:paraId="14F13ABD" w14:textId="77777777" w:rsidTr="00C714AF">
        <w:tc>
          <w:tcPr>
            <w:cnfStyle w:val="001000000000" w:firstRow="0" w:lastRow="0" w:firstColumn="1" w:lastColumn="0" w:oddVBand="0" w:evenVBand="0" w:oddHBand="0" w:evenHBand="0" w:firstRowFirstColumn="0" w:firstRowLastColumn="0" w:lastRowFirstColumn="0" w:lastRowLastColumn="0"/>
            <w:tcW w:w="1740" w:type="dxa"/>
          </w:tcPr>
          <w:p w14:paraId="125764D9" w14:textId="77777777" w:rsidR="00C603FC" w:rsidRPr="00955220" w:rsidRDefault="00C603FC" w:rsidP="00414F03">
            <w:pPr>
              <w:rPr>
                <w:rFonts w:cs="Arial"/>
                <w:szCs w:val="22"/>
              </w:rPr>
            </w:pPr>
            <w:r>
              <w:rPr>
                <w:rFonts w:cs="Arial"/>
                <w:szCs w:val="22"/>
              </w:rPr>
              <w:t>Shymkent</w:t>
            </w:r>
          </w:p>
        </w:tc>
        <w:tc>
          <w:tcPr>
            <w:tcW w:w="1417" w:type="dxa"/>
          </w:tcPr>
          <w:p w14:paraId="3DC49633"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0.04</w:t>
            </w:r>
          </w:p>
        </w:tc>
        <w:tc>
          <w:tcPr>
            <w:tcW w:w="1134" w:type="dxa"/>
          </w:tcPr>
          <w:p w14:paraId="39C2F34D"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29.49</w:t>
            </w:r>
          </w:p>
        </w:tc>
        <w:tc>
          <w:tcPr>
            <w:tcW w:w="1134" w:type="dxa"/>
          </w:tcPr>
          <w:p w14:paraId="06FCA379"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1.15</w:t>
            </w:r>
          </w:p>
        </w:tc>
        <w:tc>
          <w:tcPr>
            <w:tcW w:w="992" w:type="dxa"/>
          </w:tcPr>
          <w:p w14:paraId="25180BE9"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0.27</w:t>
            </w:r>
          </w:p>
        </w:tc>
        <w:tc>
          <w:tcPr>
            <w:tcW w:w="1276" w:type="dxa"/>
          </w:tcPr>
          <w:p w14:paraId="268DB0E7"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8.07</w:t>
            </w:r>
          </w:p>
        </w:tc>
        <w:tc>
          <w:tcPr>
            <w:tcW w:w="1134" w:type="dxa"/>
          </w:tcPr>
          <w:p w14:paraId="24C85DCB"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0.10</w:t>
            </w:r>
          </w:p>
        </w:tc>
        <w:tc>
          <w:tcPr>
            <w:tcW w:w="1276" w:type="dxa"/>
          </w:tcPr>
          <w:p w14:paraId="35C3005A" w14:textId="77777777" w:rsidR="00C603FC" w:rsidRPr="00955220" w:rsidRDefault="00C603FC" w:rsidP="00414F03">
            <w:pPr>
              <w:jc w:val="center"/>
              <w:cnfStyle w:val="000000000000" w:firstRow="0" w:lastRow="0" w:firstColumn="0" w:lastColumn="0" w:oddVBand="0" w:evenVBand="0" w:oddHBand="0" w:evenHBand="0" w:firstRowFirstColumn="0" w:firstRowLastColumn="0" w:lastRowFirstColumn="0" w:lastRowLastColumn="0"/>
              <w:rPr>
                <w:rFonts w:cs="Arial"/>
                <w:szCs w:val="22"/>
              </w:rPr>
            </w:pPr>
            <w:r>
              <w:rPr>
                <w:rFonts w:cs="Arial"/>
                <w:szCs w:val="22"/>
              </w:rPr>
              <w:t>0.67</w:t>
            </w:r>
          </w:p>
        </w:tc>
      </w:tr>
    </w:tbl>
    <w:p w14:paraId="0567276D" w14:textId="77777777" w:rsidR="00C603FC" w:rsidRDefault="00C603FC" w:rsidP="00C603FC">
      <w:pPr>
        <w:rPr>
          <w:rFonts w:cs="Arial"/>
          <w:szCs w:val="22"/>
        </w:rPr>
      </w:pPr>
      <w:r>
        <w:rPr>
          <w:rFonts w:cs="Arial"/>
          <w:szCs w:val="22"/>
        </w:rPr>
        <w:t>Source: Agency of Statistics of RK, Housing and utility sector, Statistics for 2008-2012, 2013.</w:t>
      </w:r>
    </w:p>
    <w:p w14:paraId="61602E01" w14:textId="77777777" w:rsidR="00C603FC" w:rsidRPr="005D28B4" w:rsidRDefault="00C603FC" w:rsidP="00C603FC">
      <w:pPr>
        <w:rPr>
          <w:rFonts w:cs="Arial"/>
          <w:szCs w:val="22"/>
        </w:rPr>
      </w:pPr>
      <w:r>
        <w:rPr>
          <w:rFonts w:cs="Arial"/>
          <w:szCs w:val="22"/>
        </w:rPr>
        <w:t>*US$ to KZT exchange rate: 1US$ = 150 KZT</w:t>
      </w:r>
    </w:p>
    <w:p w14:paraId="41D1B90D" w14:textId="77777777" w:rsidR="002C4C59" w:rsidRDefault="002C4C59" w:rsidP="002C4C59">
      <w:pPr>
        <w:rPr>
          <w:lang w:val="en-US"/>
        </w:rPr>
      </w:pPr>
    </w:p>
    <w:p w14:paraId="25B4F5A6" w14:textId="77777777" w:rsidR="00C603FC" w:rsidRDefault="00C603FC" w:rsidP="002C4C59">
      <w:pPr>
        <w:rPr>
          <w:lang w:val="en-US"/>
        </w:rPr>
      </w:pPr>
    </w:p>
    <w:p w14:paraId="2A40B78C" w14:textId="77777777" w:rsidR="00C603FC" w:rsidRDefault="00C603FC">
      <w:pPr>
        <w:spacing w:after="0"/>
        <w:jc w:val="left"/>
        <w:rPr>
          <w:lang w:val="en-US"/>
        </w:rPr>
      </w:pPr>
      <w:r>
        <w:rPr>
          <w:lang w:val="en-US"/>
        </w:rPr>
        <w:br w:type="page"/>
      </w:r>
    </w:p>
    <w:p w14:paraId="0FCE5253" w14:textId="77777777" w:rsidR="00C603FC" w:rsidRPr="00C603FC" w:rsidRDefault="00C603FC" w:rsidP="00C603FC">
      <w:pPr>
        <w:pStyle w:val="Heading1"/>
        <w:numPr>
          <w:ilvl w:val="0"/>
          <w:numId w:val="0"/>
        </w:numPr>
        <w:ind w:left="432" w:hanging="432"/>
        <w:rPr>
          <w:caps/>
          <w:smallCaps w:val="0"/>
          <w:lang w:val="en-US"/>
        </w:rPr>
      </w:pPr>
      <w:bookmarkStart w:id="97" w:name="_Toc393449017"/>
      <w:r w:rsidRPr="00C603FC">
        <w:rPr>
          <w:caps/>
          <w:smallCaps w:val="0"/>
          <w:lang w:val="en-US"/>
        </w:rPr>
        <w:t>Annex D: Kazakhstan’s Green Economy Concept</w:t>
      </w:r>
      <w:bookmarkEnd w:id="97"/>
    </w:p>
    <w:p w14:paraId="7938F32B" w14:textId="77777777" w:rsidR="00C603FC" w:rsidRDefault="00C603FC" w:rsidP="00C603FC">
      <w:pPr>
        <w:rPr>
          <w:lang w:val="en-US"/>
        </w:rPr>
      </w:pPr>
      <w:r w:rsidRPr="00C603FC">
        <w:rPr>
          <w:lang w:val="en-US"/>
        </w:rPr>
        <w:t>In Kazakhstan</w:t>
      </w:r>
      <w:r>
        <w:rPr>
          <w:lang w:val="en-US"/>
        </w:rPr>
        <w:t>’s</w:t>
      </w:r>
      <w:r w:rsidRPr="00C603FC">
        <w:rPr>
          <w:lang w:val="en-US"/>
        </w:rPr>
        <w:t xml:space="preserve"> legislation, a ‘Concept’ introduces a new policy to the government and public, and afterwards an action plan is developed.  A ‘Strategy’ is the follow-up policy plan to a ‘Concept’ that can be legislated and accepted in the national budget for a specified number of years.  In December 2012, the Government outlined its decision to transition to a green economy in the Kazakhstan 2050 Strategy.  The following spring on 30 May 2013, the President approved the Green Economy Concept.  The corresponding action pla</w:t>
      </w:r>
      <w:r w:rsidR="00E22E93">
        <w:rPr>
          <w:lang w:val="en-US"/>
        </w:rPr>
        <w:t>n was approved in August 2013.</w:t>
      </w:r>
    </w:p>
    <w:p w14:paraId="18D5C198" w14:textId="77777777" w:rsidR="00E22E93" w:rsidRPr="00C603FC" w:rsidRDefault="00E22E93" w:rsidP="00C603FC">
      <w:pPr>
        <w:rPr>
          <w:lang w:val="en-US"/>
        </w:rPr>
      </w:pPr>
    </w:p>
    <w:p w14:paraId="5B709931" w14:textId="77777777" w:rsidR="00C603FC" w:rsidRPr="00C603FC" w:rsidRDefault="00C603FC" w:rsidP="00C603FC">
      <w:pPr>
        <w:rPr>
          <w:lang w:val="en-US"/>
        </w:rPr>
      </w:pPr>
      <w:r w:rsidRPr="00C603FC">
        <w:rPr>
          <w:lang w:val="en-US"/>
        </w:rPr>
        <w:t>Kazakhstan’s Transition to Green Economy Concept and Action Plan are landmark steps by the Government to change the course of the country’s development to integrate environmental and social considerations into the planning and development process along with the already dominant economic ones.  The overarching objective of this initiative is to transition the country from its existing resource dependent growth model to an environmentally sustainable development model that significantly reduces environmental risks and ecological scarcities.  The government plans to achieve this while maintaining economic growth and competitiveness, creating high-value jobs and improving overall human well-being.</w:t>
      </w:r>
    </w:p>
    <w:p w14:paraId="09B1D6C1" w14:textId="77777777" w:rsidR="00C603FC" w:rsidRPr="00C603FC" w:rsidRDefault="00C603FC" w:rsidP="00C603FC">
      <w:pPr>
        <w:rPr>
          <w:rFonts w:cs="Arial"/>
          <w:lang w:val="en-US"/>
        </w:rPr>
      </w:pPr>
      <w:r w:rsidRPr="00C603FC">
        <w:rPr>
          <w:lang w:val="en-US"/>
        </w:rPr>
        <w:t xml:space="preserve">The </w:t>
      </w:r>
      <w:r w:rsidRPr="00C603FC">
        <w:rPr>
          <w:rFonts w:cs="Arial"/>
          <w:lang w:val="en-US"/>
        </w:rPr>
        <w:t>Concept identifies four priority goals for Kazakhstan’s transition to Green Economy:</w:t>
      </w:r>
    </w:p>
    <w:p w14:paraId="06885773" w14:textId="77777777" w:rsidR="00C603FC" w:rsidRPr="00E22E93" w:rsidRDefault="00C603FC" w:rsidP="007D6892">
      <w:pPr>
        <w:pStyle w:val="ListParagraph"/>
        <w:numPr>
          <w:ilvl w:val="1"/>
          <w:numId w:val="20"/>
        </w:numPr>
        <w:ind w:left="709"/>
        <w:rPr>
          <w:rFonts w:ascii="Arial" w:hAnsi="Arial" w:cs="Arial"/>
          <w:sz w:val="22"/>
          <w:szCs w:val="22"/>
        </w:rPr>
      </w:pPr>
      <w:r w:rsidRPr="00E22E93">
        <w:rPr>
          <w:rFonts w:ascii="Arial" w:hAnsi="Arial" w:cs="Arial"/>
          <w:sz w:val="22"/>
          <w:szCs w:val="22"/>
        </w:rPr>
        <w:t xml:space="preserve">Increased resource productivity, including water, land, biological resources, and resource management efficiency; </w:t>
      </w:r>
    </w:p>
    <w:p w14:paraId="378F8622" w14:textId="77777777" w:rsidR="00C603FC" w:rsidRPr="00E22E93" w:rsidRDefault="00C603FC" w:rsidP="007D6892">
      <w:pPr>
        <w:pStyle w:val="ListParagraph"/>
        <w:numPr>
          <w:ilvl w:val="1"/>
          <w:numId w:val="20"/>
        </w:numPr>
        <w:ind w:left="709"/>
        <w:rPr>
          <w:rFonts w:ascii="Arial" w:hAnsi="Arial" w:cs="Arial"/>
          <w:sz w:val="22"/>
          <w:szCs w:val="22"/>
        </w:rPr>
      </w:pPr>
      <w:r w:rsidRPr="00E22E93">
        <w:rPr>
          <w:rFonts w:ascii="Arial" w:hAnsi="Arial" w:cs="Arial"/>
          <w:sz w:val="22"/>
          <w:szCs w:val="22"/>
        </w:rPr>
        <w:t xml:space="preserve">Modernization of existing and development of new infrastructure; </w:t>
      </w:r>
    </w:p>
    <w:p w14:paraId="18199867" w14:textId="77777777" w:rsidR="00C603FC" w:rsidRPr="00E22E93" w:rsidRDefault="00C603FC" w:rsidP="007D6892">
      <w:pPr>
        <w:pStyle w:val="ListParagraph"/>
        <w:numPr>
          <w:ilvl w:val="1"/>
          <w:numId w:val="20"/>
        </w:numPr>
        <w:ind w:left="709"/>
        <w:rPr>
          <w:rFonts w:ascii="Arial" w:hAnsi="Arial" w:cs="Arial"/>
          <w:sz w:val="22"/>
          <w:szCs w:val="22"/>
        </w:rPr>
      </w:pPr>
      <w:r w:rsidRPr="00E22E93">
        <w:rPr>
          <w:rFonts w:ascii="Arial" w:hAnsi="Arial" w:cs="Arial"/>
          <w:sz w:val="22"/>
          <w:szCs w:val="22"/>
        </w:rPr>
        <w:t>Increased population well-being and quality of the environment, achieved though profitable measures reducing environmental footprint; and</w:t>
      </w:r>
    </w:p>
    <w:p w14:paraId="28F856ED" w14:textId="77777777" w:rsidR="00C603FC" w:rsidRPr="00E22E93" w:rsidRDefault="00C603FC" w:rsidP="007D6892">
      <w:pPr>
        <w:pStyle w:val="ListParagraph"/>
        <w:numPr>
          <w:ilvl w:val="1"/>
          <w:numId w:val="20"/>
        </w:numPr>
        <w:ind w:left="709"/>
        <w:rPr>
          <w:rFonts w:ascii="Arial" w:hAnsi="Arial" w:cs="Arial"/>
          <w:sz w:val="22"/>
          <w:szCs w:val="22"/>
        </w:rPr>
      </w:pPr>
      <w:r w:rsidRPr="00E22E93">
        <w:rPr>
          <w:rFonts w:ascii="Arial" w:hAnsi="Arial" w:cs="Arial"/>
          <w:sz w:val="22"/>
          <w:szCs w:val="22"/>
        </w:rPr>
        <w:t>Increased national security, including water supply.</w:t>
      </w:r>
    </w:p>
    <w:p w14:paraId="5A2B7BB7" w14:textId="77777777" w:rsidR="00E22E93" w:rsidRDefault="00E22E93" w:rsidP="00C603FC">
      <w:pPr>
        <w:rPr>
          <w:rFonts w:cs="Arial"/>
          <w:lang w:val="en-US"/>
        </w:rPr>
      </w:pPr>
    </w:p>
    <w:p w14:paraId="51360F78" w14:textId="77777777" w:rsidR="00C603FC" w:rsidRDefault="00C603FC" w:rsidP="00C603FC">
      <w:pPr>
        <w:rPr>
          <w:lang w:val="en-US"/>
        </w:rPr>
      </w:pPr>
      <w:r w:rsidRPr="00C603FC">
        <w:rPr>
          <w:rFonts w:cs="Arial"/>
          <w:lang w:val="en-US"/>
        </w:rPr>
        <w:t>To achieve these goals the</w:t>
      </w:r>
      <w:r w:rsidRPr="00C603FC">
        <w:rPr>
          <w:lang w:val="en-US"/>
        </w:rPr>
        <w:t xml:space="preserve"> Concept identifies seven key areas in which to undertake sustainable-development initiatives: water resource management, sustainable agriculture, energy efficiency, power sector development, waste management, air pollution reduction, and ecosystem management.  Fundamental to Transition to Green Economy is the idea that in addressing the sustainability of key sectors, there will be synergies found across a variety of cross-cutting issues, including climate change, good governance, environmental sustainability, gender equality, and human rights.</w:t>
      </w:r>
    </w:p>
    <w:p w14:paraId="21FC4F54" w14:textId="77777777" w:rsidR="00E22E93" w:rsidRPr="00C603FC" w:rsidRDefault="00E22E93" w:rsidP="00C603FC">
      <w:pPr>
        <w:rPr>
          <w:lang w:val="en-US"/>
        </w:rPr>
      </w:pPr>
    </w:p>
    <w:p w14:paraId="677C1019" w14:textId="77777777" w:rsidR="00C603FC" w:rsidRDefault="00C603FC" w:rsidP="00C603FC">
      <w:pPr>
        <w:rPr>
          <w:lang w:val="en-US"/>
        </w:rPr>
      </w:pPr>
      <w:r w:rsidRPr="00C603FC">
        <w:rPr>
          <w:lang w:val="en-US"/>
        </w:rPr>
        <w:t>In addition to outlining key areas for intervention, the Concept also calls for human resource development with regard to the population’s “ecological culture”.  The Concept proposes a range of actions from the introduction of green topics into elementary and preschool curricula to training for technical and management personnel on environmental protection and resource productivity. Part of the strategy will be broad communication and education programmes to raise awareness of the country’s environmental issues.  The overall goal here is to integrate environmental considerations into the fabric of society and foster a culture</w:t>
      </w:r>
      <w:r w:rsidR="00E22E93">
        <w:rPr>
          <w:lang w:val="en-US"/>
        </w:rPr>
        <w:t xml:space="preserve"> of environmental stewardship.</w:t>
      </w:r>
    </w:p>
    <w:p w14:paraId="1D826CF8" w14:textId="77777777" w:rsidR="00E22E93" w:rsidRPr="00C603FC" w:rsidRDefault="00E22E93" w:rsidP="00C603FC">
      <w:pPr>
        <w:rPr>
          <w:lang w:val="en-US"/>
        </w:rPr>
      </w:pPr>
    </w:p>
    <w:p w14:paraId="2F9B306D" w14:textId="77777777" w:rsidR="00C603FC" w:rsidRPr="00C603FC" w:rsidRDefault="00C603FC" w:rsidP="00C603FC">
      <w:pPr>
        <w:rPr>
          <w:lang w:val="en-US"/>
        </w:rPr>
      </w:pPr>
      <w:r w:rsidRPr="00C603FC">
        <w:rPr>
          <w:lang w:val="en-US"/>
        </w:rPr>
        <w:t>In order to facilitate the implementation of the Concept and Action Plan, the Office of the President has created a Council for Transition to Green Economy.  This group is designed to ensure the cross-sector implementation of the strategy and to follow up on implementation progress.  The Council is tasked with presenting a “National Report on transition towards Green Economy” every three years.</w:t>
      </w:r>
    </w:p>
    <w:p w14:paraId="6F9D8044" w14:textId="77777777" w:rsidR="00C603FC" w:rsidRDefault="00C603FC" w:rsidP="00C603FC">
      <w:pPr>
        <w:rPr>
          <w:lang w:val="en-US"/>
        </w:rPr>
      </w:pPr>
      <w:r w:rsidRPr="00C603FC">
        <w:rPr>
          <w:lang w:val="en-US"/>
        </w:rPr>
        <w:t>The Government understands that a transformation of this magnitude requires time, and for this reason it has identified three different stages of implementation for the Green Economy Concept:</w:t>
      </w:r>
    </w:p>
    <w:p w14:paraId="084E932A" w14:textId="77777777" w:rsidR="00C603FC" w:rsidRPr="00C603FC" w:rsidRDefault="00C603FC" w:rsidP="00E22E93">
      <w:pPr>
        <w:ind w:left="720"/>
        <w:rPr>
          <w:lang w:val="en-US"/>
        </w:rPr>
      </w:pPr>
      <w:r w:rsidRPr="00E22E93">
        <w:rPr>
          <w:b/>
          <w:lang w:val="en-US"/>
        </w:rPr>
        <w:t>2013-2020</w:t>
      </w:r>
      <w:r w:rsidRPr="00C603FC">
        <w:rPr>
          <w:lang w:val="en-US"/>
        </w:rPr>
        <w:t xml:space="preserve"> - During this period, the main priority of the state will be to optimize resource use and increase the efficiency of the environment protection activities, as well as to establish green infrastructure; </w:t>
      </w:r>
    </w:p>
    <w:p w14:paraId="49705972" w14:textId="77777777" w:rsidR="00C603FC" w:rsidRPr="00C603FC" w:rsidRDefault="00C603FC" w:rsidP="00E22E93">
      <w:pPr>
        <w:ind w:left="720"/>
        <w:rPr>
          <w:lang w:val="en-US"/>
        </w:rPr>
      </w:pPr>
      <w:r w:rsidRPr="00E22E93">
        <w:rPr>
          <w:b/>
          <w:lang w:val="en-US"/>
        </w:rPr>
        <w:t>2020-2030</w:t>
      </w:r>
      <w:r w:rsidRPr="00C603FC">
        <w:rPr>
          <w:lang w:val="en-US"/>
        </w:rPr>
        <w:t xml:space="preserve"> – Based on the established green infrastructure, transformation of the national economy will start, oriented at rational water use, motivation and stimulation of development and broad implementation of renewable energy technologies, as well as construction of facilities based on high energy efficiency standards; and </w:t>
      </w:r>
    </w:p>
    <w:p w14:paraId="7624442D" w14:textId="77777777" w:rsidR="00C603FC" w:rsidRPr="00C603FC" w:rsidRDefault="00C603FC" w:rsidP="00E22E93">
      <w:pPr>
        <w:ind w:left="720"/>
        <w:rPr>
          <w:lang w:val="en-US"/>
        </w:rPr>
      </w:pPr>
      <w:r w:rsidRPr="00E22E93">
        <w:rPr>
          <w:b/>
          <w:lang w:val="en-US"/>
        </w:rPr>
        <w:t>2030-2050</w:t>
      </w:r>
      <w:r w:rsidRPr="00C603FC">
        <w:rPr>
          <w:lang w:val="en-US"/>
        </w:rPr>
        <w:t xml:space="preserve"> – Transition of the national economy to principles of Third Industrial Revolution, which require the use of natural resources on the condition of renewability and sustainability.</w:t>
      </w:r>
    </w:p>
    <w:p w14:paraId="6858636A" w14:textId="77777777" w:rsidR="00E22E93" w:rsidRDefault="00E22E93" w:rsidP="00C603FC">
      <w:pPr>
        <w:rPr>
          <w:lang w:val="en-US"/>
        </w:rPr>
      </w:pPr>
    </w:p>
    <w:p w14:paraId="21EAB718" w14:textId="77777777" w:rsidR="00C603FC" w:rsidRDefault="00C603FC" w:rsidP="00C603FC">
      <w:pPr>
        <w:rPr>
          <w:lang w:val="en-US"/>
        </w:rPr>
      </w:pPr>
      <w:r w:rsidRPr="00C603FC">
        <w:rPr>
          <w:lang w:val="en-US"/>
        </w:rPr>
        <w:t>The Ministry of Environment and Water Resources and the Ministry of Economy and Budget Planning are charged with the implementation of the Concept for transition to green economy and have been taking steps to develop the Concept into a Strategy.  For example, MEWR is currently working with the Global Green Growth Institute (GGGI) and the European Bank for Reconstruction and Development to develop the Strategy for Kazakhstan’s Green Economy.  MEWR has also collaborated with World Bank and the European Bank to propose amendments to the Environmental Code as part of the Green Economy Law.</w:t>
      </w:r>
    </w:p>
    <w:p w14:paraId="447EE88A" w14:textId="77777777" w:rsidR="00FF6A34" w:rsidRDefault="00FF6A34" w:rsidP="00C603FC">
      <w:pPr>
        <w:rPr>
          <w:lang w:val="en-US"/>
        </w:rPr>
      </w:pPr>
    </w:p>
    <w:p w14:paraId="53ABC149" w14:textId="77777777" w:rsidR="00FF6A34" w:rsidRDefault="00FF6A34">
      <w:pPr>
        <w:spacing w:after="0"/>
        <w:jc w:val="left"/>
        <w:rPr>
          <w:lang w:val="en-US"/>
        </w:rPr>
      </w:pPr>
      <w:r>
        <w:rPr>
          <w:lang w:val="en-US"/>
        </w:rPr>
        <w:br w:type="page"/>
      </w:r>
    </w:p>
    <w:p w14:paraId="7F22EE79" w14:textId="77777777" w:rsidR="00FF6A34" w:rsidRPr="00FF6A34" w:rsidRDefault="00FF6A34" w:rsidP="00FF6A34">
      <w:pPr>
        <w:pStyle w:val="Heading1"/>
        <w:numPr>
          <w:ilvl w:val="0"/>
          <w:numId w:val="0"/>
        </w:numPr>
        <w:ind w:left="432" w:hanging="432"/>
        <w:rPr>
          <w:caps/>
          <w:smallCaps w:val="0"/>
          <w:lang w:val="en-US"/>
        </w:rPr>
      </w:pPr>
      <w:bookmarkStart w:id="98" w:name="_Toc393449018"/>
      <w:r>
        <w:rPr>
          <w:caps/>
          <w:smallCaps w:val="0"/>
          <w:lang w:val="en-US"/>
        </w:rPr>
        <w:t xml:space="preserve">Annex E: </w:t>
      </w:r>
      <w:r w:rsidRPr="00FF6A34">
        <w:rPr>
          <w:caps/>
          <w:smallCaps w:val="0"/>
          <w:lang w:val="en-US"/>
        </w:rPr>
        <w:t>Waste Management in Kazakhstan</w:t>
      </w:r>
      <w:bookmarkEnd w:id="98"/>
      <w:r w:rsidRPr="00FF6A34">
        <w:rPr>
          <w:caps/>
          <w:smallCaps w:val="0"/>
          <w:lang w:val="en-US"/>
        </w:rPr>
        <w:t xml:space="preserve"> </w:t>
      </w:r>
    </w:p>
    <w:p w14:paraId="7A2399CE" w14:textId="77777777" w:rsidR="00FF6A34" w:rsidRPr="0019685D" w:rsidRDefault="00FF6A34" w:rsidP="00FF6A34">
      <w:pPr>
        <w:rPr>
          <w:rFonts w:cs="Arial"/>
          <w:szCs w:val="22"/>
        </w:rPr>
      </w:pPr>
      <w:r w:rsidRPr="0019685D">
        <w:rPr>
          <w:rFonts w:cs="Arial"/>
          <w:szCs w:val="22"/>
        </w:rPr>
        <w:t>(based on EBRD report on waste management categorization and legal implementation in Kazakhstan prepared by Fichtner Consulting Company in 2013 and National Program on Municipal Solid Waste Management for 2013-2050)</w:t>
      </w:r>
    </w:p>
    <w:p w14:paraId="42D06BCC" w14:textId="77777777" w:rsidR="00FF6A34" w:rsidRPr="0048093F" w:rsidRDefault="00FF6A34" w:rsidP="00FF6A34">
      <w:pPr>
        <w:rPr>
          <w:rFonts w:cs="Arial"/>
          <w:szCs w:val="22"/>
        </w:rPr>
      </w:pPr>
    </w:p>
    <w:p w14:paraId="50C4439B" w14:textId="77777777" w:rsidR="00FF6A34" w:rsidRPr="00492530" w:rsidRDefault="00FF6A34" w:rsidP="00FF6A34">
      <w:pPr>
        <w:rPr>
          <w:rFonts w:cs="Arial"/>
          <w:b/>
          <w:szCs w:val="22"/>
        </w:rPr>
      </w:pPr>
      <w:r w:rsidRPr="00492530">
        <w:rPr>
          <w:rFonts w:cs="Arial"/>
          <w:b/>
          <w:szCs w:val="22"/>
        </w:rPr>
        <w:t>Context</w:t>
      </w:r>
    </w:p>
    <w:p w14:paraId="14626AA0" w14:textId="77777777" w:rsidR="00FF6A34" w:rsidRDefault="00FF6A34" w:rsidP="00FF6A34">
      <w:pPr>
        <w:rPr>
          <w:rFonts w:cs="Arial"/>
          <w:szCs w:val="22"/>
        </w:rPr>
      </w:pPr>
    </w:p>
    <w:p w14:paraId="1EA14362" w14:textId="77777777" w:rsidR="00FF6A34" w:rsidRDefault="00FF6A34" w:rsidP="00FF6A34">
      <w:pPr>
        <w:rPr>
          <w:rFonts w:cs="Arial"/>
          <w:szCs w:val="22"/>
        </w:rPr>
      </w:pPr>
      <w:r>
        <w:rPr>
          <w:rFonts w:cs="Arial"/>
          <w:szCs w:val="22"/>
        </w:rPr>
        <w:t xml:space="preserve">Total volume of accumulated municipal solid waste </w:t>
      </w:r>
      <w:r w:rsidRPr="002D4D38">
        <w:rPr>
          <w:rFonts w:cs="Arial"/>
          <w:szCs w:val="22"/>
        </w:rPr>
        <w:t>in Kazakhstan</w:t>
      </w:r>
      <w:r>
        <w:rPr>
          <w:rFonts w:cs="Arial"/>
          <w:szCs w:val="22"/>
        </w:rPr>
        <w:t xml:space="preserve"> is about 100 million tons (including hazard waste), and the annual generation rate </w:t>
      </w:r>
      <w:r w:rsidRPr="002D4D38">
        <w:rPr>
          <w:rFonts w:cs="Arial"/>
          <w:szCs w:val="22"/>
        </w:rPr>
        <w:t>of municipal solid waste in</w:t>
      </w:r>
      <w:r>
        <w:rPr>
          <w:rFonts w:cs="Arial"/>
          <w:szCs w:val="22"/>
        </w:rPr>
        <w:t xml:space="preserve"> urban areas is in the range of 80 to 400 kg/inhabitant per year</w:t>
      </w:r>
      <w:r>
        <w:rPr>
          <w:rStyle w:val="FootnoteReference"/>
          <w:rFonts w:cs="Arial"/>
          <w:szCs w:val="22"/>
        </w:rPr>
        <w:footnoteReference w:id="33"/>
      </w:r>
      <w:r>
        <w:rPr>
          <w:rFonts w:cs="Arial"/>
          <w:szCs w:val="22"/>
        </w:rPr>
        <w:t>. Table XX below presents</w:t>
      </w:r>
      <w:r w:rsidRPr="002D4D38">
        <w:rPr>
          <w:rFonts w:cs="Arial"/>
          <w:szCs w:val="22"/>
        </w:rPr>
        <w:t xml:space="preserve"> figures </w:t>
      </w:r>
      <w:r>
        <w:rPr>
          <w:rFonts w:cs="Arial"/>
          <w:szCs w:val="22"/>
        </w:rPr>
        <w:t>on waste collected in 2012 and norms for waste generation per person across 16 largest cities/towns in the country.</w:t>
      </w:r>
    </w:p>
    <w:p w14:paraId="2BA2D67A" w14:textId="77777777" w:rsidR="00FF6A34" w:rsidRDefault="00FF6A34" w:rsidP="00FF6A34">
      <w:pPr>
        <w:rPr>
          <w:rFonts w:cs="Arial"/>
          <w:szCs w:val="22"/>
        </w:rPr>
      </w:pPr>
    </w:p>
    <w:p w14:paraId="210AD1ED" w14:textId="77777777" w:rsidR="00FF6A34" w:rsidRDefault="00FF6A34" w:rsidP="00FF6A34">
      <w:pPr>
        <w:rPr>
          <w:rFonts w:cs="Arial"/>
          <w:szCs w:val="22"/>
        </w:rPr>
      </w:pPr>
      <w:r>
        <w:rPr>
          <w:rFonts w:cs="Arial"/>
          <w:szCs w:val="22"/>
        </w:rPr>
        <w:t>Table XX.</w:t>
      </w:r>
    </w:p>
    <w:p w14:paraId="37242F24" w14:textId="77777777" w:rsidR="00FF6A34" w:rsidRPr="00492530" w:rsidRDefault="00FF6A34" w:rsidP="00FF6A34">
      <w:pPr>
        <w:rPr>
          <w:rFonts w:cs="Arial"/>
          <w:szCs w:val="22"/>
          <w:lang w:val="ru-RU"/>
        </w:rPr>
      </w:pPr>
    </w:p>
    <w:tbl>
      <w:tblPr>
        <w:tblW w:w="463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7"/>
        <w:gridCol w:w="1744"/>
        <w:gridCol w:w="2067"/>
        <w:gridCol w:w="2070"/>
      </w:tblGrid>
      <w:tr w:rsidR="00FF6A34" w:rsidRPr="00492530" w14:paraId="075D1734" w14:textId="77777777" w:rsidTr="00951CEA">
        <w:tc>
          <w:tcPr>
            <w:tcW w:w="2327" w:type="dxa"/>
            <w:vMerge w:val="restart"/>
          </w:tcPr>
          <w:p w14:paraId="02313AD8" w14:textId="77777777" w:rsidR="00FF6A34" w:rsidRPr="002F6C06" w:rsidRDefault="00FF6A34" w:rsidP="00951CEA">
            <w:pPr>
              <w:rPr>
                <w:rFonts w:cs="Arial"/>
                <w:szCs w:val="22"/>
              </w:rPr>
            </w:pPr>
            <w:r w:rsidRPr="002F6C06">
              <w:rPr>
                <w:rFonts w:cs="Arial"/>
                <w:szCs w:val="22"/>
              </w:rPr>
              <w:t>City</w:t>
            </w:r>
          </w:p>
        </w:tc>
        <w:tc>
          <w:tcPr>
            <w:tcW w:w="1744" w:type="dxa"/>
            <w:vMerge w:val="restart"/>
          </w:tcPr>
          <w:p w14:paraId="35AB1DE0" w14:textId="77777777" w:rsidR="00FF6A34" w:rsidRPr="00120FC5" w:rsidRDefault="00FF6A34" w:rsidP="00951CEA">
            <w:pPr>
              <w:rPr>
                <w:rFonts w:cs="Arial"/>
                <w:szCs w:val="22"/>
                <w:vertAlign w:val="superscript"/>
              </w:rPr>
            </w:pPr>
            <w:r w:rsidRPr="002F6C06">
              <w:rPr>
                <w:rFonts w:cs="Arial"/>
                <w:szCs w:val="22"/>
              </w:rPr>
              <w:t>Population by end of 2012</w:t>
            </w:r>
            <w:r>
              <w:rPr>
                <w:rFonts w:cs="Arial"/>
                <w:szCs w:val="22"/>
                <w:vertAlign w:val="superscript"/>
              </w:rPr>
              <w:t>*</w:t>
            </w:r>
          </w:p>
        </w:tc>
        <w:tc>
          <w:tcPr>
            <w:tcW w:w="2067" w:type="dxa"/>
          </w:tcPr>
          <w:p w14:paraId="00A5F711" w14:textId="77777777" w:rsidR="00FF6A34" w:rsidRPr="00120FC5" w:rsidRDefault="00FF6A34" w:rsidP="00951CEA">
            <w:pPr>
              <w:rPr>
                <w:rFonts w:cs="Arial"/>
                <w:szCs w:val="22"/>
                <w:vertAlign w:val="superscript"/>
              </w:rPr>
            </w:pPr>
            <w:r>
              <w:rPr>
                <w:rFonts w:cs="Arial"/>
                <w:szCs w:val="22"/>
              </w:rPr>
              <w:t>Municipal solid waste collected in landfills in 2012</w:t>
            </w:r>
            <w:r>
              <w:rPr>
                <w:rFonts w:cs="Arial"/>
                <w:szCs w:val="22"/>
                <w:vertAlign w:val="superscript"/>
              </w:rPr>
              <w:t>**</w:t>
            </w:r>
          </w:p>
        </w:tc>
        <w:tc>
          <w:tcPr>
            <w:tcW w:w="2070" w:type="dxa"/>
          </w:tcPr>
          <w:p w14:paraId="7A0405BD" w14:textId="77777777" w:rsidR="00FF6A34" w:rsidRPr="00120FC5" w:rsidRDefault="00FF6A34" w:rsidP="00951CEA">
            <w:pPr>
              <w:rPr>
                <w:rFonts w:cs="Arial"/>
                <w:szCs w:val="22"/>
                <w:vertAlign w:val="superscript"/>
              </w:rPr>
            </w:pPr>
            <w:r>
              <w:rPr>
                <w:rFonts w:cs="Arial"/>
                <w:szCs w:val="22"/>
              </w:rPr>
              <w:t>Norm of water generation per person</w:t>
            </w:r>
            <w:r>
              <w:rPr>
                <w:rFonts w:cs="Arial"/>
                <w:szCs w:val="22"/>
                <w:vertAlign w:val="superscript"/>
              </w:rPr>
              <w:t>***</w:t>
            </w:r>
          </w:p>
        </w:tc>
      </w:tr>
      <w:tr w:rsidR="00FF6A34" w:rsidRPr="00492530" w14:paraId="4361D83D" w14:textId="77777777" w:rsidTr="00951CEA">
        <w:trPr>
          <w:trHeight w:val="350"/>
        </w:trPr>
        <w:tc>
          <w:tcPr>
            <w:tcW w:w="2327" w:type="dxa"/>
            <w:vMerge/>
          </w:tcPr>
          <w:p w14:paraId="194FE85B" w14:textId="77777777" w:rsidR="00FF6A34" w:rsidRPr="002F6C06" w:rsidRDefault="00FF6A34" w:rsidP="00951CEA">
            <w:pPr>
              <w:rPr>
                <w:rFonts w:cs="Arial"/>
                <w:szCs w:val="22"/>
              </w:rPr>
            </w:pPr>
          </w:p>
        </w:tc>
        <w:tc>
          <w:tcPr>
            <w:tcW w:w="1744" w:type="dxa"/>
            <w:vMerge/>
          </w:tcPr>
          <w:p w14:paraId="2991A2F5" w14:textId="77777777" w:rsidR="00FF6A34" w:rsidRPr="002F6C06" w:rsidRDefault="00FF6A34" w:rsidP="00951CEA">
            <w:pPr>
              <w:rPr>
                <w:rFonts w:cs="Arial"/>
                <w:szCs w:val="22"/>
              </w:rPr>
            </w:pPr>
          </w:p>
        </w:tc>
        <w:tc>
          <w:tcPr>
            <w:tcW w:w="2067" w:type="dxa"/>
          </w:tcPr>
          <w:p w14:paraId="532557CF" w14:textId="77777777" w:rsidR="00FF6A34" w:rsidRPr="002F6C06" w:rsidRDefault="00FF6A34" w:rsidP="00951CEA">
            <w:pPr>
              <w:rPr>
                <w:rFonts w:cs="Arial"/>
                <w:szCs w:val="22"/>
              </w:rPr>
            </w:pPr>
            <w:r w:rsidRPr="002F6C06">
              <w:rPr>
                <w:rFonts w:cs="Arial"/>
                <w:szCs w:val="22"/>
              </w:rPr>
              <w:t>in tons</w:t>
            </w:r>
          </w:p>
        </w:tc>
        <w:tc>
          <w:tcPr>
            <w:tcW w:w="2070" w:type="dxa"/>
          </w:tcPr>
          <w:p w14:paraId="5AA692FD" w14:textId="77777777" w:rsidR="00FF6A34" w:rsidRPr="002F6C06" w:rsidRDefault="00FF6A34" w:rsidP="00951CEA">
            <w:pPr>
              <w:rPr>
                <w:rFonts w:cs="Arial"/>
                <w:szCs w:val="22"/>
              </w:rPr>
            </w:pPr>
            <w:r w:rsidRPr="002F6C06">
              <w:rPr>
                <w:rFonts w:cs="Arial"/>
                <w:szCs w:val="22"/>
              </w:rPr>
              <w:t>m</w:t>
            </w:r>
            <w:r w:rsidRPr="002F6C06">
              <w:rPr>
                <w:rFonts w:cs="Arial"/>
                <w:szCs w:val="22"/>
                <w:vertAlign w:val="superscript"/>
              </w:rPr>
              <w:t>3</w:t>
            </w:r>
            <w:r w:rsidRPr="002F6C06">
              <w:rPr>
                <w:rFonts w:cs="Arial"/>
                <w:szCs w:val="22"/>
              </w:rPr>
              <w:t>/person per year</w:t>
            </w:r>
          </w:p>
        </w:tc>
      </w:tr>
      <w:tr w:rsidR="00FF6A34" w:rsidRPr="00492530" w14:paraId="426D1DA9" w14:textId="77777777" w:rsidTr="00951CEA">
        <w:tc>
          <w:tcPr>
            <w:tcW w:w="2327" w:type="dxa"/>
          </w:tcPr>
          <w:p w14:paraId="1BB17E52" w14:textId="77777777" w:rsidR="00FF6A34" w:rsidRPr="002F6C06" w:rsidRDefault="00FF6A34" w:rsidP="00951CEA">
            <w:pPr>
              <w:rPr>
                <w:rFonts w:cs="Arial"/>
                <w:szCs w:val="22"/>
              </w:rPr>
            </w:pPr>
            <w:r w:rsidRPr="002F6C06">
              <w:rPr>
                <w:rFonts w:cs="Arial"/>
                <w:szCs w:val="22"/>
              </w:rPr>
              <w:t>Astana</w:t>
            </w:r>
          </w:p>
        </w:tc>
        <w:tc>
          <w:tcPr>
            <w:tcW w:w="1744" w:type="dxa"/>
            <w:vAlign w:val="center"/>
          </w:tcPr>
          <w:p w14:paraId="0347C152" w14:textId="77777777" w:rsidR="00FF6A34" w:rsidRPr="002F6C06" w:rsidRDefault="00FF6A34" w:rsidP="00951CEA">
            <w:pPr>
              <w:jc w:val="right"/>
              <w:rPr>
                <w:rFonts w:cs="Arial"/>
                <w:szCs w:val="22"/>
              </w:rPr>
            </w:pPr>
            <w:r w:rsidRPr="002F6C06">
              <w:rPr>
                <w:rFonts w:cs="Arial"/>
                <w:szCs w:val="22"/>
              </w:rPr>
              <w:t>778,198</w:t>
            </w:r>
          </w:p>
        </w:tc>
        <w:tc>
          <w:tcPr>
            <w:tcW w:w="2067" w:type="dxa"/>
            <w:vAlign w:val="center"/>
          </w:tcPr>
          <w:p w14:paraId="72D01CBC" w14:textId="77777777" w:rsidR="00FF6A34" w:rsidRPr="002F6C06" w:rsidRDefault="00FF6A34" w:rsidP="00951CEA">
            <w:pPr>
              <w:jc w:val="right"/>
              <w:rPr>
                <w:rFonts w:cs="Arial"/>
                <w:szCs w:val="22"/>
              </w:rPr>
            </w:pPr>
            <w:r w:rsidRPr="002F6C06">
              <w:rPr>
                <w:rFonts w:cs="Arial"/>
                <w:szCs w:val="22"/>
              </w:rPr>
              <w:t>326,400</w:t>
            </w:r>
          </w:p>
        </w:tc>
        <w:tc>
          <w:tcPr>
            <w:tcW w:w="2070" w:type="dxa"/>
            <w:vAlign w:val="center"/>
          </w:tcPr>
          <w:p w14:paraId="34EB501C" w14:textId="77777777" w:rsidR="00FF6A34" w:rsidRPr="002F6C06" w:rsidRDefault="00FF6A34" w:rsidP="00951CEA">
            <w:pPr>
              <w:jc w:val="right"/>
              <w:rPr>
                <w:rFonts w:cs="Arial"/>
                <w:szCs w:val="22"/>
              </w:rPr>
            </w:pPr>
            <w:r w:rsidRPr="002F6C06">
              <w:rPr>
                <w:rFonts w:cs="Arial"/>
                <w:szCs w:val="22"/>
              </w:rPr>
              <w:t>2.16</w:t>
            </w:r>
          </w:p>
        </w:tc>
      </w:tr>
      <w:tr w:rsidR="00FF6A34" w:rsidRPr="00492530" w14:paraId="710E217B" w14:textId="77777777" w:rsidTr="00951CEA">
        <w:tc>
          <w:tcPr>
            <w:tcW w:w="2327" w:type="dxa"/>
          </w:tcPr>
          <w:p w14:paraId="6F17ADEA" w14:textId="77777777" w:rsidR="00FF6A34" w:rsidRPr="002F6C06" w:rsidRDefault="00FF6A34" w:rsidP="00951CEA">
            <w:pPr>
              <w:rPr>
                <w:rFonts w:cs="Arial"/>
                <w:szCs w:val="22"/>
              </w:rPr>
            </w:pPr>
            <w:r w:rsidRPr="002F6C06">
              <w:rPr>
                <w:rFonts w:cs="Arial"/>
                <w:szCs w:val="22"/>
              </w:rPr>
              <w:t>Almaty</w:t>
            </w:r>
          </w:p>
        </w:tc>
        <w:tc>
          <w:tcPr>
            <w:tcW w:w="1744" w:type="dxa"/>
            <w:vAlign w:val="center"/>
          </w:tcPr>
          <w:p w14:paraId="7A77DBD2" w14:textId="77777777" w:rsidR="00FF6A34" w:rsidRPr="002F6C06" w:rsidRDefault="00FF6A34" w:rsidP="00951CEA">
            <w:pPr>
              <w:jc w:val="right"/>
              <w:rPr>
                <w:rFonts w:cs="Arial"/>
                <w:szCs w:val="22"/>
              </w:rPr>
            </w:pPr>
            <w:r w:rsidRPr="002F6C06">
              <w:rPr>
                <w:rFonts w:cs="Arial"/>
                <w:szCs w:val="22"/>
              </w:rPr>
              <w:t>1,475,429</w:t>
            </w:r>
          </w:p>
        </w:tc>
        <w:tc>
          <w:tcPr>
            <w:tcW w:w="2067" w:type="dxa"/>
            <w:vAlign w:val="center"/>
          </w:tcPr>
          <w:p w14:paraId="63390431" w14:textId="77777777" w:rsidR="00FF6A34" w:rsidRPr="002F6C06" w:rsidRDefault="00FF6A34" w:rsidP="00951CEA">
            <w:pPr>
              <w:jc w:val="right"/>
              <w:rPr>
                <w:rFonts w:cs="Arial"/>
                <w:szCs w:val="22"/>
              </w:rPr>
            </w:pPr>
            <w:r w:rsidRPr="002F6C06">
              <w:rPr>
                <w:rFonts w:cs="Arial"/>
                <w:szCs w:val="22"/>
              </w:rPr>
              <w:t>549,120</w:t>
            </w:r>
          </w:p>
        </w:tc>
        <w:tc>
          <w:tcPr>
            <w:tcW w:w="2070" w:type="dxa"/>
            <w:vAlign w:val="center"/>
          </w:tcPr>
          <w:p w14:paraId="1D62C437" w14:textId="77777777" w:rsidR="00FF6A34" w:rsidRPr="002F6C06" w:rsidRDefault="00FF6A34" w:rsidP="00951CEA">
            <w:pPr>
              <w:jc w:val="right"/>
              <w:rPr>
                <w:rFonts w:cs="Arial"/>
                <w:szCs w:val="22"/>
              </w:rPr>
            </w:pPr>
            <w:r w:rsidRPr="002F6C06">
              <w:rPr>
                <w:rFonts w:cs="Arial"/>
                <w:szCs w:val="22"/>
              </w:rPr>
              <w:t>2.55</w:t>
            </w:r>
          </w:p>
        </w:tc>
      </w:tr>
      <w:tr w:rsidR="00FF6A34" w:rsidRPr="00492530" w14:paraId="1B9D047C" w14:textId="77777777" w:rsidTr="00951CEA">
        <w:tc>
          <w:tcPr>
            <w:tcW w:w="2327" w:type="dxa"/>
          </w:tcPr>
          <w:p w14:paraId="46277208" w14:textId="77777777" w:rsidR="00FF6A34" w:rsidRPr="002F6C06" w:rsidRDefault="00FF6A34" w:rsidP="00951CEA">
            <w:pPr>
              <w:rPr>
                <w:rFonts w:cs="Arial"/>
                <w:szCs w:val="22"/>
              </w:rPr>
            </w:pPr>
            <w:r w:rsidRPr="002F6C06">
              <w:rPr>
                <w:rFonts w:cs="Arial"/>
                <w:szCs w:val="22"/>
              </w:rPr>
              <w:t>Aktau</w:t>
            </w:r>
          </w:p>
        </w:tc>
        <w:tc>
          <w:tcPr>
            <w:tcW w:w="1744" w:type="dxa"/>
            <w:vAlign w:val="center"/>
          </w:tcPr>
          <w:p w14:paraId="724E6A9B" w14:textId="77777777" w:rsidR="00FF6A34" w:rsidRPr="002F6C06" w:rsidRDefault="00FF6A34" w:rsidP="00951CEA">
            <w:pPr>
              <w:jc w:val="right"/>
              <w:rPr>
                <w:rFonts w:cs="Arial"/>
                <w:szCs w:val="22"/>
              </w:rPr>
            </w:pPr>
            <w:r w:rsidRPr="002F6C06">
              <w:rPr>
                <w:rFonts w:cs="Arial"/>
                <w:szCs w:val="22"/>
              </w:rPr>
              <w:t>180,885</w:t>
            </w:r>
          </w:p>
        </w:tc>
        <w:tc>
          <w:tcPr>
            <w:tcW w:w="2067" w:type="dxa"/>
            <w:vAlign w:val="center"/>
          </w:tcPr>
          <w:p w14:paraId="455CA402" w14:textId="77777777" w:rsidR="00FF6A34" w:rsidRPr="002F6C06" w:rsidRDefault="00FF6A34" w:rsidP="00951CEA">
            <w:pPr>
              <w:jc w:val="right"/>
              <w:rPr>
                <w:rFonts w:cs="Arial"/>
                <w:szCs w:val="22"/>
              </w:rPr>
            </w:pPr>
            <w:r w:rsidRPr="002F6C06">
              <w:rPr>
                <w:rFonts w:cs="Arial"/>
                <w:szCs w:val="22"/>
              </w:rPr>
              <w:t>109,700</w:t>
            </w:r>
          </w:p>
        </w:tc>
        <w:tc>
          <w:tcPr>
            <w:tcW w:w="2070" w:type="dxa"/>
            <w:vAlign w:val="center"/>
          </w:tcPr>
          <w:p w14:paraId="0E0CC98E" w14:textId="77777777" w:rsidR="00FF6A34" w:rsidRPr="002F6C06" w:rsidRDefault="00FF6A34" w:rsidP="00951CEA">
            <w:pPr>
              <w:jc w:val="right"/>
              <w:rPr>
                <w:rFonts w:cs="Arial"/>
                <w:szCs w:val="22"/>
              </w:rPr>
            </w:pPr>
            <w:r w:rsidRPr="002F6C06">
              <w:rPr>
                <w:rFonts w:cs="Arial"/>
                <w:szCs w:val="22"/>
              </w:rPr>
              <w:t>2</w:t>
            </w:r>
          </w:p>
        </w:tc>
      </w:tr>
      <w:tr w:rsidR="00FF6A34" w:rsidRPr="00492530" w14:paraId="04322F4D" w14:textId="77777777" w:rsidTr="00951CEA">
        <w:tc>
          <w:tcPr>
            <w:tcW w:w="2327" w:type="dxa"/>
          </w:tcPr>
          <w:p w14:paraId="71C1CFDA" w14:textId="77777777" w:rsidR="00FF6A34" w:rsidRPr="002F6C06" w:rsidRDefault="00FF6A34" w:rsidP="00951CEA">
            <w:pPr>
              <w:rPr>
                <w:rFonts w:cs="Arial"/>
                <w:szCs w:val="22"/>
              </w:rPr>
            </w:pPr>
            <w:r w:rsidRPr="002F6C06">
              <w:rPr>
                <w:rFonts w:cs="Arial"/>
                <w:szCs w:val="22"/>
              </w:rPr>
              <w:t>Aktobe</w:t>
            </w:r>
          </w:p>
        </w:tc>
        <w:tc>
          <w:tcPr>
            <w:tcW w:w="1744" w:type="dxa"/>
            <w:vAlign w:val="center"/>
          </w:tcPr>
          <w:p w14:paraId="334FD0FD" w14:textId="77777777" w:rsidR="00FF6A34" w:rsidRPr="002F6C06" w:rsidRDefault="00FF6A34" w:rsidP="00951CEA">
            <w:pPr>
              <w:jc w:val="right"/>
              <w:rPr>
                <w:rFonts w:cs="Arial"/>
                <w:szCs w:val="22"/>
              </w:rPr>
            </w:pPr>
            <w:r w:rsidRPr="002F6C06">
              <w:rPr>
                <w:rFonts w:cs="Arial"/>
                <w:szCs w:val="22"/>
              </w:rPr>
              <w:t>420,567</w:t>
            </w:r>
          </w:p>
        </w:tc>
        <w:tc>
          <w:tcPr>
            <w:tcW w:w="2067" w:type="dxa"/>
            <w:vAlign w:val="center"/>
          </w:tcPr>
          <w:p w14:paraId="181137E1" w14:textId="77777777" w:rsidR="00FF6A34" w:rsidRPr="002F6C06" w:rsidRDefault="00FF6A34" w:rsidP="00951CEA">
            <w:pPr>
              <w:jc w:val="right"/>
              <w:rPr>
                <w:rFonts w:cs="Arial"/>
                <w:szCs w:val="22"/>
              </w:rPr>
            </w:pPr>
            <w:r w:rsidRPr="002F6C06">
              <w:rPr>
                <w:rFonts w:cs="Arial"/>
                <w:szCs w:val="22"/>
              </w:rPr>
              <w:t>360,600</w:t>
            </w:r>
          </w:p>
        </w:tc>
        <w:tc>
          <w:tcPr>
            <w:tcW w:w="2070" w:type="dxa"/>
            <w:vAlign w:val="center"/>
          </w:tcPr>
          <w:p w14:paraId="67996E87" w14:textId="77777777" w:rsidR="00FF6A34" w:rsidRPr="002F6C06" w:rsidRDefault="00FF6A34" w:rsidP="00951CEA">
            <w:pPr>
              <w:jc w:val="right"/>
              <w:rPr>
                <w:rFonts w:cs="Arial"/>
                <w:szCs w:val="22"/>
              </w:rPr>
            </w:pPr>
            <w:r w:rsidRPr="002F6C06">
              <w:rPr>
                <w:rFonts w:cs="Arial"/>
                <w:szCs w:val="22"/>
              </w:rPr>
              <w:t>0.47</w:t>
            </w:r>
          </w:p>
        </w:tc>
      </w:tr>
      <w:tr w:rsidR="00FF6A34" w:rsidRPr="00492530" w14:paraId="3972C481" w14:textId="77777777" w:rsidTr="00951CEA">
        <w:tc>
          <w:tcPr>
            <w:tcW w:w="2327" w:type="dxa"/>
          </w:tcPr>
          <w:p w14:paraId="144D52ED" w14:textId="77777777" w:rsidR="00FF6A34" w:rsidRPr="002F6C06" w:rsidRDefault="00FF6A34" w:rsidP="00951CEA">
            <w:pPr>
              <w:rPr>
                <w:rFonts w:cs="Arial"/>
                <w:szCs w:val="22"/>
              </w:rPr>
            </w:pPr>
            <w:r w:rsidRPr="002F6C06">
              <w:rPr>
                <w:rFonts w:cs="Arial"/>
                <w:szCs w:val="22"/>
              </w:rPr>
              <w:t xml:space="preserve">Atyrau </w:t>
            </w:r>
          </w:p>
        </w:tc>
        <w:tc>
          <w:tcPr>
            <w:tcW w:w="1744" w:type="dxa"/>
            <w:vAlign w:val="center"/>
          </w:tcPr>
          <w:p w14:paraId="7572F92E" w14:textId="77777777" w:rsidR="00FF6A34" w:rsidRPr="002F6C06" w:rsidRDefault="00FF6A34" w:rsidP="00951CEA">
            <w:pPr>
              <w:jc w:val="right"/>
              <w:rPr>
                <w:rFonts w:cs="Arial"/>
                <w:szCs w:val="22"/>
              </w:rPr>
            </w:pPr>
            <w:r w:rsidRPr="002F6C06">
              <w:rPr>
                <w:rFonts w:cs="Arial"/>
                <w:szCs w:val="22"/>
              </w:rPr>
              <w:t>272,071</w:t>
            </w:r>
          </w:p>
        </w:tc>
        <w:tc>
          <w:tcPr>
            <w:tcW w:w="2067" w:type="dxa"/>
            <w:vAlign w:val="center"/>
          </w:tcPr>
          <w:p w14:paraId="56CE448F" w14:textId="77777777" w:rsidR="00FF6A34" w:rsidRPr="002F6C06" w:rsidRDefault="00FF6A34" w:rsidP="00951CEA">
            <w:pPr>
              <w:jc w:val="right"/>
              <w:rPr>
                <w:rFonts w:cs="Arial"/>
                <w:szCs w:val="22"/>
              </w:rPr>
            </w:pPr>
            <w:r w:rsidRPr="002F6C06">
              <w:rPr>
                <w:rFonts w:cs="Arial"/>
                <w:szCs w:val="22"/>
              </w:rPr>
              <w:t>44,070</w:t>
            </w:r>
          </w:p>
        </w:tc>
        <w:tc>
          <w:tcPr>
            <w:tcW w:w="2070" w:type="dxa"/>
            <w:vAlign w:val="center"/>
          </w:tcPr>
          <w:p w14:paraId="4228FCB0" w14:textId="77777777" w:rsidR="00FF6A34" w:rsidRPr="002F6C06" w:rsidRDefault="00FF6A34" w:rsidP="00951CEA">
            <w:pPr>
              <w:jc w:val="right"/>
              <w:rPr>
                <w:rFonts w:cs="Arial"/>
                <w:szCs w:val="22"/>
              </w:rPr>
            </w:pPr>
            <w:r w:rsidRPr="002F6C06">
              <w:rPr>
                <w:rFonts w:cs="Arial"/>
                <w:szCs w:val="22"/>
              </w:rPr>
              <w:t>0.56</w:t>
            </w:r>
          </w:p>
        </w:tc>
      </w:tr>
      <w:tr w:rsidR="00FF6A34" w:rsidRPr="00492530" w14:paraId="7EC5391E" w14:textId="77777777" w:rsidTr="00951CEA">
        <w:tc>
          <w:tcPr>
            <w:tcW w:w="2327" w:type="dxa"/>
          </w:tcPr>
          <w:p w14:paraId="02E9572B" w14:textId="77777777" w:rsidR="00FF6A34" w:rsidRPr="002F6C06" w:rsidRDefault="00FF6A34" w:rsidP="00951CEA">
            <w:pPr>
              <w:rPr>
                <w:rFonts w:cs="Arial"/>
                <w:szCs w:val="22"/>
              </w:rPr>
            </w:pPr>
            <w:r w:rsidRPr="002F6C06">
              <w:rPr>
                <w:rFonts w:cs="Arial"/>
                <w:szCs w:val="22"/>
              </w:rPr>
              <w:t>Karaganda</w:t>
            </w:r>
          </w:p>
        </w:tc>
        <w:tc>
          <w:tcPr>
            <w:tcW w:w="1744" w:type="dxa"/>
            <w:vAlign w:val="center"/>
          </w:tcPr>
          <w:p w14:paraId="4CC1B8FA" w14:textId="77777777" w:rsidR="00FF6A34" w:rsidRPr="002F6C06" w:rsidRDefault="00FF6A34" w:rsidP="00951CEA">
            <w:pPr>
              <w:jc w:val="right"/>
              <w:rPr>
                <w:rFonts w:cs="Arial"/>
                <w:szCs w:val="22"/>
              </w:rPr>
            </w:pPr>
            <w:r w:rsidRPr="002F6C06">
              <w:rPr>
                <w:rFonts w:cs="Arial"/>
                <w:szCs w:val="22"/>
              </w:rPr>
              <w:t>478,952</w:t>
            </w:r>
          </w:p>
        </w:tc>
        <w:tc>
          <w:tcPr>
            <w:tcW w:w="2067" w:type="dxa"/>
            <w:vAlign w:val="center"/>
          </w:tcPr>
          <w:p w14:paraId="3EE23D0B" w14:textId="77777777" w:rsidR="00FF6A34" w:rsidRPr="002F6C06" w:rsidRDefault="00FF6A34" w:rsidP="00951CEA">
            <w:pPr>
              <w:jc w:val="right"/>
              <w:rPr>
                <w:rFonts w:cs="Arial"/>
                <w:szCs w:val="22"/>
              </w:rPr>
            </w:pPr>
            <w:r w:rsidRPr="002F6C06">
              <w:rPr>
                <w:rFonts w:cs="Arial"/>
                <w:szCs w:val="22"/>
              </w:rPr>
              <w:t>132,850</w:t>
            </w:r>
          </w:p>
        </w:tc>
        <w:tc>
          <w:tcPr>
            <w:tcW w:w="2070" w:type="dxa"/>
            <w:vAlign w:val="center"/>
          </w:tcPr>
          <w:p w14:paraId="084CA0E5" w14:textId="77777777" w:rsidR="00FF6A34" w:rsidRPr="002F6C06" w:rsidRDefault="00FF6A34" w:rsidP="00951CEA">
            <w:pPr>
              <w:jc w:val="right"/>
              <w:rPr>
                <w:rFonts w:cs="Arial"/>
                <w:szCs w:val="22"/>
              </w:rPr>
            </w:pPr>
            <w:r w:rsidRPr="002F6C06">
              <w:rPr>
                <w:rFonts w:cs="Arial"/>
                <w:szCs w:val="22"/>
              </w:rPr>
              <w:t>1.87</w:t>
            </w:r>
          </w:p>
        </w:tc>
      </w:tr>
      <w:tr w:rsidR="00FF6A34" w:rsidRPr="00492530" w14:paraId="7EA68EDD" w14:textId="77777777" w:rsidTr="00951CEA">
        <w:tc>
          <w:tcPr>
            <w:tcW w:w="2327" w:type="dxa"/>
          </w:tcPr>
          <w:p w14:paraId="6F2D427C" w14:textId="77777777" w:rsidR="00FF6A34" w:rsidRPr="002F6C06" w:rsidRDefault="00FF6A34" w:rsidP="00951CEA">
            <w:pPr>
              <w:rPr>
                <w:rFonts w:cs="Arial"/>
                <w:szCs w:val="22"/>
              </w:rPr>
            </w:pPr>
            <w:r w:rsidRPr="002F6C06">
              <w:rPr>
                <w:rFonts w:cs="Arial"/>
                <w:szCs w:val="22"/>
              </w:rPr>
              <w:t>Kostanai</w:t>
            </w:r>
          </w:p>
        </w:tc>
        <w:tc>
          <w:tcPr>
            <w:tcW w:w="1744" w:type="dxa"/>
            <w:vAlign w:val="center"/>
          </w:tcPr>
          <w:p w14:paraId="365C825D" w14:textId="77777777" w:rsidR="00FF6A34" w:rsidRPr="002F6C06" w:rsidRDefault="00FF6A34" w:rsidP="00951CEA">
            <w:pPr>
              <w:jc w:val="right"/>
              <w:rPr>
                <w:rFonts w:cs="Arial"/>
                <w:szCs w:val="22"/>
              </w:rPr>
            </w:pPr>
            <w:r w:rsidRPr="002F6C06">
              <w:rPr>
                <w:rFonts w:cs="Arial"/>
                <w:szCs w:val="22"/>
              </w:rPr>
              <w:t>219,224</w:t>
            </w:r>
          </w:p>
        </w:tc>
        <w:tc>
          <w:tcPr>
            <w:tcW w:w="2067" w:type="dxa"/>
            <w:vAlign w:val="center"/>
          </w:tcPr>
          <w:p w14:paraId="1601F23E" w14:textId="77777777" w:rsidR="00FF6A34" w:rsidRPr="002F6C06" w:rsidRDefault="00FF6A34" w:rsidP="00951CEA">
            <w:pPr>
              <w:jc w:val="right"/>
              <w:rPr>
                <w:rFonts w:cs="Arial"/>
                <w:szCs w:val="22"/>
              </w:rPr>
            </w:pPr>
            <w:r w:rsidRPr="002F6C06">
              <w:rPr>
                <w:rFonts w:cs="Arial"/>
                <w:szCs w:val="22"/>
              </w:rPr>
              <w:t>152,730</w:t>
            </w:r>
          </w:p>
        </w:tc>
        <w:tc>
          <w:tcPr>
            <w:tcW w:w="2070" w:type="dxa"/>
            <w:vAlign w:val="center"/>
          </w:tcPr>
          <w:p w14:paraId="63B700CC" w14:textId="77777777" w:rsidR="00FF6A34" w:rsidRPr="002F6C06" w:rsidRDefault="00FF6A34" w:rsidP="00951CEA">
            <w:pPr>
              <w:jc w:val="right"/>
              <w:rPr>
                <w:rFonts w:cs="Arial"/>
                <w:szCs w:val="22"/>
              </w:rPr>
            </w:pPr>
            <w:r w:rsidRPr="002F6C06">
              <w:rPr>
                <w:rFonts w:cs="Arial"/>
                <w:szCs w:val="22"/>
              </w:rPr>
              <w:t>1.17</w:t>
            </w:r>
          </w:p>
        </w:tc>
      </w:tr>
      <w:tr w:rsidR="00FF6A34" w:rsidRPr="00492530" w14:paraId="3104235F" w14:textId="77777777" w:rsidTr="00951CEA">
        <w:tc>
          <w:tcPr>
            <w:tcW w:w="2327" w:type="dxa"/>
          </w:tcPr>
          <w:p w14:paraId="56C39EAF" w14:textId="77777777" w:rsidR="00FF6A34" w:rsidRPr="002F6C06" w:rsidRDefault="00FF6A34" w:rsidP="00951CEA">
            <w:pPr>
              <w:rPr>
                <w:rFonts w:cs="Arial"/>
                <w:szCs w:val="22"/>
              </w:rPr>
            </w:pPr>
            <w:r w:rsidRPr="002F6C06">
              <w:rPr>
                <w:rFonts w:cs="Arial"/>
                <w:szCs w:val="22"/>
              </w:rPr>
              <w:t>Uralsk</w:t>
            </w:r>
          </w:p>
        </w:tc>
        <w:tc>
          <w:tcPr>
            <w:tcW w:w="1744" w:type="dxa"/>
            <w:vAlign w:val="center"/>
          </w:tcPr>
          <w:p w14:paraId="29AB76B8" w14:textId="77777777" w:rsidR="00FF6A34" w:rsidRPr="002F6C06" w:rsidRDefault="00FF6A34" w:rsidP="00951CEA">
            <w:pPr>
              <w:jc w:val="right"/>
              <w:rPr>
                <w:rFonts w:cs="Arial"/>
                <w:szCs w:val="22"/>
              </w:rPr>
            </w:pPr>
            <w:r w:rsidRPr="002F6C06">
              <w:rPr>
                <w:rFonts w:cs="Arial"/>
                <w:szCs w:val="22"/>
              </w:rPr>
              <w:t>271,361</w:t>
            </w:r>
          </w:p>
        </w:tc>
        <w:tc>
          <w:tcPr>
            <w:tcW w:w="2067" w:type="dxa"/>
            <w:vAlign w:val="center"/>
          </w:tcPr>
          <w:p w14:paraId="31F62DD6" w14:textId="77777777" w:rsidR="00FF6A34" w:rsidRPr="002F6C06" w:rsidRDefault="00FF6A34" w:rsidP="00951CEA">
            <w:pPr>
              <w:jc w:val="right"/>
              <w:rPr>
                <w:rFonts w:cs="Arial"/>
                <w:szCs w:val="22"/>
              </w:rPr>
            </w:pPr>
            <w:r w:rsidRPr="002F6C06">
              <w:rPr>
                <w:rFonts w:cs="Arial"/>
                <w:szCs w:val="22"/>
              </w:rPr>
              <w:t>108,500</w:t>
            </w:r>
          </w:p>
        </w:tc>
        <w:tc>
          <w:tcPr>
            <w:tcW w:w="2070" w:type="dxa"/>
            <w:vAlign w:val="center"/>
          </w:tcPr>
          <w:p w14:paraId="4C493F09" w14:textId="77777777" w:rsidR="00FF6A34" w:rsidRPr="002F6C06" w:rsidRDefault="00FF6A34" w:rsidP="00951CEA">
            <w:pPr>
              <w:jc w:val="right"/>
              <w:rPr>
                <w:rFonts w:cs="Arial"/>
                <w:szCs w:val="22"/>
              </w:rPr>
            </w:pPr>
            <w:r w:rsidRPr="002F6C06">
              <w:rPr>
                <w:rFonts w:cs="Arial"/>
                <w:szCs w:val="22"/>
              </w:rPr>
              <w:t>2.3</w:t>
            </w:r>
          </w:p>
        </w:tc>
      </w:tr>
      <w:tr w:rsidR="00FF6A34" w:rsidRPr="00492530" w14:paraId="701D3F5D" w14:textId="77777777" w:rsidTr="00951CEA">
        <w:tc>
          <w:tcPr>
            <w:tcW w:w="2327" w:type="dxa"/>
          </w:tcPr>
          <w:p w14:paraId="06CDCAF5" w14:textId="77777777" w:rsidR="00FF6A34" w:rsidRPr="002F6C06" w:rsidRDefault="00FF6A34" w:rsidP="00951CEA">
            <w:pPr>
              <w:rPr>
                <w:rFonts w:cs="Arial"/>
                <w:szCs w:val="22"/>
              </w:rPr>
            </w:pPr>
            <w:r w:rsidRPr="002F6C06">
              <w:rPr>
                <w:rFonts w:cs="Arial"/>
                <w:szCs w:val="22"/>
              </w:rPr>
              <w:t>Shymkent</w:t>
            </w:r>
          </w:p>
        </w:tc>
        <w:tc>
          <w:tcPr>
            <w:tcW w:w="1744" w:type="dxa"/>
            <w:vAlign w:val="center"/>
          </w:tcPr>
          <w:p w14:paraId="1FEFCB82" w14:textId="77777777" w:rsidR="00FF6A34" w:rsidRPr="002F6C06" w:rsidRDefault="00FF6A34" w:rsidP="00951CEA">
            <w:pPr>
              <w:jc w:val="right"/>
              <w:rPr>
                <w:rFonts w:cs="Arial"/>
                <w:szCs w:val="22"/>
              </w:rPr>
            </w:pPr>
            <w:r w:rsidRPr="002F6C06">
              <w:rPr>
                <w:rFonts w:cs="Arial"/>
                <w:szCs w:val="22"/>
              </w:rPr>
              <w:t>662,100</w:t>
            </w:r>
          </w:p>
        </w:tc>
        <w:tc>
          <w:tcPr>
            <w:tcW w:w="2067" w:type="dxa"/>
            <w:vAlign w:val="center"/>
          </w:tcPr>
          <w:p w14:paraId="4D5EFE09" w14:textId="77777777" w:rsidR="00FF6A34" w:rsidRPr="002F6C06" w:rsidRDefault="00FF6A34" w:rsidP="00951CEA">
            <w:pPr>
              <w:jc w:val="right"/>
              <w:rPr>
                <w:rFonts w:cs="Arial"/>
                <w:szCs w:val="22"/>
              </w:rPr>
            </w:pPr>
            <w:r w:rsidRPr="002F6C06">
              <w:rPr>
                <w:rFonts w:cs="Arial"/>
                <w:szCs w:val="22"/>
              </w:rPr>
              <w:t>64,550</w:t>
            </w:r>
          </w:p>
        </w:tc>
        <w:tc>
          <w:tcPr>
            <w:tcW w:w="2070" w:type="dxa"/>
            <w:vAlign w:val="center"/>
          </w:tcPr>
          <w:p w14:paraId="504487DE" w14:textId="77777777" w:rsidR="00FF6A34" w:rsidRPr="002F6C06" w:rsidRDefault="00FF6A34" w:rsidP="00951CEA">
            <w:pPr>
              <w:jc w:val="right"/>
              <w:rPr>
                <w:rFonts w:cs="Arial"/>
                <w:szCs w:val="22"/>
              </w:rPr>
            </w:pPr>
            <w:r w:rsidRPr="002F6C06">
              <w:rPr>
                <w:rFonts w:cs="Arial"/>
                <w:szCs w:val="22"/>
              </w:rPr>
              <w:t>1.7</w:t>
            </w:r>
          </w:p>
        </w:tc>
      </w:tr>
      <w:tr w:rsidR="00FF6A34" w:rsidRPr="00492530" w14:paraId="1E061AD1" w14:textId="77777777" w:rsidTr="00951CEA">
        <w:tc>
          <w:tcPr>
            <w:tcW w:w="2327" w:type="dxa"/>
          </w:tcPr>
          <w:p w14:paraId="2D14CC52" w14:textId="77777777" w:rsidR="00FF6A34" w:rsidRPr="002F6C06" w:rsidRDefault="00FF6A34" w:rsidP="00951CEA">
            <w:pPr>
              <w:rPr>
                <w:rFonts w:cs="Arial"/>
                <w:szCs w:val="22"/>
              </w:rPr>
            </w:pPr>
            <w:r w:rsidRPr="002F6C06">
              <w:rPr>
                <w:rFonts w:cs="Arial"/>
                <w:szCs w:val="22"/>
              </w:rPr>
              <w:t>Pavlodar</w:t>
            </w:r>
          </w:p>
        </w:tc>
        <w:tc>
          <w:tcPr>
            <w:tcW w:w="1744" w:type="dxa"/>
            <w:vAlign w:val="center"/>
          </w:tcPr>
          <w:p w14:paraId="11EF313F" w14:textId="77777777" w:rsidR="00FF6A34" w:rsidRPr="002F6C06" w:rsidRDefault="00FF6A34" w:rsidP="00951CEA">
            <w:pPr>
              <w:jc w:val="right"/>
              <w:rPr>
                <w:rFonts w:cs="Arial"/>
                <w:szCs w:val="22"/>
              </w:rPr>
            </w:pPr>
            <w:r w:rsidRPr="002F6C06">
              <w:rPr>
                <w:rFonts w:cs="Arial"/>
                <w:szCs w:val="22"/>
              </w:rPr>
              <w:t>342,435</w:t>
            </w:r>
          </w:p>
        </w:tc>
        <w:tc>
          <w:tcPr>
            <w:tcW w:w="2067" w:type="dxa"/>
            <w:vAlign w:val="center"/>
          </w:tcPr>
          <w:p w14:paraId="2040EDFE" w14:textId="77777777" w:rsidR="00FF6A34" w:rsidRPr="002F6C06" w:rsidRDefault="00FF6A34" w:rsidP="00951CEA">
            <w:pPr>
              <w:jc w:val="right"/>
              <w:rPr>
                <w:rFonts w:cs="Arial"/>
                <w:szCs w:val="22"/>
              </w:rPr>
            </w:pPr>
            <w:r w:rsidRPr="002F6C06">
              <w:rPr>
                <w:rFonts w:cs="Arial"/>
                <w:szCs w:val="22"/>
              </w:rPr>
              <w:t>94,470</w:t>
            </w:r>
          </w:p>
        </w:tc>
        <w:tc>
          <w:tcPr>
            <w:tcW w:w="2070" w:type="dxa"/>
            <w:vAlign w:val="center"/>
          </w:tcPr>
          <w:p w14:paraId="75F6F446" w14:textId="77777777" w:rsidR="00FF6A34" w:rsidRPr="002F6C06" w:rsidRDefault="00FF6A34" w:rsidP="00951CEA">
            <w:pPr>
              <w:jc w:val="right"/>
              <w:rPr>
                <w:rFonts w:cs="Arial"/>
                <w:szCs w:val="22"/>
              </w:rPr>
            </w:pPr>
            <w:r w:rsidRPr="002F6C06">
              <w:rPr>
                <w:rFonts w:cs="Arial"/>
                <w:szCs w:val="22"/>
              </w:rPr>
              <w:t>1.30</w:t>
            </w:r>
          </w:p>
        </w:tc>
      </w:tr>
      <w:tr w:rsidR="00FF6A34" w:rsidRPr="00492530" w14:paraId="480DFB26" w14:textId="77777777" w:rsidTr="00951CEA">
        <w:tc>
          <w:tcPr>
            <w:tcW w:w="2327" w:type="dxa"/>
          </w:tcPr>
          <w:p w14:paraId="6B3F814A" w14:textId="77777777" w:rsidR="00FF6A34" w:rsidRPr="002F6C06" w:rsidRDefault="00FF6A34" w:rsidP="00951CEA">
            <w:pPr>
              <w:rPr>
                <w:rFonts w:cs="Arial"/>
                <w:szCs w:val="22"/>
              </w:rPr>
            </w:pPr>
            <w:r w:rsidRPr="002F6C06">
              <w:rPr>
                <w:rFonts w:cs="Arial"/>
                <w:szCs w:val="22"/>
              </w:rPr>
              <w:t>Kokshetau</w:t>
            </w:r>
          </w:p>
        </w:tc>
        <w:tc>
          <w:tcPr>
            <w:tcW w:w="1744" w:type="dxa"/>
            <w:vAlign w:val="center"/>
          </w:tcPr>
          <w:p w14:paraId="7E4FEB04" w14:textId="77777777" w:rsidR="00FF6A34" w:rsidRPr="002F6C06" w:rsidRDefault="00FF6A34" w:rsidP="00951CEA">
            <w:pPr>
              <w:jc w:val="right"/>
              <w:rPr>
                <w:rFonts w:cs="Arial"/>
                <w:szCs w:val="22"/>
              </w:rPr>
            </w:pPr>
            <w:r w:rsidRPr="002F6C06">
              <w:rPr>
                <w:rFonts w:cs="Arial"/>
                <w:szCs w:val="22"/>
              </w:rPr>
              <w:t>152,006</w:t>
            </w:r>
          </w:p>
        </w:tc>
        <w:tc>
          <w:tcPr>
            <w:tcW w:w="2067" w:type="dxa"/>
            <w:vAlign w:val="center"/>
          </w:tcPr>
          <w:p w14:paraId="5AF7F176" w14:textId="77777777" w:rsidR="00FF6A34" w:rsidRPr="002F6C06" w:rsidRDefault="00FF6A34" w:rsidP="00951CEA">
            <w:pPr>
              <w:jc w:val="right"/>
              <w:rPr>
                <w:rFonts w:cs="Arial"/>
                <w:szCs w:val="22"/>
              </w:rPr>
            </w:pPr>
            <w:r w:rsidRPr="002F6C06">
              <w:rPr>
                <w:rFonts w:cs="Arial"/>
                <w:szCs w:val="22"/>
              </w:rPr>
              <w:t>57,700</w:t>
            </w:r>
          </w:p>
        </w:tc>
        <w:tc>
          <w:tcPr>
            <w:tcW w:w="2070" w:type="dxa"/>
            <w:vAlign w:val="center"/>
          </w:tcPr>
          <w:p w14:paraId="74F72331" w14:textId="77777777" w:rsidR="00FF6A34" w:rsidRPr="002F6C06" w:rsidRDefault="00FF6A34" w:rsidP="00951CEA">
            <w:pPr>
              <w:jc w:val="right"/>
              <w:rPr>
                <w:rFonts w:cs="Arial"/>
                <w:szCs w:val="22"/>
              </w:rPr>
            </w:pPr>
            <w:r w:rsidRPr="002F6C06">
              <w:rPr>
                <w:rFonts w:cs="Arial"/>
                <w:szCs w:val="22"/>
              </w:rPr>
              <w:t>1.16</w:t>
            </w:r>
          </w:p>
        </w:tc>
      </w:tr>
      <w:tr w:rsidR="00FF6A34" w:rsidRPr="00492530" w14:paraId="74790175" w14:textId="77777777" w:rsidTr="00951CEA">
        <w:tc>
          <w:tcPr>
            <w:tcW w:w="2327" w:type="dxa"/>
          </w:tcPr>
          <w:p w14:paraId="5B68AD74" w14:textId="77777777" w:rsidR="00FF6A34" w:rsidRPr="002F6C06" w:rsidRDefault="00FF6A34" w:rsidP="00951CEA">
            <w:pPr>
              <w:rPr>
                <w:rFonts w:cs="Arial"/>
                <w:szCs w:val="22"/>
              </w:rPr>
            </w:pPr>
            <w:r w:rsidRPr="002F6C06">
              <w:rPr>
                <w:rFonts w:cs="Arial"/>
                <w:szCs w:val="22"/>
              </w:rPr>
              <w:t xml:space="preserve">Ust-Kamenogorsk </w:t>
            </w:r>
          </w:p>
        </w:tc>
        <w:tc>
          <w:tcPr>
            <w:tcW w:w="1744" w:type="dxa"/>
            <w:vAlign w:val="center"/>
          </w:tcPr>
          <w:p w14:paraId="59D33460" w14:textId="77777777" w:rsidR="00FF6A34" w:rsidRPr="002F6C06" w:rsidRDefault="00FF6A34" w:rsidP="00951CEA">
            <w:pPr>
              <w:jc w:val="right"/>
              <w:rPr>
                <w:rFonts w:cs="Arial"/>
                <w:szCs w:val="22"/>
              </w:rPr>
            </w:pPr>
            <w:r w:rsidRPr="002F6C06">
              <w:rPr>
                <w:rFonts w:cs="Arial"/>
                <w:szCs w:val="22"/>
              </w:rPr>
              <w:t>309,500</w:t>
            </w:r>
          </w:p>
        </w:tc>
        <w:tc>
          <w:tcPr>
            <w:tcW w:w="2067" w:type="dxa"/>
            <w:vAlign w:val="center"/>
          </w:tcPr>
          <w:p w14:paraId="168D1CAC" w14:textId="77777777" w:rsidR="00FF6A34" w:rsidRPr="002F6C06" w:rsidRDefault="00FF6A34" w:rsidP="00951CEA">
            <w:pPr>
              <w:jc w:val="right"/>
              <w:rPr>
                <w:rFonts w:cs="Arial"/>
                <w:szCs w:val="22"/>
              </w:rPr>
            </w:pPr>
            <w:r w:rsidRPr="002F6C06">
              <w:rPr>
                <w:rFonts w:cs="Arial"/>
                <w:szCs w:val="22"/>
              </w:rPr>
              <w:t>45,600</w:t>
            </w:r>
          </w:p>
        </w:tc>
        <w:tc>
          <w:tcPr>
            <w:tcW w:w="2070" w:type="dxa"/>
            <w:vAlign w:val="center"/>
          </w:tcPr>
          <w:p w14:paraId="3E91A523" w14:textId="77777777" w:rsidR="00FF6A34" w:rsidRPr="002F6C06" w:rsidRDefault="00FF6A34" w:rsidP="00951CEA">
            <w:pPr>
              <w:jc w:val="right"/>
              <w:rPr>
                <w:rFonts w:cs="Arial"/>
                <w:szCs w:val="22"/>
              </w:rPr>
            </w:pPr>
            <w:r w:rsidRPr="002F6C06">
              <w:rPr>
                <w:rFonts w:cs="Arial"/>
                <w:szCs w:val="22"/>
              </w:rPr>
              <w:t>1.57</w:t>
            </w:r>
          </w:p>
        </w:tc>
      </w:tr>
      <w:tr w:rsidR="00FF6A34" w:rsidRPr="00492530" w14:paraId="1C667BFA" w14:textId="77777777" w:rsidTr="00951CEA">
        <w:tc>
          <w:tcPr>
            <w:tcW w:w="2327" w:type="dxa"/>
          </w:tcPr>
          <w:p w14:paraId="6139EC39" w14:textId="77777777" w:rsidR="00FF6A34" w:rsidRPr="002F6C06" w:rsidRDefault="00FF6A34" w:rsidP="00951CEA">
            <w:pPr>
              <w:rPr>
                <w:rFonts w:cs="Arial"/>
                <w:szCs w:val="22"/>
              </w:rPr>
            </w:pPr>
            <w:r w:rsidRPr="002F6C06">
              <w:rPr>
                <w:rFonts w:cs="Arial"/>
                <w:szCs w:val="22"/>
              </w:rPr>
              <w:t>Taldy Korgan</w:t>
            </w:r>
          </w:p>
        </w:tc>
        <w:tc>
          <w:tcPr>
            <w:tcW w:w="1744" w:type="dxa"/>
            <w:vAlign w:val="center"/>
          </w:tcPr>
          <w:p w14:paraId="06283754" w14:textId="77777777" w:rsidR="00FF6A34" w:rsidRPr="002F6C06" w:rsidRDefault="00FF6A34" w:rsidP="00951CEA">
            <w:pPr>
              <w:jc w:val="right"/>
              <w:rPr>
                <w:rFonts w:cs="Arial"/>
                <w:szCs w:val="22"/>
              </w:rPr>
            </w:pPr>
            <w:r w:rsidRPr="002F6C06">
              <w:rPr>
                <w:rFonts w:cs="Arial"/>
                <w:szCs w:val="22"/>
              </w:rPr>
              <w:t>156,162</w:t>
            </w:r>
          </w:p>
        </w:tc>
        <w:tc>
          <w:tcPr>
            <w:tcW w:w="2067" w:type="dxa"/>
            <w:vAlign w:val="center"/>
          </w:tcPr>
          <w:p w14:paraId="4FDF4537" w14:textId="77777777" w:rsidR="00FF6A34" w:rsidRPr="002F6C06" w:rsidRDefault="00FF6A34" w:rsidP="00951CEA">
            <w:pPr>
              <w:jc w:val="right"/>
              <w:rPr>
                <w:rFonts w:cs="Arial"/>
                <w:szCs w:val="22"/>
              </w:rPr>
            </w:pPr>
            <w:r w:rsidRPr="002F6C06">
              <w:rPr>
                <w:rFonts w:cs="Arial"/>
                <w:szCs w:val="22"/>
              </w:rPr>
              <w:t>17,000</w:t>
            </w:r>
          </w:p>
        </w:tc>
        <w:tc>
          <w:tcPr>
            <w:tcW w:w="2070" w:type="dxa"/>
            <w:vAlign w:val="center"/>
          </w:tcPr>
          <w:p w14:paraId="436F358F" w14:textId="77777777" w:rsidR="00FF6A34" w:rsidRPr="002F6C06" w:rsidRDefault="00FF6A34" w:rsidP="00951CEA">
            <w:pPr>
              <w:jc w:val="right"/>
              <w:rPr>
                <w:rFonts w:cs="Arial"/>
                <w:szCs w:val="22"/>
              </w:rPr>
            </w:pPr>
            <w:r w:rsidRPr="002F6C06">
              <w:rPr>
                <w:rFonts w:cs="Arial"/>
                <w:szCs w:val="22"/>
              </w:rPr>
              <w:t>2.77</w:t>
            </w:r>
          </w:p>
        </w:tc>
      </w:tr>
      <w:tr w:rsidR="00FF6A34" w:rsidRPr="00492530" w14:paraId="5BBA3F03" w14:textId="77777777" w:rsidTr="00951CEA">
        <w:tc>
          <w:tcPr>
            <w:tcW w:w="2327" w:type="dxa"/>
          </w:tcPr>
          <w:p w14:paraId="22AEF52C" w14:textId="77777777" w:rsidR="00FF6A34" w:rsidRPr="002F6C06" w:rsidRDefault="00FF6A34" w:rsidP="00951CEA">
            <w:pPr>
              <w:rPr>
                <w:rFonts w:cs="Arial"/>
                <w:szCs w:val="22"/>
              </w:rPr>
            </w:pPr>
            <w:r w:rsidRPr="002F6C06">
              <w:rPr>
                <w:rFonts w:cs="Arial"/>
                <w:szCs w:val="22"/>
              </w:rPr>
              <w:t xml:space="preserve">Taraz </w:t>
            </w:r>
          </w:p>
        </w:tc>
        <w:tc>
          <w:tcPr>
            <w:tcW w:w="1744" w:type="dxa"/>
            <w:vAlign w:val="center"/>
          </w:tcPr>
          <w:p w14:paraId="2D005A2C" w14:textId="77777777" w:rsidR="00FF6A34" w:rsidRPr="002F6C06" w:rsidRDefault="00FF6A34" w:rsidP="00951CEA">
            <w:pPr>
              <w:jc w:val="right"/>
              <w:rPr>
                <w:rFonts w:cs="Arial"/>
                <w:szCs w:val="22"/>
              </w:rPr>
            </w:pPr>
            <w:r w:rsidRPr="002F6C06">
              <w:rPr>
                <w:rFonts w:cs="Arial"/>
                <w:szCs w:val="22"/>
              </w:rPr>
              <w:t>343,275</w:t>
            </w:r>
          </w:p>
        </w:tc>
        <w:tc>
          <w:tcPr>
            <w:tcW w:w="2067" w:type="dxa"/>
            <w:vAlign w:val="center"/>
          </w:tcPr>
          <w:p w14:paraId="019024E0" w14:textId="77777777" w:rsidR="00FF6A34" w:rsidRPr="002F6C06" w:rsidRDefault="00FF6A34" w:rsidP="00951CEA">
            <w:pPr>
              <w:jc w:val="right"/>
              <w:rPr>
                <w:rFonts w:cs="Arial"/>
                <w:szCs w:val="22"/>
              </w:rPr>
            </w:pPr>
            <w:r w:rsidRPr="002F6C06">
              <w:rPr>
                <w:rFonts w:cs="Arial"/>
                <w:szCs w:val="22"/>
              </w:rPr>
              <w:t>34,960</w:t>
            </w:r>
          </w:p>
        </w:tc>
        <w:tc>
          <w:tcPr>
            <w:tcW w:w="2070" w:type="dxa"/>
            <w:vAlign w:val="center"/>
          </w:tcPr>
          <w:p w14:paraId="11E36584" w14:textId="77777777" w:rsidR="00FF6A34" w:rsidRPr="002F6C06" w:rsidRDefault="00FF6A34" w:rsidP="00951CEA">
            <w:pPr>
              <w:jc w:val="right"/>
              <w:rPr>
                <w:rFonts w:cs="Arial"/>
                <w:szCs w:val="22"/>
              </w:rPr>
            </w:pPr>
            <w:r w:rsidRPr="002F6C06">
              <w:rPr>
                <w:rFonts w:cs="Arial"/>
                <w:szCs w:val="22"/>
              </w:rPr>
              <w:t>0.54</w:t>
            </w:r>
          </w:p>
        </w:tc>
      </w:tr>
      <w:tr w:rsidR="00FF6A34" w:rsidRPr="00492530" w14:paraId="7CFA8A8B" w14:textId="77777777" w:rsidTr="00951CEA">
        <w:tc>
          <w:tcPr>
            <w:tcW w:w="2327" w:type="dxa"/>
          </w:tcPr>
          <w:p w14:paraId="13103511" w14:textId="77777777" w:rsidR="00FF6A34" w:rsidRPr="002F6C06" w:rsidRDefault="00FF6A34" w:rsidP="00951CEA">
            <w:pPr>
              <w:rPr>
                <w:rFonts w:cs="Arial"/>
                <w:szCs w:val="22"/>
              </w:rPr>
            </w:pPr>
            <w:r w:rsidRPr="002F6C06">
              <w:rPr>
                <w:rFonts w:cs="Arial"/>
                <w:szCs w:val="22"/>
              </w:rPr>
              <w:t>Kzyl Orda</w:t>
            </w:r>
          </w:p>
        </w:tc>
        <w:tc>
          <w:tcPr>
            <w:tcW w:w="1744" w:type="dxa"/>
            <w:vAlign w:val="center"/>
          </w:tcPr>
          <w:p w14:paraId="6FD0763C" w14:textId="77777777" w:rsidR="00FF6A34" w:rsidRPr="002F6C06" w:rsidRDefault="00FF6A34" w:rsidP="00951CEA">
            <w:pPr>
              <w:jc w:val="right"/>
              <w:rPr>
                <w:rFonts w:cs="Arial"/>
                <w:szCs w:val="22"/>
              </w:rPr>
            </w:pPr>
            <w:r w:rsidRPr="002F6C06">
              <w:rPr>
                <w:rFonts w:cs="Arial"/>
                <w:szCs w:val="22"/>
              </w:rPr>
              <w:t>253,960</w:t>
            </w:r>
          </w:p>
        </w:tc>
        <w:tc>
          <w:tcPr>
            <w:tcW w:w="2067" w:type="dxa"/>
            <w:vAlign w:val="center"/>
          </w:tcPr>
          <w:p w14:paraId="2B54CA51" w14:textId="77777777" w:rsidR="00FF6A34" w:rsidRPr="002F6C06" w:rsidRDefault="00FF6A34" w:rsidP="00951CEA">
            <w:pPr>
              <w:jc w:val="right"/>
              <w:rPr>
                <w:rFonts w:cs="Arial"/>
                <w:szCs w:val="22"/>
              </w:rPr>
            </w:pPr>
            <w:r w:rsidRPr="002F6C06">
              <w:rPr>
                <w:rFonts w:cs="Arial"/>
                <w:szCs w:val="22"/>
              </w:rPr>
              <w:t>36,100</w:t>
            </w:r>
          </w:p>
        </w:tc>
        <w:tc>
          <w:tcPr>
            <w:tcW w:w="2070" w:type="dxa"/>
            <w:vAlign w:val="center"/>
          </w:tcPr>
          <w:p w14:paraId="6EE25C44" w14:textId="77777777" w:rsidR="00FF6A34" w:rsidRPr="002F6C06" w:rsidRDefault="00FF6A34" w:rsidP="00951CEA">
            <w:pPr>
              <w:jc w:val="right"/>
              <w:rPr>
                <w:rFonts w:cs="Arial"/>
                <w:szCs w:val="22"/>
              </w:rPr>
            </w:pPr>
            <w:r w:rsidRPr="002F6C06">
              <w:rPr>
                <w:rFonts w:cs="Arial"/>
                <w:szCs w:val="22"/>
              </w:rPr>
              <w:t>1.7</w:t>
            </w:r>
          </w:p>
        </w:tc>
      </w:tr>
      <w:tr w:rsidR="00FF6A34" w:rsidRPr="00492530" w14:paraId="70F98EB9" w14:textId="77777777" w:rsidTr="00951CEA">
        <w:tc>
          <w:tcPr>
            <w:tcW w:w="2327" w:type="dxa"/>
          </w:tcPr>
          <w:p w14:paraId="32A201CA" w14:textId="77777777" w:rsidR="00FF6A34" w:rsidRPr="002F6C06" w:rsidRDefault="00FF6A34" w:rsidP="00951CEA">
            <w:pPr>
              <w:rPr>
                <w:rFonts w:cs="Arial"/>
                <w:szCs w:val="22"/>
              </w:rPr>
            </w:pPr>
            <w:r w:rsidRPr="002F6C06">
              <w:rPr>
                <w:rFonts w:cs="Arial"/>
                <w:szCs w:val="22"/>
              </w:rPr>
              <w:t>Petropavlovsk</w:t>
            </w:r>
          </w:p>
        </w:tc>
        <w:tc>
          <w:tcPr>
            <w:tcW w:w="1744" w:type="dxa"/>
            <w:vAlign w:val="center"/>
          </w:tcPr>
          <w:p w14:paraId="0C2B6FA3" w14:textId="77777777" w:rsidR="00FF6A34" w:rsidRPr="002F6C06" w:rsidRDefault="00FF6A34" w:rsidP="00951CEA">
            <w:pPr>
              <w:jc w:val="right"/>
              <w:rPr>
                <w:rFonts w:cs="Arial"/>
                <w:szCs w:val="22"/>
              </w:rPr>
            </w:pPr>
            <w:r w:rsidRPr="002F6C06">
              <w:rPr>
                <w:rFonts w:cs="Arial"/>
                <w:szCs w:val="22"/>
              </w:rPr>
              <w:t>206,043</w:t>
            </w:r>
          </w:p>
        </w:tc>
        <w:tc>
          <w:tcPr>
            <w:tcW w:w="2067" w:type="dxa"/>
            <w:vAlign w:val="center"/>
          </w:tcPr>
          <w:p w14:paraId="79667E1A" w14:textId="77777777" w:rsidR="00FF6A34" w:rsidRPr="002F6C06" w:rsidRDefault="00FF6A34" w:rsidP="00951CEA">
            <w:pPr>
              <w:jc w:val="right"/>
              <w:rPr>
                <w:rFonts w:cs="Arial"/>
                <w:szCs w:val="22"/>
              </w:rPr>
            </w:pPr>
            <w:r w:rsidRPr="002F6C06">
              <w:rPr>
                <w:rFonts w:cs="Arial"/>
                <w:szCs w:val="22"/>
              </w:rPr>
              <w:t>62,000</w:t>
            </w:r>
          </w:p>
        </w:tc>
        <w:tc>
          <w:tcPr>
            <w:tcW w:w="2070" w:type="dxa"/>
            <w:vAlign w:val="center"/>
          </w:tcPr>
          <w:p w14:paraId="6C00ACFE" w14:textId="77777777" w:rsidR="00FF6A34" w:rsidRPr="002F6C06" w:rsidRDefault="00FF6A34" w:rsidP="00951CEA">
            <w:pPr>
              <w:jc w:val="right"/>
              <w:rPr>
                <w:rFonts w:cs="Arial"/>
                <w:szCs w:val="22"/>
              </w:rPr>
            </w:pPr>
            <w:r w:rsidRPr="002F6C06">
              <w:rPr>
                <w:rFonts w:cs="Arial"/>
                <w:szCs w:val="22"/>
              </w:rPr>
              <w:t>2.07</w:t>
            </w:r>
          </w:p>
        </w:tc>
      </w:tr>
    </w:tbl>
    <w:p w14:paraId="30E53230" w14:textId="77777777" w:rsidR="00FF6A34" w:rsidRPr="00120FC5" w:rsidRDefault="00FF6A34" w:rsidP="00FF6A34">
      <w:pPr>
        <w:rPr>
          <w:rFonts w:cs="Arial"/>
          <w:szCs w:val="22"/>
        </w:rPr>
      </w:pPr>
      <w:r>
        <w:rPr>
          <w:rFonts w:cs="Arial"/>
          <w:i/>
          <w:szCs w:val="22"/>
        </w:rPr>
        <w:t>Source: National Program on Municipal Solid Waste Management for 2013-2050</w:t>
      </w:r>
    </w:p>
    <w:p w14:paraId="63C33354" w14:textId="77777777" w:rsidR="00FF6A34" w:rsidRDefault="00FF6A34" w:rsidP="00FF6A34">
      <w:pPr>
        <w:rPr>
          <w:rFonts w:cs="Arial"/>
          <w:szCs w:val="22"/>
        </w:rPr>
      </w:pPr>
      <w:r>
        <w:rPr>
          <w:rFonts w:cs="Arial"/>
          <w:szCs w:val="22"/>
        </w:rPr>
        <w:t xml:space="preserve">* According to the Agency of Statistics </w:t>
      </w:r>
      <w:hyperlink r:id="rId44" w:history="1">
        <w:r w:rsidRPr="00886B4A">
          <w:rPr>
            <w:rStyle w:val="Hyperlink"/>
            <w:szCs w:val="22"/>
          </w:rPr>
          <w:t>www.stat.gov.kz</w:t>
        </w:r>
      </w:hyperlink>
    </w:p>
    <w:p w14:paraId="5294F9D4" w14:textId="77777777" w:rsidR="00FF6A34" w:rsidRDefault="00FF6A34" w:rsidP="00FF6A34">
      <w:pPr>
        <w:rPr>
          <w:rFonts w:cs="Arial"/>
          <w:szCs w:val="22"/>
        </w:rPr>
      </w:pPr>
      <w:r>
        <w:rPr>
          <w:rFonts w:cs="Arial"/>
          <w:szCs w:val="22"/>
        </w:rPr>
        <w:t>**According to regional (oblast) environmental departments</w:t>
      </w:r>
    </w:p>
    <w:p w14:paraId="38410B77" w14:textId="77777777" w:rsidR="00FF6A34" w:rsidRDefault="00FF6A34" w:rsidP="00FF6A34">
      <w:pPr>
        <w:rPr>
          <w:rFonts w:cs="Arial"/>
          <w:szCs w:val="22"/>
        </w:rPr>
      </w:pPr>
      <w:r>
        <w:rPr>
          <w:rFonts w:cs="Arial"/>
          <w:szCs w:val="22"/>
        </w:rPr>
        <w:t>***According to city authorities</w:t>
      </w:r>
    </w:p>
    <w:p w14:paraId="326198B7" w14:textId="77777777" w:rsidR="00FF6A34" w:rsidRDefault="00FF6A34" w:rsidP="00FF6A34">
      <w:pPr>
        <w:rPr>
          <w:rFonts w:cs="Arial"/>
          <w:szCs w:val="22"/>
        </w:rPr>
      </w:pPr>
    </w:p>
    <w:p w14:paraId="652C7F11" w14:textId="77777777" w:rsidR="00FF6A34" w:rsidRDefault="00FF6A34" w:rsidP="00FF6A34">
      <w:pPr>
        <w:rPr>
          <w:rFonts w:cs="Arial"/>
          <w:szCs w:val="22"/>
        </w:rPr>
      </w:pPr>
      <w:r w:rsidRPr="00120FC5">
        <w:rPr>
          <w:rFonts w:cs="Arial"/>
          <w:szCs w:val="22"/>
        </w:rPr>
        <w:t>The morphology</w:t>
      </w:r>
      <w:r>
        <w:rPr>
          <w:rFonts w:cs="Arial"/>
          <w:szCs w:val="22"/>
        </w:rPr>
        <w:t xml:space="preserve"> of municipal solid waste</w:t>
      </w:r>
      <w:r w:rsidRPr="00120FC5">
        <w:rPr>
          <w:rFonts w:cs="Arial"/>
          <w:szCs w:val="22"/>
        </w:rPr>
        <w:t xml:space="preserve"> shows a high percentage of light materials, such as</w:t>
      </w:r>
      <w:r>
        <w:rPr>
          <w:rFonts w:cs="Arial"/>
          <w:szCs w:val="22"/>
        </w:rPr>
        <w:t xml:space="preserve"> </w:t>
      </w:r>
      <w:r w:rsidRPr="00120FC5">
        <w:rPr>
          <w:rFonts w:cs="Arial"/>
          <w:szCs w:val="22"/>
        </w:rPr>
        <w:t>plastics, textiles, paper and cardboard (around 45%) and organic waste with</w:t>
      </w:r>
      <w:r>
        <w:rPr>
          <w:rFonts w:cs="Arial"/>
          <w:szCs w:val="22"/>
        </w:rPr>
        <w:t xml:space="preserve"> </w:t>
      </w:r>
      <w:r w:rsidRPr="00120FC5">
        <w:rPr>
          <w:rFonts w:cs="Arial"/>
          <w:szCs w:val="22"/>
        </w:rPr>
        <w:t>37% on average.</w:t>
      </w:r>
      <w:r w:rsidRPr="00BC6EA4">
        <w:rPr>
          <w:rFonts w:cs="Arial"/>
          <w:szCs w:val="22"/>
        </w:rPr>
        <w:t xml:space="preserve"> </w:t>
      </w:r>
      <w:r w:rsidRPr="00371867">
        <w:rPr>
          <w:rFonts w:cs="Arial"/>
          <w:szCs w:val="22"/>
        </w:rPr>
        <w:t>Recycling wa</w:t>
      </w:r>
      <w:r>
        <w:rPr>
          <w:rFonts w:cs="Arial"/>
          <w:szCs w:val="22"/>
        </w:rPr>
        <w:t>s less than 5 % in 2012</w:t>
      </w:r>
      <w:r w:rsidRPr="00371867">
        <w:rPr>
          <w:rFonts w:cs="Arial"/>
          <w:szCs w:val="22"/>
        </w:rPr>
        <w:t>.</w:t>
      </w:r>
      <w:r>
        <w:rPr>
          <w:rFonts w:cs="Arial"/>
          <w:szCs w:val="22"/>
        </w:rPr>
        <w:t xml:space="preserve"> </w:t>
      </w:r>
    </w:p>
    <w:p w14:paraId="7713A02A" w14:textId="77777777" w:rsidR="00FF6A34" w:rsidRDefault="00FF6A34" w:rsidP="00FF6A34">
      <w:pPr>
        <w:rPr>
          <w:rFonts w:cs="Arial"/>
          <w:szCs w:val="22"/>
        </w:rPr>
      </w:pPr>
    </w:p>
    <w:p w14:paraId="46F4682A" w14:textId="77777777" w:rsidR="00FF6A34" w:rsidRDefault="00FF6A34" w:rsidP="00FF6A34">
      <w:pPr>
        <w:rPr>
          <w:rFonts w:cs="Arial"/>
          <w:szCs w:val="22"/>
        </w:rPr>
      </w:pPr>
      <w:r>
        <w:rPr>
          <w:rFonts w:cs="Arial"/>
          <w:szCs w:val="22"/>
        </w:rPr>
        <w:t>Collection is</w:t>
      </w:r>
      <w:r w:rsidRPr="00371867">
        <w:rPr>
          <w:rFonts w:cs="Arial"/>
          <w:szCs w:val="22"/>
        </w:rPr>
        <w:t xml:space="preserve"> done by 443 companies, from which</w:t>
      </w:r>
      <w:r>
        <w:rPr>
          <w:rFonts w:cs="Arial"/>
          <w:szCs w:val="22"/>
        </w:rPr>
        <w:t xml:space="preserve"> </w:t>
      </w:r>
      <w:r w:rsidRPr="00371867">
        <w:rPr>
          <w:rFonts w:cs="Arial"/>
          <w:szCs w:val="22"/>
        </w:rPr>
        <w:t>are 207 public and 236 private</w:t>
      </w:r>
      <w:r>
        <w:rPr>
          <w:rFonts w:cs="Arial"/>
          <w:szCs w:val="22"/>
        </w:rPr>
        <w:t xml:space="preserve"> (of which small companies (1-50 employees) account for the majority – 72%)</w:t>
      </w:r>
      <w:r w:rsidRPr="00371867">
        <w:rPr>
          <w:rFonts w:cs="Arial"/>
          <w:szCs w:val="22"/>
        </w:rPr>
        <w:t xml:space="preserve">. </w:t>
      </w:r>
      <w:r>
        <w:rPr>
          <w:rFonts w:cs="Arial"/>
          <w:szCs w:val="22"/>
        </w:rPr>
        <w:t xml:space="preserve">Private companies are all </w:t>
      </w:r>
      <w:r w:rsidRPr="00A33E4A">
        <w:rPr>
          <w:rFonts w:cs="Arial"/>
          <w:szCs w:val="22"/>
        </w:rPr>
        <w:t>local companies</w:t>
      </w:r>
      <w:r>
        <w:rPr>
          <w:rFonts w:cs="Arial"/>
          <w:szCs w:val="22"/>
        </w:rPr>
        <w:t xml:space="preserve"> </w:t>
      </w:r>
      <w:r w:rsidRPr="00A33E4A">
        <w:rPr>
          <w:rFonts w:cs="Arial"/>
          <w:szCs w:val="22"/>
        </w:rPr>
        <w:t>and they work under very restrictive conditions. No international companies currently operate in Kazakhstan that can bring in know-how on integrated waste management.</w:t>
      </w:r>
    </w:p>
    <w:p w14:paraId="294CE54E" w14:textId="77777777" w:rsidR="00FF6A34" w:rsidRDefault="00FF6A34" w:rsidP="00FF6A34">
      <w:pPr>
        <w:rPr>
          <w:rFonts w:cs="Arial"/>
          <w:szCs w:val="22"/>
        </w:rPr>
      </w:pPr>
    </w:p>
    <w:p w14:paraId="0605B735" w14:textId="77777777" w:rsidR="00FF6A34" w:rsidRDefault="00FF6A34" w:rsidP="00FF6A34">
      <w:pPr>
        <w:rPr>
          <w:rFonts w:cs="Arial"/>
          <w:szCs w:val="22"/>
        </w:rPr>
      </w:pPr>
      <w:r w:rsidRPr="00371867">
        <w:rPr>
          <w:rFonts w:cs="Arial"/>
          <w:szCs w:val="22"/>
        </w:rPr>
        <w:t>There is only one landfill that meets EU technical standards, which is</w:t>
      </w:r>
      <w:r>
        <w:rPr>
          <w:rFonts w:cs="Arial"/>
          <w:szCs w:val="22"/>
        </w:rPr>
        <w:t xml:space="preserve"> </w:t>
      </w:r>
      <w:r w:rsidRPr="00371867">
        <w:rPr>
          <w:rFonts w:cs="Arial"/>
          <w:szCs w:val="22"/>
        </w:rPr>
        <w:t>located in Astana. All other landfills must be classified as dump sites</w:t>
      </w:r>
      <w:r>
        <w:rPr>
          <w:rFonts w:cs="Arial"/>
          <w:szCs w:val="22"/>
        </w:rPr>
        <w:t xml:space="preserve"> </w:t>
      </w:r>
      <w:r w:rsidRPr="00371867">
        <w:rPr>
          <w:rFonts w:cs="Arial"/>
          <w:szCs w:val="22"/>
        </w:rPr>
        <w:t>without weighbridges and vital technical measures for emissions reduction.</w:t>
      </w:r>
      <w:r>
        <w:rPr>
          <w:rFonts w:cs="Arial"/>
          <w:szCs w:val="22"/>
        </w:rPr>
        <w:t xml:space="preserve"> </w:t>
      </w:r>
    </w:p>
    <w:p w14:paraId="245225E0" w14:textId="77777777" w:rsidR="00FF6A34" w:rsidRDefault="00FF6A34" w:rsidP="00FF6A34">
      <w:pPr>
        <w:rPr>
          <w:rFonts w:cs="Arial"/>
          <w:szCs w:val="22"/>
        </w:rPr>
      </w:pPr>
    </w:p>
    <w:p w14:paraId="7E83CFFF" w14:textId="77777777" w:rsidR="00FF6A34" w:rsidRPr="00A33E4A" w:rsidRDefault="00FF6A34" w:rsidP="00FF6A34">
      <w:pPr>
        <w:rPr>
          <w:rFonts w:cs="Arial"/>
          <w:szCs w:val="22"/>
        </w:rPr>
      </w:pPr>
      <w:r w:rsidRPr="00342F4B">
        <w:rPr>
          <w:rFonts w:cs="Arial"/>
          <w:szCs w:val="22"/>
        </w:rPr>
        <w:t>At present, waste collection companies are responsible for collecting the</w:t>
      </w:r>
      <w:r>
        <w:rPr>
          <w:rFonts w:cs="Arial"/>
          <w:szCs w:val="22"/>
        </w:rPr>
        <w:t xml:space="preserve"> </w:t>
      </w:r>
      <w:r w:rsidRPr="00342F4B">
        <w:rPr>
          <w:rFonts w:cs="Arial"/>
          <w:szCs w:val="22"/>
        </w:rPr>
        <w:t>SWM tariffs. The collection rate of tariffs from households is reported by</w:t>
      </w:r>
      <w:r>
        <w:rPr>
          <w:rFonts w:cs="Arial"/>
          <w:szCs w:val="22"/>
        </w:rPr>
        <w:t xml:space="preserve"> </w:t>
      </w:r>
      <w:r w:rsidRPr="00342F4B">
        <w:rPr>
          <w:rFonts w:cs="Arial"/>
          <w:szCs w:val="22"/>
        </w:rPr>
        <w:t>the regions to average 65%. This is due to related collection costs as well as</w:t>
      </w:r>
      <w:r>
        <w:rPr>
          <w:rFonts w:cs="Arial"/>
          <w:szCs w:val="22"/>
        </w:rPr>
        <w:t xml:space="preserve"> l</w:t>
      </w:r>
      <w:r w:rsidRPr="00342F4B">
        <w:rPr>
          <w:rFonts w:cs="Arial"/>
          <w:szCs w:val="22"/>
        </w:rPr>
        <w:t>ack of enforcement mechanisms.</w:t>
      </w:r>
    </w:p>
    <w:p w14:paraId="21CF70BC" w14:textId="77777777" w:rsidR="00FF6A34" w:rsidRDefault="00FF6A34" w:rsidP="00FF6A34">
      <w:pPr>
        <w:rPr>
          <w:rFonts w:cs="Arial"/>
          <w:szCs w:val="22"/>
        </w:rPr>
      </w:pPr>
    </w:p>
    <w:p w14:paraId="2E24A2F5" w14:textId="77777777" w:rsidR="00FF6A34" w:rsidRPr="0088005A" w:rsidRDefault="00FF6A34" w:rsidP="00FF6A34">
      <w:pPr>
        <w:rPr>
          <w:rFonts w:cs="Arial"/>
          <w:b/>
          <w:szCs w:val="22"/>
        </w:rPr>
      </w:pPr>
      <w:r>
        <w:rPr>
          <w:rFonts w:cs="Arial"/>
          <w:b/>
          <w:szCs w:val="22"/>
        </w:rPr>
        <w:t>Legal Framework and Institutional Setup</w:t>
      </w:r>
    </w:p>
    <w:p w14:paraId="4E8C4F7E" w14:textId="77777777" w:rsidR="00FF6A34" w:rsidRDefault="00FF6A34" w:rsidP="00FF6A34">
      <w:pPr>
        <w:rPr>
          <w:rFonts w:cs="Arial"/>
          <w:szCs w:val="22"/>
        </w:rPr>
      </w:pPr>
    </w:p>
    <w:p w14:paraId="77D28157" w14:textId="77777777" w:rsidR="00FF6A34" w:rsidRDefault="00FF6A34" w:rsidP="00FF6A34">
      <w:pPr>
        <w:rPr>
          <w:rFonts w:cs="Arial"/>
          <w:szCs w:val="22"/>
        </w:rPr>
      </w:pPr>
      <w:r w:rsidRPr="00A16D89">
        <w:rPr>
          <w:rFonts w:cs="Arial"/>
          <w:szCs w:val="22"/>
        </w:rPr>
        <w:t>The waste sector is largely regulated in the Environmental Code.</w:t>
      </w:r>
      <w:r>
        <w:rPr>
          <w:rFonts w:cs="Arial"/>
          <w:szCs w:val="22"/>
        </w:rPr>
        <w:t xml:space="preserve"> </w:t>
      </w:r>
      <w:r w:rsidRPr="00A33E4A">
        <w:rPr>
          <w:rFonts w:cs="Arial"/>
          <w:szCs w:val="22"/>
        </w:rPr>
        <w:t>There are no other waste</w:t>
      </w:r>
      <w:r>
        <w:rPr>
          <w:rFonts w:cs="Arial"/>
          <w:szCs w:val="22"/>
        </w:rPr>
        <w:t xml:space="preserve"> </w:t>
      </w:r>
      <w:r w:rsidRPr="00A33E4A">
        <w:rPr>
          <w:rFonts w:cs="Arial"/>
          <w:szCs w:val="22"/>
        </w:rPr>
        <w:t>management regulations at national level. The regulations in the</w:t>
      </w:r>
      <w:r>
        <w:rPr>
          <w:rFonts w:cs="Arial"/>
          <w:szCs w:val="22"/>
        </w:rPr>
        <w:t xml:space="preserve"> </w:t>
      </w:r>
      <w:r w:rsidRPr="00A33E4A">
        <w:rPr>
          <w:rFonts w:cs="Arial"/>
          <w:szCs w:val="22"/>
        </w:rPr>
        <w:t>Environmental Code are insufficiently detailed to enforce</w:t>
      </w:r>
      <w:r>
        <w:rPr>
          <w:rFonts w:cs="Arial"/>
          <w:szCs w:val="22"/>
        </w:rPr>
        <w:t xml:space="preserve"> </w:t>
      </w:r>
      <w:r w:rsidRPr="00A33E4A">
        <w:rPr>
          <w:rFonts w:cs="Arial"/>
          <w:szCs w:val="22"/>
        </w:rPr>
        <w:t>environmentally safe modern waste management. It lacks sub-normative</w:t>
      </w:r>
      <w:r>
        <w:rPr>
          <w:rFonts w:cs="Arial"/>
          <w:szCs w:val="22"/>
        </w:rPr>
        <w:t xml:space="preserve"> </w:t>
      </w:r>
      <w:r w:rsidRPr="00A33E4A">
        <w:rPr>
          <w:rFonts w:cs="Arial"/>
          <w:szCs w:val="22"/>
        </w:rPr>
        <w:t>regulations.</w:t>
      </w:r>
      <w:r w:rsidRPr="00A16D89">
        <w:rPr>
          <w:rFonts w:cs="Arial"/>
          <w:szCs w:val="22"/>
        </w:rPr>
        <w:t xml:space="preserve"> This</w:t>
      </w:r>
      <w:r>
        <w:rPr>
          <w:rFonts w:cs="Arial"/>
          <w:szCs w:val="22"/>
        </w:rPr>
        <w:t xml:space="preserve"> is </w:t>
      </w:r>
      <w:r w:rsidRPr="00A16D89">
        <w:rPr>
          <w:rFonts w:cs="Arial"/>
          <w:szCs w:val="22"/>
        </w:rPr>
        <w:t>not necessarily a disadvantage, but a dedicated law on waste would</w:t>
      </w:r>
      <w:r>
        <w:rPr>
          <w:rFonts w:cs="Arial"/>
          <w:szCs w:val="22"/>
        </w:rPr>
        <w:t xml:space="preserve"> </w:t>
      </w:r>
      <w:r w:rsidRPr="00A16D89">
        <w:rPr>
          <w:rFonts w:cs="Arial"/>
          <w:szCs w:val="22"/>
        </w:rPr>
        <w:t>allow comprehensive regulation of the sector, with technical annexes</w:t>
      </w:r>
      <w:r>
        <w:rPr>
          <w:rFonts w:cs="Arial"/>
          <w:szCs w:val="22"/>
        </w:rPr>
        <w:t xml:space="preserve"> </w:t>
      </w:r>
      <w:r w:rsidRPr="00A16D89">
        <w:rPr>
          <w:rFonts w:cs="Arial"/>
          <w:szCs w:val="22"/>
        </w:rPr>
        <w:t>incorporating standards and classifications. As it stands, competences,</w:t>
      </w:r>
      <w:r>
        <w:rPr>
          <w:rFonts w:cs="Arial"/>
          <w:szCs w:val="22"/>
        </w:rPr>
        <w:t xml:space="preserve"> </w:t>
      </w:r>
      <w:r w:rsidRPr="00A16D89">
        <w:rPr>
          <w:rFonts w:cs="Arial"/>
          <w:szCs w:val="22"/>
        </w:rPr>
        <w:t>definitions and penalty provisions are spread over voluminous</w:t>
      </w:r>
      <w:r>
        <w:rPr>
          <w:rFonts w:cs="Arial"/>
          <w:szCs w:val="22"/>
        </w:rPr>
        <w:t xml:space="preserve"> </w:t>
      </w:r>
      <w:r w:rsidRPr="00A16D89">
        <w:rPr>
          <w:rFonts w:cs="Arial"/>
          <w:szCs w:val="22"/>
        </w:rPr>
        <w:t>legislation.</w:t>
      </w:r>
    </w:p>
    <w:p w14:paraId="61B8EE60" w14:textId="77777777" w:rsidR="00FF6A34" w:rsidRDefault="00FF6A34" w:rsidP="00FF6A34">
      <w:pPr>
        <w:rPr>
          <w:rFonts w:cs="Arial"/>
          <w:szCs w:val="22"/>
        </w:rPr>
      </w:pPr>
    </w:p>
    <w:p w14:paraId="0E9DB7D0" w14:textId="77777777" w:rsidR="00FF6A34" w:rsidRDefault="00FF6A34" w:rsidP="00FF6A34">
      <w:pPr>
        <w:rPr>
          <w:rFonts w:cs="Arial"/>
          <w:szCs w:val="22"/>
        </w:rPr>
      </w:pPr>
      <w:r>
        <w:rPr>
          <w:rFonts w:cs="Arial"/>
          <w:szCs w:val="22"/>
        </w:rPr>
        <w:t xml:space="preserve">Recognizing the need for a modern and sustainable approach to municipal waste management, the government developed and now implements a National Program for Modern Municipal Solid Waste Management for 2013-2015. As a follow-up step, 16 oblast authorities are now required to develop regional municipal solid waste management plans that </w:t>
      </w:r>
      <w:r w:rsidRPr="00834350">
        <w:rPr>
          <w:rFonts w:cs="Arial"/>
          <w:szCs w:val="22"/>
        </w:rPr>
        <w:t>will set out in detail the requirements of the law for the regions and the</w:t>
      </w:r>
      <w:r>
        <w:rPr>
          <w:rFonts w:cs="Arial"/>
          <w:szCs w:val="22"/>
        </w:rPr>
        <w:t xml:space="preserve"> </w:t>
      </w:r>
      <w:r w:rsidRPr="00834350">
        <w:rPr>
          <w:rFonts w:cs="Arial"/>
          <w:szCs w:val="22"/>
        </w:rPr>
        <w:t>municipalities.</w:t>
      </w:r>
      <w:r>
        <w:rPr>
          <w:rFonts w:cs="Arial"/>
          <w:szCs w:val="22"/>
        </w:rPr>
        <w:t xml:space="preserve"> </w:t>
      </w:r>
    </w:p>
    <w:p w14:paraId="53A15F5B" w14:textId="77777777" w:rsidR="00FF6A34" w:rsidRDefault="00FF6A34" w:rsidP="00FF6A34">
      <w:pPr>
        <w:rPr>
          <w:rFonts w:cs="Arial"/>
          <w:szCs w:val="22"/>
        </w:rPr>
      </w:pPr>
    </w:p>
    <w:p w14:paraId="70D41A1F" w14:textId="77777777" w:rsidR="00FF6A34" w:rsidRPr="008023A9" w:rsidRDefault="00FF6A34" w:rsidP="00FF6A34">
      <w:pPr>
        <w:rPr>
          <w:rFonts w:cs="Arial"/>
          <w:szCs w:val="22"/>
        </w:rPr>
      </w:pPr>
      <w:r>
        <w:rPr>
          <w:rFonts w:cs="Arial"/>
          <w:szCs w:val="22"/>
        </w:rPr>
        <w:t>The Kazakhstani</w:t>
      </w:r>
      <w:r w:rsidRPr="008023A9">
        <w:rPr>
          <w:rFonts w:cs="Arial"/>
          <w:szCs w:val="22"/>
        </w:rPr>
        <w:t xml:space="preserve"> system has ample empowerments for control and monitoring, with a</w:t>
      </w:r>
      <w:r>
        <w:rPr>
          <w:rFonts w:cs="Arial"/>
          <w:szCs w:val="22"/>
        </w:rPr>
        <w:t xml:space="preserve"> </w:t>
      </w:r>
      <w:r w:rsidRPr="008023A9">
        <w:rPr>
          <w:rFonts w:cs="Arial"/>
          <w:szCs w:val="22"/>
        </w:rPr>
        <w:t>workable hierarchical structure of the Regional Akimats and the District and</w:t>
      </w:r>
      <w:r>
        <w:rPr>
          <w:rFonts w:cs="Arial"/>
          <w:szCs w:val="22"/>
        </w:rPr>
        <w:t xml:space="preserve"> </w:t>
      </w:r>
      <w:r w:rsidRPr="008023A9">
        <w:rPr>
          <w:rFonts w:cs="Arial"/>
          <w:szCs w:val="22"/>
        </w:rPr>
        <w:t>City Akimats as subordinate institutions. National environmental policy is</w:t>
      </w:r>
      <w:r>
        <w:rPr>
          <w:rFonts w:cs="Arial"/>
          <w:szCs w:val="22"/>
        </w:rPr>
        <w:t xml:space="preserve"> </w:t>
      </w:r>
      <w:r w:rsidRPr="008023A9">
        <w:rPr>
          <w:rFonts w:cs="Arial"/>
          <w:szCs w:val="22"/>
        </w:rPr>
        <w:t xml:space="preserve">implemented via </w:t>
      </w:r>
      <w:r>
        <w:rPr>
          <w:rFonts w:cs="Arial"/>
          <w:szCs w:val="22"/>
        </w:rPr>
        <w:t>MEWR’s regional environmental department</w:t>
      </w:r>
      <w:r w:rsidRPr="002D6852">
        <w:rPr>
          <w:rFonts w:cs="Arial"/>
          <w:szCs w:val="22"/>
        </w:rPr>
        <w:t>.</w:t>
      </w:r>
      <w:r w:rsidRPr="008023A9">
        <w:rPr>
          <w:rFonts w:cs="Arial"/>
          <w:szCs w:val="22"/>
        </w:rPr>
        <w:t xml:space="preserve"> According to the Environmental</w:t>
      </w:r>
      <w:r>
        <w:rPr>
          <w:rFonts w:cs="Arial"/>
          <w:szCs w:val="22"/>
        </w:rPr>
        <w:t xml:space="preserve"> </w:t>
      </w:r>
      <w:r w:rsidRPr="008023A9">
        <w:rPr>
          <w:rFonts w:cs="Arial"/>
          <w:szCs w:val="22"/>
        </w:rPr>
        <w:t>Code, waste-related matters are in the hands of Environmental Protection</w:t>
      </w:r>
      <w:r>
        <w:rPr>
          <w:rFonts w:cs="Arial"/>
          <w:szCs w:val="22"/>
        </w:rPr>
        <w:t xml:space="preserve"> </w:t>
      </w:r>
      <w:r w:rsidRPr="008023A9">
        <w:rPr>
          <w:rFonts w:cs="Arial"/>
          <w:szCs w:val="22"/>
        </w:rPr>
        <w:t>Agencies at the regional/oblast and local level.</w:t>
      </w:r>
    </w:p>
    <w:p w14:paraId="13FAFEF7" w14:textId="77777777" w:rsidR="00FF6A34" w:rsidRDefault="00FF6A34" w:rsidP="00FF6A34">
      <w:pPr>
        <w:rPr>
          <w:rFonts w:cs="Arial"/>
          <w:szCs w:val="22"/>
        </w:rPr>
      </w:pPr>
    </w:p>
    <w:p w14:paraId="1F140C32" w14:textId="77777777" w:rsidR="00FF6A34" w:rsidRPr="008023A9" w:rsidRDefault="00FF6A34" w:rsidP="00FF6A34">
      <w:pPr>
        <w:rPr>
          <w:rFonts w:cs="Arial"/>
          <w:szCs w:val="22"/>
        </w:rPr>
      </w:pPr>
      <w:r w:rsidRPr="008023A9">
        <w:rPr>
          <w:rFonts w:cs="Arial"/>
          <w:szCs w:val="22"/>
        </w:rPr>
        <w:t>There are other institutions with relevant mo</w:t>
      </w:r>
      <w:r>
        <w:rPr>
          <w:rFonts w:cs="Arial"/>
          <w:szCs w:val="22"/>
        </w:rPr>
        <w:t>nitoring and controlling rights. In Astana, for example, they are</w:t>
      </w:r>
      <w:r w:rsidRPr="008023A9">
        <w:rPr>
          <w:rFonts w:cs="Arial"/>
          <w:szCs w:val="22"/>
        </w:rPr>
        <w:t xml:space="preserve"> the regional Department of State Sanitary-Epidemiological</w:t>
      </w:r>
      <w:r>
        <w:rPr>
          <w:rFonts w:cs="Arial"/>
          <w:szCs w:val="22"/>
        </w:rPr>
        <w:t xml:space="preserve"> </w:t>
      </w:r>
      <w:r w:rsidRPr="008023A9">
        <w:rPr>
          <w:rFonts w:cs="Arial"/>
          <w:szCs w:val="22"/>
        </w:rPr>
        <w:t>Supervision and the Esilsky Ecological Department.</w:t>
      </w:r>
    </w:p>
    <w:p w14:paraId="5F24920F" w14:textId="77777777" w:rsidR="00FF6A34" w:rsidRDefault="00FF6A34" w:rsidP="00FF6A34">
      <w:pPr>
        <w:rPr>
          <w:rFonts w:cs="Arial"/>
          <w:szCs w:val="22"/>
        </w:rPr>
      </w:pPr>
    </w:p>
    <w:p w14:paraId="1904369F" w14:textId="77777777" w:rsidR="00FF6A34" w:rsidRDefault="00FF6A34" w:rsidP="00FF6A34">
      <w:pPr>
        <w:rPr>
          <w:rFonts w:cs="Arial"/>
          <w:szCs w:val="22"/>
        </w:rPr>
      </w:pPr>
      <w:r w:rsidRPr="008023A9">
        <w:rPr>
          <w:rFonts w:cs="Arial"/>
          <w:szCs w:val="22"/>
        </w:rPr>
        <w:t>The Environmental Code and the Law on Self-Governance determine</w:t>
      </w:r>
      <w:r>
        <w:rPr>
          <w:rFonts w:cs="Arial"/>
          <w:szCs w:val="22"/>
        </w:rPr>
        <w:t xml:space="preserve"> </w:t>
      </w:r>
      <w:r w:rsidRPr="008023A9">
        <w:rPr>
          <w:rFonts w:cs="Arial"/>
          <w:szCs w:val="22"/>
        </w:rPr>
        <w:t>umbrella competences for these institutions. The Akimats, for example, are</w:t>
      </w:r>
      <w:r>
        <w:rPr>
          <w:rFonts w:cs="Arial"/>
          <w:szCs w:val="22"/>
        </w:rPr>
        <w:t xml:space="preserve"> </w:t>
      </w:r>
      <w:r w:rsidRPr="008023A9">
        <w:rPr>
          <w:rFonts w:cs="Arial"/>
          <w:szCs w:val="22"/>
        </w:rPr>
        <w:t>empowered to enact legislation (regulations) and are obliged to monitor the</w:t>
      </w:r>
      <w:r>
        <w:rPr>
          <w:rFonts w:cs="Arial"/>
          <w:szCs w:val="22"/>
        </w:rPr>
        <w:t xml:space="preserve"> </w:t>
      </w:r>
      <w:r w:rsidRPr="008023A9">
        <w:rPr>
          <w:rFonts w:cs="Arial"/>
          <w:szCs w:val="22"/>
        </w:rPr>
        <w:t xml:space="preserve">companies providing waste collection services. </w:t>
      </w:r>
    </w:p>
    <w:p w14:paraId="51B03E30" w14:textId="77777777" w:rsidR="00FF6A34" w:rsidRDefault="00FF6A34" w:rsidP="00FF6A34">
      <w:pPr>
        <w:rPr>
          <w:rFonts w:cs="Arial"/>
          <w:szCs w:val="22"/>
        </w:rPr>
      </w:pPr>
    </w:p>
    <w:p w14:paraId="714E9BC4" w14:textId="77777777" w:rsidR="00FF6A34" w:rsidRDefault="00FF6A34" w:rsidP="00FF6A34">
      <w:pPr>
        <w:rPr>
          <w:rFonts w:cs="Arial"/>
          <w:szCs w:val="22"/>
        </w:rPr>
      </w:pPr>
      <w:r w:rsidRPr="008023A9">
        <w:rPr>
          <w:rFonts w:cs="Arial"/>
          <w:szCs w:val="22"/>
        </w:rPr>
        <w:t>Although the Akimat bears overall resp</w:t>
      </w:r>
      <w:r>
        <w:rPr>
          <w:rFonts w:cs="Arial"/>
          <w:szCs w:val="22"/>
        </w:rPr>
        <w:t xml:space="preserve">onsibility for waste management </w:t>
      </w:r>
      <w:r w:rsidRPr="008023A9">
        <w:rPr>
          <w:rFonts w:cs="Arial"/>
          <w:szCs w:val="22"/>
        </w:rPr>
        <w:t>services at the local level, it has no contractual relationships with any of the</w:t>
      </w:r>
      <w:r>
        <w:rPr>
          <w:rFonts w:cs="Arial"/>
          <w:szCs w:val="22"/>
        </w:rPr>
        <w:t xml:space="preserve"> </w:t>
      </w:r>
      <w:r w:rsidRPr="008023A9">
        <w:rPr>
          <w:rFonts w:cs="Arial"/>
          <w:szCs w:val="22"/>
        </w:rPr>
        <w:t>waste collection companies. The contractual framework between Akimat</w:t>
      </w:r>
      <w:r>
        <w:rPr>
          <w:rFonts w:cs="Arial"/>
          <w:szCs w:val="22"/>
        </w:rPr>
        <w:t xml:space="preserve"> </w:t>
      </w:r>
      <w:r w:rsidRPr="008023A9">
        <w:rPr>
          <w:rFonts w:cs="Arial"/>
          <w:szCs w:val="22"/>
        </w:rPr>
        <w:t>and landfill operator is limited to the land lease contract covering the</w:t>
      </w:r>
      <w:r>
        <w:rPr>
          <w:rFonts w:cs="Arial"/>
          <w:szCs w:val="22"/>
        </w:rPr>
        <w:t xml:space="preserve"> </w:t>
      </w:r>
      <w:r w:rsidRPr="008023A9">
        <w:rPr>
          <w:rFonts w:cs="Arial"/>
          <w:szCs w:val="22"/>
        </w:rPr>
        <w:t>landfill site. Formally, the Akimat is not in a position to conduct appropriate</w:t>
      </w:r>
      <w:r>
        <w:rPr>
          <w:rFonts w:cs="Arial"/>
          <w:szCs w:val="22"/>
        </w:rPr>
        <w:t xml:space="preserve"> </w:t>
      </w:r>
      <w:r w:rsidRPr="008023A9">
        <w:rPr>
          <w:rFonts w:cs="Arial"/>
          <w:szCs w:val="22"/>
        </w:rPr>
        <w:t>performance management. The complex property relationships between</w:t>
      </w:r>
      <w:r>
        <w:rPr>
          <w:rFonts w:cs="Arial"/>
          <w:szCs w:val="22"/>
        </w:rPr>
        <w:t xml:space="preserve"> </w:t>
      </w:r>
      <w:r w:rsidRPr="008023A9">
        <w:rPr>
          <w:rFonts w:cs="Arial"/>
          <w:szCs w:val="22"/>
        </w:rPr>
        <w:t>landfill operator, collection companies and Akimat also lack a clear formal</w:t>
      </w:r>
      <w:r>
        <w:rPr>
          <w:rFonts w:cs="Arial"/>
          <w:szCs w:val="22"/>
        </w:rPr>
        <w:t xml:space="preserve"> </w:t>
      </w:r>
      <w:r w:rsidRPr="008023A9">
        <w:rPr>
          <w:rFonts w:cs="Arial"/>
          <w:szCs w:val="22"/>
        </w:rPr>
        <w:t>framework.</w:t>
      </w:r>
    </w:p>
    <w:p w14:paraId="6FBA905B" w14:textId="77777777" w:rsidR="00FF6A34" w:rsidRDefault="00FF6A34" w:rsidP="00FF6A34">
      <w:pPr>
        <w:rPr>
          <w:rFonts w:cs="Arial"/>
          <w:szCs w:val="22"/>
        </w:rPr>
      </w:pPr>
    </w:p>
    <w:p w14:paraId="6340F176" w14:textId="77777777" w:rsidR="00FF6A34" w:rsidRDefault="00FF6A34" w:rsidP="00FF6A34">
      <w:pPr>
        <w:rPr>
          <w:rFonts w:cs="Arial"/>
          <w:szCs w:val="22"/>
        </w:rPr>
      </w:pPr>
      <w:r>
        <w:rPr>
          <w:rFonts w:cs="Arial"/>
          <w:szCs w:val="22"/>
        </w:rPr>
        <w:t>W</w:t>
      </w:r>
      <w:r w:rsidRPr="00A16D89">
        <w:rPr>
          <w:rFonts w:cs="Arial"/>
          <w:szCs w:val="22"/>
        </w:rPr>
        <w:t>hile there are overlapping competences where control is</w:t>
      </w:r>
      <w:r>
        <w:rPr>
          <w:rFonts w:cs="Arial"/>
          <w:szCs w:val="22"/>
        </w:rPr>
        <w:t xml:space="preserve"> </w:t>
      </w:r>
      <w:r w:rsidRPr="00A16D89">
        <w:rPr>
          <w:rFonts w:cs="Arial"/>
          <w:szCs w:val="22"/>
        </w:rPr>
        <w:t>concerned, there are gaps and lack of competences (or powers to act) in</w:t>
      </w:r>
      <w:r>
        <w:rPr>
          <w:rFonts w:cs="Arial"/>
          <w:szCs w:val="22"/>
        </w:rPr>
        <w:t xml:space="preserve"> </w:t>
      </w:r>
      <w:r w:rsidRPr="00A16D89">
        <w:rPr>
          <w:rFonts w:cs="Arial"/>
          <w:szCs w:val="22"/>
        </w:rPr>
        <w:t xml:space="preserve">other areas, such as (legal or illegal) landfills. The </w:t>
      </w:r>
      <w:r>
        <w:rPr>
          <w:rFonts w:cs="Arial"/>
          <w:szCs w:val="22"/>
        </w:rPr>
        <w:t>Ministry of Environment and Water Resources</w:t>
      </w:r>
      <w:r w:rsidRPr="00A16D89">
        <w:rPr>
          <w:rFonts w:cs="Arial"/>
          <w:szCs w:val="22"/>
        </w:rPr>
        <w:t>, however, does have some important regulatory</w:t>
      </w:r>
      <w:r>
        <w:rPr>
          <w:rFonts w:cs="Arial"/>
          <w:szCs w:val="22"/>
        </w:rPr>
        <w:t xml:space="preserve"> </w:t>
      </w:r>
      <w:r w:rsidRPr="00A16D89">
        <w:rPr>
          <w:rFonts w:cs="Arial"/>
          <w:szCs w:val="22"/>
        </w:rPr>
        <w:t>functions and the District Akimats are competent to monitor the</w:t>
      </w:r>
      <w:r>
        <w:rPr>
          <w:rFonts w:cs="Arial"/>
          <w:szCs w:val="22"/>
        </w:rPr>
        <w:t xml:space="preserve"> </w:t>
      </w:r>
      <w:r w:rsidRPr="00A16D89">
        <w:rPr>
          <w:rFonts w:cs="Arial"/>
          <w:szCs w:val="22"/>
        </w:rPr>
        <w:t>efficiency of companies providing waste collection services. This can</w:t>
      </w:r>
      <w:r>
        <w:rPr>
          <w:rFonts w:cs="Arial"/>
          <w:szCs w:val="22"/>
        </w:rPr>
        <w:t xml:space="preserve"> </w:t>
      </w:r>
      <w:r w:rsidRPr="00A16D89">
        <w:rPr>
          <w:rFonts w:cs="Arial"/>
          <w:szCs w:val="22"/>
        </w:rPr>
        <w:t>be used as a legal basis for the establishment of performance indicators.</w:t>
      </w:r>
    </w:p>
    <w:p w14:paraId="4D7C2631" w14:textId="77777777" w:rsidR="00FF6A34" w:rsidRDefault="00FF6A34" w:rsidP="00FF6A34">
      <w:pPr>
        <w:rPr>
          <w:rFonts w:cs="Arial"/>
          <w:szCs w:val="22"/>
        </w:rPr>
      </w:pPr>
    </w:p>
    <w:p w14:paraId="2ED1F5FA" w14:textId="77777777" w:rsidR="00FF6A34" w:rsidRDefault="00FF6A34" w:rsidP="00FF6A34">
      <w:pPr>
        <w:rPr>
          <w:rFonts w:cs="Arial"/>
          <w:szCs w:val="22"/>
        </w:rPr>
      </w:pPr>
      <w:r>
        <w:rPr>
          <w:rFonts w:cs="Arial"/>
          <w:szCs w:val="22"/>
        </w:rPr>
        <w:t xml:space="preserve">In case of recycling, there is an obvious legal collision. </w:t>
      </w:r>
      <w:r w:rsidRPr="00834350">
        <w:rPr>
          <w:rFonts w:cs="Arial"/>
          <w:szCs w:val="22"/>
        </w:rPr>
        <w:t>According to Clause 44 of the Decree of the Ministry of Health of the</w:t>
      </w:r>
      <w:r>
        <w:rPr>
          <w:rFonts w:cs="Arial"/>
          <w:szCs w:val="22"/>
        </w:rPr>
        <w:t xml:space="preserve"> </w:t>
      </w:r>
      <w:r w:rsidRPr="00834350">
        <w:rPr>
          <w:rFonts w:cs="Arial"/>
          <w:szCs w:val="22"/>
        </w:rPr>
        <w:t>Republic of Kazakhstan № 137 dated 24/05/05 “Regarding approval of</w:t>
      </w:r>
      <w:r>
        <w:rPr>
          <w:rFonts w:cs="Arial"/>
          <w:szCs w:val="22"/>
        </w:rPr>
        <w:t xml:space="preserve"> </w:t>
      </w:r>
      <w:r w:rsidRPr="00834350">
        <w:rPr>
          <w:rFonts w:cs="Arial"/>
          <w:szCs w:val="22"/>
        </w:rPr>
        <w:t>sanitary and epidemiologic requirements for maintenance of populated</w:t>
      </w:r>
      <w:r>
        <w:rPr>
          <w:rFonts w:cs="Arial"/>
          <w:szCs w:val="22"/>
        </w:rPr>
        <w:t xml:space="preserve"> areas”, </w:t>
      </w:r>
      <w:r w:rsidRPr="00834350">
        <w:rPr>
          <w:rFonts w:cs="Arial"/>
          <w:szCs w:val="22"/>
        </w:rPr>
        <w:t>the selection and removal of</w:t>
      </w:r>
      <w:r>
        <w:rPr>
          <w:rFonts w:cs="Arial"/>
          <w:szCs w:val="22"/>
        </w:rPr>
        <w:t xml:space="preserve"> </w:t>
      </w:r>
      <w:r w:rsidRPr="00834350">
        <w:rPr>
          <w:rFonts w:cs="Arial"/>
          <w:szCs w:val="22"/>
        </w:rPr>
        <w:t>recyclables from containers and specialized transport is prohibited.</w:t>
      </w:r>
      <w:r>
        <w:rPr>
          <w:rFonts w:cs="Arial"/>
          <w:szCs w:val="22"/>
        </w:rPr>
        <w:t xml:space="preserve"> Despite this fact, some </w:t>
      </w:r>
      <w:r w:rsidRPr="00F16098">
        <w:rPr>
          <w:rFonts w:cs="Arial"/>
          <w:szCs w:val="22"/>
        </w:rPr>
        <w:t>local authorities</w:t>
      </w:r>
      <w:r>
        <w:rPr>
          <w:rFonts w:cs="Arial"/>
          <w:szCs w:val="22"/>
        </w:rPr>
        <w:t xml:space="preserve"> (in Almaty and Astana, for example)</w:t>
      </w:r>
      <w:r w:rsidRPr="00F16098">
        <w:rPr>
          <w:rFonts w:cs="Arial"/>
          <w:szCs w:val="22"/>
        </w:rPr>
        <w:t xml:space="preserve"> are running pilot recycling projects to</w:t>
      </w:r>
      <w:r>
        <w:rPr>
          <w:rFonts w:cs="Arial"/>
          <w:szCs w:val="22"/>
        </w:rPr>
        <w:t xml:space="preserve"> </w:t>
      </w:r>
      <w:r w:rsidRPr="00F16098">
        <w:rPr>
          <w:rFonts w:cs="Arial"/>
          <w:szCs w:val="22"/>
        </w:rPr>
        <w:t>investigate separate collection options. Although the results of these projects</w:t>
      </w:r>
      <w:r>
        <w:rPr>
          <w:rFonts w:cs="Arial"/>
          <w:szCs w:val="22"/>
        </w:rPr>
        <w:t xml:space="preserve"> </w:t>
      </w:r>
      <w:r w:rsidRPr="00F16098">
        <w:rPr>
          <w:rFonts w:cs="Arial"/>
          <w:szCs w:val="22"/>
        </w:rPr>
        <w:t>have not been summarized, separate collection for further recycling is</w:t>
      </w:r>
      <w:r>
        <w:rPr>
          <w:rFonts w:cs="Arial"/>
          <w:szCs w:val="22"/>
        </w:rPr>
        <w:t xml:space="preserve"> </w:t>
      </w:r>
      <w:r w:rsidRPr="00F16098">
        <w:rPr>
          <w:rFonts w:cs="Arial"/>
          <w:szCs w:val="22"/>
        </w:rPr>
        <w:t>considered a key approach for future development of the waste management</w:t>
      </w:r>
      <w:r>
        <w:rPr>
          <w:rFonts w:cs="Arial"/>
          <w:szCs w:val="22"/>
        </w:rPr>
        <w:t xml:space="preserve"> </w:t>
      </w:r>
      <w:r w:rsidRPr="00F16098">
        <w:rPr>
          <w:rFonts w:cs="Arial"/>
          <w:szCs w:val="22"/>
        </w:rPr>
        <w:t>system.</w:t>
      </w:r>
    </w:p>
    <w:p w14:paraId="47D638EF" w14:textId="77777777" w:rsidR="00FF6A34" w:rsidRDefault="00FF6A34" w:rsidP="00FF6A34">
      <w:pPr>
        <w:rPr>
          <w:rFonts w:cs="Arial"/>
          <w:szCs w:val="22"/>
        </w:rPr>
      </w:pPr>
    </w:p>
    <w:p w14:paraId="0052FCC0" w14:textId="77777777" w:rsidR="00FF6A34" w:rsidRPr="002D6852" w:rsidRDefault="00FF6A34" w:rsidP="00FF6A34">
      <w:pPr>
        <w:rPr>
          <w:rFonts w:cs="Arial"/>
          <w:i/>
          <w:szCs w:val="22"/>
        </w:rPr>
      </w:pPr>
      <w:r w:rsidRPr="002D6852">
        <w:rPr>
          <w:rFonts w:cs="Arial"/>
          <w:i/>
          <w:szCs w:val="22"/>
        </w:rPr>
        <w:t>Dispersed responsibilities for waste management</w:t>
      </w:r>
    </w:p>
    <w:p w14:paraId="0AB6EFA6" w14:textId="77777777" w:rsidR="00FF6A34" w:rsidRDefault="00FF6A34" w:rsidP="00FF6A34">
      <w:pPr>
        <w:rPr>
          <w:rFonts w:cs="Arial"/>
          <w:szCs w:val="22"/>
        </w:rPr>
      </w:pPr>
    </w:p>
    <w:p w14:paraId="271478FE" w14:textId="77777777" w:rsidR="00FF6A34" w:rsidRDefault="00FF6A34" w:rsidP="00FF6A34">
      <w:pPr>
        <w:rPr>
          <w:rFonts w:cs="Arial"/>
          <w:szCs w:val="22"/>
        </w:rPr>
      </w:pPr>
      <w:r w:rsidRPr="00A16D89">
        <w:rPr>
          <w:rFonts w:cs="Arial"/>
          <w:szCs w:val="22"/>
        </w:rPr>
        <w:t>An initial analysis of the existing institutional framework (public part) at the</w:t>
      </w:r>
      <w:r>
        <w:rPr>
          <w:rFonts w:cs="Arial"/>
          <w:szCs w:val="22"/>
        </w:rPr>
        <w:t xml:space="preserve"> </w:t>
      </w:r>
      <w:r w:rsidRPr="00A16D89">
        <w:rPr>
          <w:rFonts w:cs="Arial"/>
          <w:szCs w:val="22"/>
        </w:rPr>
        <w:t>working level shows that responsibilities are divided in such a way that</w:t>
      </w:r>
      <w:r>
        <w:rPr>
          <w:rFonts w:cs="Arial"/>
          <w:szCs w:val="22"/>
        </w:rPr>
        <w:t xml:space="preserve"> </w:t>
      </w:r>
      <w:r w:rsidRPr="00A16D89">
        <w:rPr>
          <w:rFonts w:cs="Arial"/>
          <w:szCs w:val="22"/>
        </w:rPr>
        <w:t>waste management is not necessarily treated as a homogeneous activity.</w:t>
      </w:r>
      <w:r>
        <w:rPr>
          <w:rFonts w:cs="Arial"/>
          <w:szCs w:val="22"/>
        </w:rPr>
        <w:t xml:space="preserve"> </w:t>
      </w:r>
      <w:r w:rsidRPr="00A16D89">
        <w:rPr>
          <w:rFonts w:cs="Arial"/>
          <w:szCs w:val="22"/>
        </w:rPr>
        <w:t>This is applicable to all institutional levels. The division of responsibilities</w:t>
      </w:r>
      <w:r>
        <w:rPr>
          <w:rFonts w:cs="Arial"/>
          <w:szCs w:val="22"/>
        </w:rPr>
        <w:t xml:space="preserve"> between MEWR</w:t>
      </w:r>
      <w:r w:rsidRPr="00A16D89">
        <w:rPr>
          <w:rFonts w:cs="Arial"/>
          <w:szCs w:val="22"/>
        </w:rPr>
        <w:t xml:space="preserve">, Ministry of Industry and </w:t>
      </w:r>
      <w:r>
        <w:rPr>
          <w:rFonts w:cs="Arial"/>
          <w:szCs w:val="22"/>
        </w:rPr>
        <w:t>Ministry of Regional Development</w:t>
      </w:r>
      <w:r w:rsidRPr="00A16D89">
        <w:rPr>
          <w:rFonts w:cs="Arial"/>
          <w:szCs w:val="22"/>
        </w:rPr>
        <w:t xml:space="preserve"> at</w:t>
      </w:r>
      <w:r>
        <w:rPr>
          <w:rFonts w:cs="Arial"/>
          <w:szCs w:val="22"/>
        </w:rPr>
        <w:t xml:space="preserve"> </w:t>
      </w:r>
      <w:r w:rsidRPr="00A16D89">
        <w:rPr>
          <w:rFonts w:cs="Arial"/>
          <w:szCs w:val="22"/>
        </w:rPr>
        <w:t>the ministerial level is continued at the local level. In Astana, for example,</w:t>
      </w:r>
      <w:r>
        <w:rPr>
          <w:rFonts w:cs="Arial"/>
          <w:szCs w:val="22"/>
        </w:rPr>
        <w:t xml:space="preserve"> </w:t>
      </w:r>
      <w:r w:rsidRPr="00A16D89">
        <w:rPr>
          <w:rFonts w:cs="Arial"/>
          <w:szCs w:val="22"/>
        </w:rPr>
        <w:t>responsibilities are divided between the Environmental Department in</w:t>
      </w:r>
      <w:r w:rsidR="00F32236">
        <w:rPr>
          <w:rFonts w:cs="Arial"/>
          <w:szCs w:val="22"/>
        </w:rPr>
        <w:t xml:space="preserve"> </w:t>
      </w:r>
      <w:r w:rsidRPr="00A16D89">
        <w:rPr>
          <w:rFonts w:cs="Arial"/>
          <w:szCs w:val="22"/>
        </w:rPr>
        <w:t xml:space="preserve">Astana and the </w:t>
      </w:r>
      <w:r>
        <w:rPr>
          <w:rFonts w:cs="Arial"/>
          <w:szCs w:val="22"/>
        </w:rPr>
        <w:t xml:space="preserve">Department </w:t>
      </w:r>
      <w:r w:rsidRPr="00A16D89">
        <w:rPr>
          <w:rFonts w:cs="Arial"/>
          <w:szCs w:val="22"/>
        </w:rPr>
        <w:t>for Communal and Housing services</w:t>
      </w:r>
      <w:r>
        <w:rPr>
          <w:rFonts w:cs="Arial"/>
          <w:szCs w:val="22"/>
        </w:rPr>
        <w:t xml:space="preserve"> in the Ministry of Regional Development</w:t>
      </w:r>
      <w:r w:rsidRPr="00A16D89">
        <w:rPr>
          <w:rFonts w:cs="Arial"/>
          <w:szCs w:val="22"/>
        </w:rPr>
        <w:t>.</w:t>
      </w:r>
    </w:p>
    <w:p w14:paraId="57726747" w14:textId="77777777" w:rsidR="00FF6A34" w:rsidRDefault="00FF6A34" w:rsidP="00FF6A34">
      <w:pPr>
        <w:rPr>
          <w:rFonts w:cs="Arial"/>
          <w:szCs w:val="22"/>
        </w:rPr>
      </w:pPr>
    </w:p>
    <w:p w14:paraId="5AF0F688" w14:textId="77777777" w:rsidR="00FF6A34" w:rsidRDefault="00FF6A34" w:rsidP="00FF6A34">
      <w:pPr>
        <w:rPr>
          <w:rFonts w:cs="Arial"/>
          <w:szCs w:val="22"/>
        </w:rPr>
      </w:pPr>
      <w:r w:rsidRPr="008706E5">
        <w:rPr>
          <w:rFonts w:cs="Arial"/>
          <w:szCs w:val="22"/>
        </w:rPr>
        <w:t>There exist a number of functions and tasks where potential conflicts of</w:t>
      </w:r>
      <w:r>
        <w:rPr>
          <w:rFonts w:cs="Arial"/>
          <w:szCs w:val="22"/>
        </w:rPr>
        <w:t xml:space="preserve"> </w:t>
      </w:r>
      <w:r w:rsidRPr="008706E5">
        <w:rPr>
          <w:rFonts w:cs="Arial"/>
          <w:szCs w:val="22"/>
        </w:rPr>
        <w:t>interest bet</w:t>
      </w:r>
      <w:r>
        <w:rPr>
          <w:rFonts w:cs="Arial"/>
          <w:szCs w:val="22"/>
        </w:rPr>
        <w:t xml:space="preserve">ween different actors may occur. </w:t>
      </w:r>
      <w:r w:rsidRPr="008706E5">
        <w:rPr>
          <w:rFonts w:cs="Arial"/>
          <w:szCs w:val="22"/>
        </w:rPr>
        <w:t>For example,</w:t>
      </w:r>
      <w:r>
        <w:rPr>
          <w:rFonts w:cs="Arial"/>
          <w:szCs w:val="22"/>
        </w:rPr>
        <w:t xml:space="preserve"> </w:t>
      </w:r>
      <w:r w:rsidRPr="008706E5">
        <w:rPr>
          <w:rFonts w:cs="Arial"/>
          <w:szCs w:val="22"/>
        </w:rPr>
        <w:t>several organisations (Akimat, District Akimats, the waste collection</w:t>
      </w:r>
      <w:r>
        <w:rPr>
          <w:rFonts w:cs="Arial"/>
          <w:szCs w:val="22"/>
        </w:rPr>
        <w:t xml:space="preserve"> </w:t>
      </w:r>
      <w:r w:rsidRPr="008706E5">
        <w:rPr>
          <w:rFonts w:cs="Arial"/>
          <w:szCs w:val="22"/>
        </w:rPr>
        <w:t>companies and the landfill operator) are simultaneously responsible for</w:t>
      </w:r>
      <w:r>
        <w:rPr>
          <w:rFonts w:cs="Arial"/>
          <w:szCs w:val="22"/>
        </w:rPr>
        <w:t xml:space="preserve"> </w:t>
      </w:r>
      <w:r w:rsidRPr="008706E5">
        <w:rPr>
          <w:rFonts w:cs="Arial"/>
          <w:szCs w:val="22"/>
        </w:rPr>
        <w:t>investment planning. Similar situation applies to monitoring the contractor</w:t>
      </w:r>
      <w:r>
        <w:rPr>
          <w:rFonts w:cs="Arial"/>
          <w:szCs w:val="22"/>
        </w:rPr>
        <w:t xml:space="preserve"> </w:t>
      </w:r>
      <w:r w:rsidRPr="008706E5">
        <w:rPr>
          <w:rFonts w:cs="Arial"/>
          <w:szCs w:val="22"/>
        </w:rPr>
        <w:t>performance. The waste collection companies and the landfill operator are</w:t>
      </w:r>
      <w:r>
        <w:rPr>
          <w:rFonts w:cs="Arial"/>
          <w:szCs w:val="22"/>
        </w:rPr>
        <w:t xml:space="preserve"> </w:t>
      </w:r>
      <w:r w:rsidRPr="008706E5">
        <w:rPr>
          <w:rFonts w:cs="Arial"/>
          <w:szCs w:val="22"/>
        </w:rPr>
        <w:t>controlled by several institutions. Regardless of the several overlaps in</w:t>
      </w:r>
      <w:r>
        <w:rPr>
          <w:rFonts w:cs="Arial"/>
          <w:szCs w:val="22"/>
        </w:rPr>
        <w:t xml:space="preserve"> </w:t>
      </w:r>
      <w:r w:rsidRPr="008706E5">
        <w:rPr>
          <w:rFonts w:cs="Arial"/>
          <w:szCs w:val="22"/>
        </w:rPr>
        <w:t>responsibility, there are obvious tendencies for categorizing the institutions</w:t>
      </w:r>
      <w:r>
        <w:rPr>
          <w:rFonts w:cs="Arial"/>
          <w:szCs w:val="22"/>
        </w:rPr>
        <w:t xml:space="preserve"> </w:t>
      </w:r>
      <w:r w:rsidRPr="008706E5">
        <w:rPr>
          <w:rFonts w:cs="Arial"/>
          <w:szCs w:val="22"/>
        </w:rPr>
        <w:t>into one of four functional categories: regulator, planner, client, and</w:t>
      </w:r>
      <w:r>
        <w:rPr>
          <w:rFonts w:cs="Arial"/>
          <w:szCs w:val="22"/>
        </w:rPr>
        <w:t xml:space="preserve"> </w:t>
      </w:r>
      <w:r w:rsidRPr="008706E5">
        <w:rPr>
          <w:rFonts w:cs="Arial"/>
          <w:szCs w:val="22"/>
        </w:rPr>
        <w:t>operator.</w:t>
      </w:r>
    </w:p>
    <w:p w14:paraId="692E9892" w14:textId="77777777" w:rsidR="00FF6A34" w:rsidRDefault="00FF6A34" w:rsidP="00FF6A34">
      <w:pPr>
        <w:rPr>
          <w:rFonts w:cs="Arial"/>
          <w:szCs w:val="22"/>
        </w:rPr>
      </w:pPr>
    </w:p>
    <w:p w14:paraId="3B9FF8B9" w14:textId="77777777" w:rsidR="00FF6A34" w:rsidRDefault="00FF6A34" w:rsidP="00FF6A34">
      <w:pPr>
        <w:rPr>
          <w:rFonts w:cs="Arial"/>
          <w:szCs w:val="22"/>
        </w:rPr>
      </w:pPr>
    </w:p>
    <w:p w14:paraId="0315A954" w14:textId="77777777" w:rsidR="00FF6A34" w:rsidRPr="0093320C" w:rsidRDefault="00FF6A34" w:rsidP="00FF6A34">
      <w:pPr>
        <w:rPr>
          <w:rFonts w:cs="Arial"/>
          <w:i/>
          <w:szCs w:val="22"/>
        </w:rPr>
      </w:pPr>
      <w:r w:rsidRPr="0093320C">
        <w:rPr>
          <w:rFonts w:cs="Arial"/>
          <w:i/>
          <w:szCs w:val="22"/>
        </w:rPr>
        <w:t>Control and Monitoring on Regional and Local level</w:t>
      </w:r>
    </w:p>
    <w:p w14:paraId="710DA001" w14:textId="77777777" w:rsidR="00FF6A34" w:rsidRPr="00492530" w:rsidRDefault="00FF6A34" w:rsidP="00FF6A34">
      <w:pPr>
        <w:rPr>
          <w:rFonts w:cs="Arial"/>
          <w:szCs w:val="22"/>
        </w:rPr>
      </w:pPr>
      <w:r w:rsidRPr="00492530">
        <w:rPr>
          <w:rFonts w:cs="Arial"/>
          <w:szCs w:val="22"/>
        </w:rPr>
        <w:t>As a rule, the municipal waste management system is controlled by two</w:t>
      </w:r>
      <w:r>
        <w:rPr>
          <w:rFonts w:cs="Arial"/>
          <w:szCs w:val="22"/>
        </w:rPr>
        <w:t xml:space="preserve"> regional </w:t>
      </w:r>
      <w:r w:rsidRPr="00492530">
        <w:rPr>
          <w:rFonts w:cs="Arial"/>
          <w:szCs w:val="22"/>
        </w:rPr>
        <w:t>authorities:</w:t>
      </w:r>
    </w:p>
    <w:p w14:paraId="32C031D0" w14:textId="77777777" w:rsidR="00FF6A34" w:rsidRPr="0093320C" w:rsidRDefault="00FF6A34" w:rsidP="007D6892">
      <w:pPr>
        <w:pStyle w:val="ListParagraph"/>
        <w:numPr>
          <w:ilvl w:val="0"/>
          <w:numId w:val="42"/>
        </w:numPr>
        <w:contextualSpacing/>
        <w:rPr>
          <w:rFonts w:ascii="Arial" w:hAnsi="Arial" w:cs="Arial"/>
          <w:sz w:val="22"/>
          <w:szCs w:val="22"/>
        </w:rPr>
      </w:pPr>
      <w:r w:rsidRPr="00492530">
        <w:rPr>
          <w:rFonts w:ascii="Arial" w:hAnsi="Arial" w:cs="Arial"/>
          <w:sz w:val="22"/>
          <w:szCs w:val="22"/>
        </w:rPr>
        <w:t>Department of State-Epidemological Supervision of the Ministry of</w:t>
      </w:r>
      <w:r>
        <w:rPr>
          <w:rFonts w:ascii="Arial" w:hAnsi="Arial" w:cs="Arial"/>
          <w:sz w:val="22"/>
          <w:szCs w:val="22"/>
        </w:rPr>
        <w:t xml:space="preserve"> Health; and</w:t>
      </w:r>
    </w:p>
    <w:p w14:paraId="1243D540" w14:textId="77777777" w:rsidR="00FF6A34" w:rsidRDefault="00FF6A34" w:rsidP="007D6892">
      <w:pPr>
        <w:pStyle w:val="ListParagraph"/>
        <w:numPr>
          <w:ilvl w:val="0"/>
          <w:numId w:val="42"/>
        </w:numPr>
        <w:contextualSpacing/>
        <w:rPr>
          <w:rFonts w:ascii="Arial" w:hAnsi="Arial" w:cs="Arial"/>
          <w:sz w:val="22"/>
          <w:szCs w:val="22"/>
        </w:rPr>
      </w:pPr>
      <w:r w:rsidRPr="00492530">
        <w:rPr>
          <w:rFonts w:ascii="Arial" w:hAnsi="Arial" w:cs="Arial"/>
          <w:sz w:val="22"/>
          <w:szCs w:val="22"/>
        </w:rPr>
        <w:t>Regional Ecology Department of the Committee for Environmental Regulation and Control of t</w:t>
      </w:r>
      <w:r>
        <w:rPr>
          <w:rFonts w:ascii="Arial" w:hAnsi="Arial" w:cs="Arial"/>
          <w:sz w:val="22"/>
          <w:szCs w:val="22"/>
        </w:rPr>
        <w:t>he Ministry of the Environment and Water Resources</w:t>
      </w:r>
      <w:r w:rsidRPr="00492530">
        <w:rPr>
          <w:rFonts w:ascii="Arial" w:hAnsi="Arial" w:cs="Arial"/>
          <w:sz w:val="22"/>
          <w:szCs w:val="22"/>
        </w:rPr>
        <w:t>.</w:t>
      </w:r>
    </w:p>
    <w:p w14:paraId="4F58C62D" w14:textId="77777777" w:rsidR="00FF6A34" w:rsidRDefault="00FF6A34" w:rsidP="00FF6A34">
      <w:pPr>
        <w:rPr>
          <w:rFonts w:cs="Arial"/>
          <w:szCs w:val="22"/>
        </w:rPr>
      </w:pPr>
    </w:p>
    <w:p w14:paraId="1BB78298" w14:textId="77777777" w:rsidR="00FF6A34" w:rsidRDefault="00FF6A34" w:rsidP="00FF6A34">
      <w:pPr>
        <w:rPr>
          <w:rFonts w:cs="Arial"/>
          <w:szCs w:val="22"/>
        </w:rPr>
      </w:pPr>
      <w:r w:rsidRPr="00492530">
        <w:rPr>
          <w:rFonts w:cs="Arial"/>
          <w:szCs w:val="22"/>
        </w:rPr>
        <w:t xml:space="preserve">With regard to municipal waste management, the </w:t>
      </w:r>
      <w:r>
        <w:rPr>
          <w:rFonts w:cs="Arial"/>
          <w:szCs w:val="22"/>
        </w:rPr>
        <w:t xml:space="preserve">SES </w:t>
      </w:r>
      <w:r w:rsidRPr="00492530">
        <w:rPr>
          <w:rFonts w:cs="Arial"/>
          <w:szCs w:val="22"/>
        </w:rPr>
        <w:t>Department carries out</w:t>
      </w:r>
      <w:r>
        <w:rPr>
          <w:rFonts w:cs="Arial"/>
          <w:szCs w:val="22"/>
        </w:rPr>
        <w:t xml:space="preserve"> </w:t>
      </w:r>
      <w:r w:rsidRPr="00492530">
        <w:rPr>
          <w:rFonts w:cs="Arial"/>
          <w:szCs w:val="22"/>
        </w:rPr>
        <w:t>various functions, partly overlapping with the responsibilities of the local</w:t>
      </w:r>
      <w:r>
        <w:rPr>
          <w:rFonts w:cs="Arial"/>
          <w:szCs w:val="22"/>
        </w:rPr>
        <w:t xml:space="preserve"> </w:t>
      </w:r>
      <w:r w:rsidRPr="00492530">
        <w:rPr>
          <w:rFonts w:cs="Arial"/>
          <w:szCs w:val="22"/>
        </w:rPr>
        <w:t>administration. This is due to the ongoing public sector reform. Today the</w:t>
      </w:r>
      <w:r>
        <w:rPr>
          <w:rFonts w:cs="Arial"/>
          <w:szCs w:val="22"/>
        </w:rPr>
        <w:t xml:space="preserve"> </w:t>
      </w:r>
      <w:r w:rsidRPr="00492530">
        <w:rPr>
          <w:rFonts w:cs="Arial"/>
          <w:szCs w:val="22"/>
        </w:rPr>
        <w:t xml:space="preserve">Sanitary-Epidemiological Department is not included into the </w:t>
      </w:r>
      <w:r>
        <w:rPr>
          <w:rFonts w:cs="Arial"/>
          <w:szCs w:val="22"/>
        </w:rPr>
        <w:t xml:space="preserve">organizational </w:t>
      </w:r>
      <w:r w:rsidRPr="00492530">
        <w:rPr>
          <w:rFonts w:cs="Arial"/>
          <w:szCs w:val="22"/>
        </w:rPr>
        <w:t>structure of the local administration. However</w:t>
      </w:r>
      <w:r>
        <w:rPr>
          <w:rFonts w:cs="Arial"/>
          <w:szCs w:val="22"/>
        </w:rPr>
        <w:t>,</w:t>
      </w:r>
      <w:r w:rsidRPr="00492530">
        <w:rPr>
          <w:rFonts w:cs="Arial"/>
          <w:szCs w:val="22"/>
        </w:rPr>
        <w:t xml:space="preserve"> Akimat continues directing</w:t>
      </w:r>
      <w:r>
        <w:rPr>
          <w:rFonts w:cs="Arial"/>
          <w:szCs w:val="22"/>
        </w:rPr>
        <w:t xml:space="preserve"> </w:t>
      </w:r>
      <w:r w:rsidRPr="00492530">
        <w:rPr>
          <w:rFonts w:cs="Arial"/>
          <w:szCs w:val="22"/>
        </w:rPr>
        <w:t>orders to the Department. Hence, the Department takes care also for</w:t>
      </w:r>
      <w:r>
        <w:rPr>
          <w:rFonts w:cs="Arial"/>
          <w:szCs w:val="22"/>
        </w:rPr>
        <w:t xml:space="preserve"> </w:t>
      </w:r>
      <w:r w:rsidRPr="00492530">
        <w:rPr>
          <w:rFonts w:cs="Arial"/>
          <w:szCs w:val="22"/>
        </w:rPr>
        <w:t>monitoring the performance of the waste management companies and the</w:t>
      </w:r>
      <w:r>
        <w:rPr>
          <w:rFonts w:cs="Arial"/>
          <w:szCs w:val="22"/>
        </w:rPr>
        <w:t xml:space="preserve"> </w:t>
      </w:r>
      <w:r w:rsidRPr="00492530">
        <w:rPr>
          <w:rFonts w:cs="Arial"/>
          <w:szCs w:val="22"/>
        </w:rPr>
        <w:t>landfill operator.</w:t>
      </w:r>
    </w:p>
    <w:p w14:paraId="6A19B751" w14:textId="77777777" w:rsidR="00FF6A34" w:rsidRDefault="00FF6A34" w:rsidP="00FF6A34">
      <w:pPr>
        <w:rPr>
          <w:rFonts w:cs="Arial"/>
          <w:szCs w:val="22"/>
        </w:rPr>
      </w:pPr>
    </w:p>
    <w:p w14:paraId="779A7DCE" w14:textId="77777777" w:rsidR="00FF6A34" w:rsidRPr="00492530" w:rsidRDefault="00FF6A34" w:rsidP="00FF6A34">
      <w:pPr>
        <w:rPr>
          <w:rFonts w:cs="Arial"/>
          <w:szCs w:val="22"/>
        </w:rPr>
      </w:pPr>
      <w:r w:rsidRPr="00492530">
        <w:rPr>
          <w:rFonts w:cs="Arial"/>
          <w:szCs w:val="22"/>
        </w:rPr>
        <w:t xml:space="preserve">As a rule, the </w:t>
      </w:r>
      <w:r>
        <w:rPr>
          <w:rFonts w:cs="Arial"/>
          <w:szCs w:val="22"/>
        </w:rPr>
        <w:t xml:space="preserve">Regional Ecology </w:t>
      </w:r>
      <w:r w:rsidRPr="00492530">
        <w:rPr>
          <w:rFonts w:cs="Arial"/>
          <w:szCs w:val="22"/>
        </w:rPr>
        <w:t>Department is not involved in any coordination and</w:t>
      </w:r>
      <w:r>
        <w:rPr>
          <w:rFonts w:cs="Arial"/>
          <w:szCs w:val="22"/>
        </w:rPr>
        <w:t xml:space="preserve"> </w:t>
      </w:r>
      <w:r w:rsidRPr="00492530">
        <w:rPr>
          <w:rFonts w:cs="Arial"/>
          <w:szCs w:val="22"/>
        </w:rPr>
        <w:t>monitoring activities or the municipal waste management on the operational</w:t>
      </w:r>
      <w:r>
        <w:rPr>
          <w:rFonts w:cs="Arial"/>
          <w:szCs w:val="22"/>
        </w:rPr>
        <w:t xml:space="preserve"> </w:t>
      </w:r>
      <w:r w:rsidRPr="00492530">
        <w:rPr>
          <w:rFonts w:cs="Arial"/>
          <w:szCs w:val="22"/>
        </w:rPr>
        <w:t>level.</w:t>
      </w:r>
    </w:p>
    <w:p w14:paraId="7CD950CD" w14:textId="77777777" w:rsidR="00FF6A34" w:rsidRDefault="00FF6A34" w:rsidP="00FF6A34">
      <w:pPr>
        <w:rPr>
          <w:rFonts w:cs="Arial"/>
          <w:szCs w:val="22"/>
        </w:rPr>
      </w:pPr>
    </w:p>
    <w:p w14:paraId="37FDCA2D" w14:textId="77777777" w:rsidR="00FF6A34" w:rsidRDefault="00FF6A34" w:rsidP="00FF6A34">
      <w:pPr>
        <w:rPr>
          <w:rFonts w:cs="Arial"/>
          <w:szCs w:val="22"/>
        </w:rPr>
      </w:pPr>
      <w:r w:rsidRPr="00492530">
        <w:rPr>
          <w:rFonts w:cs="Arial"/>
          <w:szCs w:val="22"/>
        </w:rPr>
        <w:t xml:space="preserve">Both institutions control and supervise actors involved in each </w:t>
      </w:r>
      <w:r w:rsidR="00F32236">
        <w:rPr>
          <w:rFonts w:cs="Arial"/>
          <w:szCs w:val="22"/>
        </w:rPr>
        <w:t xml:space="preserve">of </w:t>
      </w:r>
      <w:r w:rsidRPr="00492530">
        <w:rPr>
          <w:rFonts w:cs="Arial"/>
          <w:szCs w:val="22"/>
        </w:rPr>
        <w:t>the steps of</w:t>
      </w:r>
      <w:r>
        <w:rPr>
          <w:rFonts w:cs="Arial"/>
          <w:szCs w:val="22"/>
        </w:rPr>
        <w:t xml:space="preserve"> </w:t>
      </w:r>
      <w:r w:rsidRPr="00492530">
        <w:rPr>
          <w:rFonts w:cs="Arial"/>
          <w:szCs w:val="22"/>
        </w:rPr>
        <w:t>the waste management process: from waste production to waste disposal</w:t>
      </w:r>
      <w:r>
        <w:rPr>
          <w:rFonts w:cs="Arial"/>
          <w:szCs w:val="22"/>
        </w:rPr>
        <w:t xml:space="preserve"> </w:t>
      </w:r>
      <w:r w:rsidRPr="00492530">
        <w:rPr>
          <w:rFonts w:cs="Arial"/>
          <w:szCs w:val="22"/>
        </w:rPr>
        <w:t>and recovery. Further, these institutions issue permits for business activities</w:t>
      </w:r>
      <w:r>
        <w:rPr>
          <w:rFonts w:cs="Arial"/>
          <w:szCs w:val="22"/>
        </w:rPr>
        <w:t xml:space="preserve"> </w:t>
      </w:r>
      <w:r w:rsidRPr="00492530">
        <w:rPr>
          <w:rFonts w:cs="Arial"/>
          <w:szCs w:val="22"/>
        </w:rPr>
        <w:t>planned and leading to production of wastes. In particular, the Regional</w:t>
      </w:r>
      <w:r>
        <w:rPr>
          <w:rFonts w:cs="Arial"/>
          <w:szCs w:val="22"/>
        </w:rPr>
        <w:t xml:space="preserve"> </w:t>
      </w:r>
      <w:r w:rsidRPr="00492530">
        <w:rPr>
          <w:rFonts w:cs="Arial"/>
          <w:szCs w:val="22"/>
        </w:rPr>
        <w:t>State Sanitary Service controls compliance of the local waste management</w:t>
      </w:r>
      <w:r>
        <w:rPr>
          <w:rFonts w:cs="Arial"/>
          <w:szCs w:val="22"/>
        </w:rPr>
        <w:t xml:space="preserve"> </w:t>
      </w:r>
      <w:r w:rsidRPr="00492530">
        <w:rPr>
          <w:rFonts w:cs="Arial"/>
          <w:szCs w:val="22"/>
        </w:rPr>
        <w:t>system with the state health-care legislation, whereas the Regional Ecology</w:t>
      </w:r>
      <w:r>
        <w:rPr>
          <w:rFonts w:cs="Arial"/>
          <w:szCs w:val="22"/>
        </w:rPr>
        <w:t xml:space="preserve"> </w:t>
      </w:r>
      <w:r w:rsidRPr="00492530">
        <w:rPr>
          <w:rFonts w:cs="Arial"/>
          <w:szCs w:val="22"/>
        </w:rPr>
        <w:t>Department controls compliance with the state environmental legislation.</w:t>
      </w:r>
    </w:p>
    <w:p w14:paraId="1E41E403" w14:textId="77777777" w:rsidR="00FF6A34" w:rsidRDefault="00FF6A34" w:rsidP="00FF6A34">
      <w:pPr>
        <w:rPr>
          <w:rFonts w:cs="Arial"/>
          <w:szCs w:val="22"/>
        </w:rPr>
      </w:pPr>
    </w:p>
    <w:p w14:paraId="60D4FB63" w14:textId="77777777" w:rsidR="00FF6A34" w:rsidRDefault="00FF6A34" w:rsidP="00FF6A34">
      <w:pPr>
        <w:rPr>
          <w:rFonts w:cs="Arial"/>
          <w:szCs w:val="22"/>
        </w:rPr>
      </w:pPr>
      <w:r w:rsidRPr="00EA1E75">
        <w:rPr>
          <w:rFonts w:cs="Arial"/>
          <w:szCs w:val="22"/>
        </w:rPr>
        <w:t>Municipal administrations bear the overall responsibility for organising the</w:t>
      </w:r>
      <w:r>
        <w:rPr>
          <w:rFonts w:cs="Arial"/>
          <w:szCs w:val="22"/>
        </w:rPr>
        <w:t xml:space="preserve"> </w:t>
      </w:r>
      <w:r w:rsidRPr="00EA1E75">
        <w:rPr>
          <w:rFonts w:cs="Arial"/>
          <w:szCs w:val="22"/>
        </w:rPr>
        <w:t>waste management services, under the control of the above mentioned</w:t>
      </w:r>
      <w:r>
        <w:rPr>
          <w:rFonts w:cs="Arial"/>
          <w:szCs w:val="22"/>
        </w:rPr>
        <w:t xml:space="preserve"> </w:t>
      </w:r>
      <w:r w:rsidRPr="00EA1E75">
        <w:rPr>
          <w:rFonts w:cs="Arial"/>
          <w:szCs w:val="22"/>
        </w:rPr>
        <w:t>regulatory institutions. The Natural Resource and Ecology Administration is</w:t>
      </w:r>
      <w:r>
        <w:rPr>
          <w:rFonts w:cs="Arial"/>
          <w:szCs w:val="22"/>
        </w:rPr>
        <w:t xml:space="preserve"> </w:t>
      </w:r>
      <w:r w:rsidRPr="00EA1E75">
        <w:rPr>
          <w:rFonts w:cs="Arial"/>
          <w:szCs w:val="22"/>
        </w:rPr>
        <w:t>the focal point for waste management, being often the owner of the public</w:t>
      </w:r>
      <w:r>
        <w:rPr>
          <w:rFonts w:cs="Arial"/>
          <w:szCs w:val="22"/>
        </w:rPr>
        <w:t xml:space="preserve"> </w:t>
      </w:r>
      <w:r w:rsidRPr="00EA1E75">
        <w:rPr>
          <w:rFonts w:cs="Arial"/>
          <w:szCs w:val="22"/>
        </w:rPr>
        <w:t>waste collection companies and the landfill sites (like in Astana</w:t>
      </w:r>
      <w:r>
        <w:rPr>
          <w:rFonts w:cs="Arial"/>
          <w:szCs w:val="22"/>
        </w:rPr>
        <w:t xml:space="preserve"> where Astana Akimat is the owner of </w:t>
      </w:r>
      <w:r w:rsidRPr="00EE30AA">
        <w:rPr>
          <w:rFonts w:cs="Arial"/>
          <w:szCs w:val="22"/>
        </w:rPr>
        <w:t>Gorkommunkhoz</w:t>
      </w:r>
      <w:r w:rsidRPr="00EA1E75">
        <w:rPr>
          <w:rFonts w:cs="Arial"/>
          <w:szCs w:val="22"/>
        </w:rPr>
        <w:t>). For this</w:t>
      </w:r>
      <w:r>
        <w:rPr>
          <w:rFonts w:cs="Arial"/>
          <w:szCs w:val="22"/>
        </w:rPr>
        <w:t xml:space="preserve"> </w:t>
      </w:r>
      <w:r w:rsidRPr="00EA1E75">
        <w:rPr>
          <w:rFonts w:cs="Arial"/>
          <w:szCs w:val="22"/>
        </w:rPr>
        <w:t>the Akimats are actively involved in the planning and all strategic decisions</w:t>
      </w:r>
      <w:r>
        <w:rPr>
          <w:rFonts w:cs="Arial"/>
          <w:szCs w:val="22"/>
        </w:rPr>
        <w:t xml:space="preserve"> </w:t>
      </w:r>
      <w:r w:rsidRPr="00EA1E75">
        <w:rPr>
          <w:rFonts w:cs="Arial"/>
          <w:szCs w:val="22"/>
        </w:rPr>
        <w:t>concerning landfill operations and waste collection services provided by public companies.</w:t>
      </w:r>
      <w:r>
        <w:rPr>
          <w:rFonts w:cs="Arial"/>
          <w:szCs w:val="22"/>
        </w:rPr>
        <w:t xml:space="preserve"> </w:t>
      </w:r>
    </w:p>
    <w:p w14:paraId="65BCFCEC" w14:textId="77777777" w:rsidR="00FF6A34" w:rsidRDefault="00FF6A34" w:rsidP="00FF6A34">
      <w:pPr>
        <w:rPr>
          <w:rFonts w:cs="Arial"/>
          <w:szCs w:val="22"/>
        </w:rPr>
      </w:pPr>
    </w:p>
    <w:p w14:paraId="1E3FE285" w14:textId="77777777" w:rsidR="00FF6A34" w:rsidRPr="000C346A" w:rsidRDefault="00FF6A34" w:rsidP="00FF6A34">
      <w:pPr>
        <w:rPr>
          <w:rFonts w:cs="Arial"/>
          <w:szCs w:val="22"/>
        </w:rPr>
      </w:pPr>
      <w:r w:rsidRPr="000C346A">
        <w:rPr>
          <w:rFonts w:cs="Arial"/>
          <w:szCs w:val="22"/>
        </w:rPr>
        <w:t>In Astana, Akimat is also responsible for purchase of containers for waste</w:t>
      </w:r>
      <w:r>
        <w:rPr>
          <w:rFonts w:cs="Arial"/>
          <w:szCs w:val="22"/>
        </w:rPr>
        <w:t xml:space="preserve"> </w:t>
      </w:r>
      <w:r w:rsidRPr="000C346A">
        <w:rPr>
          <w:rFonts w:cs="Arial"/>
          <w:szCs w:val="22"/>
        </w:rPr>
        <w:t>collection and further transfer of these to the collection companies</w:t>
      </w:r>
      <w:r>
        <w:rPr>
          <w:rFonts w:cs="Arial"/>
          <w:szCs w:val="22"/>
        </w:rPr>
        <w:t xml:space="preserve"> </w:t>
      </w:r>
      <w:r w:rsidRPr="000C346A">
        <w:rPr>
          <w:rFonts w:cs="Arial"/>
          <w:szCs w:val="22"/>
        </w:rPr>
        <w:t>(including the private collector Techservice). The collection companies have</w:t>
      </w:r>
      <w:r>
        <w:rPr>
          <w:rFonts w:cs="Arial"/>
          <w:szCs w:val="22"/>
        </w:rPr>
        <w:t xml:space="preserve"> </w:t>
      </w:r>
      <w:r w:rsidRPr="000C346A">
        <w:rPr>
          <w:rFonts w:cs="Arial"/>
          <w:szCs w:val="22"/>
        </w:rPr>
        <w:t>to apply for new containers to Akimat; new containers are paid from the</w:t>
      </w:r>
      <w:r>
        <w:rPr>
          <w:rFonts w:cs="Arial"/>
          <w:szCs w:val="22"/>
        </w:rPr>
        <w:t xml:space="preserve"> </w:t>
      </w:r>
      <w:r w:rsidRPr="000C346A">
        <w:rPr>
          <w:rFonts w:cs="Arial"/>
          <w:szCs w:val="22"/>
        </w:rPr>
        <w:t>municipal budget. As there is no agreement or contract between Akimat and</w:t>
      </w:r>
      <w:r>
        <w:rPr>
          <w:rFonts w:cs="Arial"/>
          <w:szCs w:val="22"/>
        </w:rPr>
        <w:t xml:space="preserve"> </w:t>
      </w:r>
      <w:r w:rsidRPr="000C346A">
        <w:rPr>
          <w:rFonts w:cs="Arial"/>
          <w:szCs w:val="22"/>
        </w:rPr>
        <w:t>the collection companies, there are no clear and formal procedures for</w:t>
      </w:r>
      <w:r>
        <w:rPr>
          <w:rFonts w:cs="Arial"/>
          <w:szCs w:val="22"/>
        </w:rPr>
        <w:t xml:space="preserve"> </w:t>
      </w:r>
      <w:r w:rsidRPr="000C346A">
        <w:rPr>
          <w:rFonts w:cs="Arial"/>
          <w:szCs w:val="22"/>
        </w:rPr>
        <w:t>procurement requests by the collection companies. This is a major risk</w:t>
      </w:r>
      <w:r>
        <w:rPr>
          <w:rFonts w:cs="Arial"/>
          <w:szCs w:val="22"/>
        </w:rPr>
        <w:t xml:space="preserve"> </w:t>
      </w:r>
      <w:r w:rsidRPr="000C346A">
        <w:rPr>
          <w:rFonts w:cs="Arial"/>
          <w:szCs w:val="22"/>
        </w:rPr>
        <w:t>factor for both the performance of the waste collector and for payments by</w:t>
      </w:r>
      <w:r>
        <w:rPr>
          <w:rFonts w:cs="Arial"/>
          <w:szCs w:val="22"/>
        </w:rPr>
        <w:t xml:space="preserve"> </w:t>
      </w:r>
      <w:r w:rsidRPr="000C346A">
        <w:rPr>
          <w:rFonts w:cs="Arial"/>
          <w:szCs w:val="22"/>
        </w:rPr>
        <w:t>users.</w:t>
      </w:r>
    </w:p>
    <w:p w14:paraId="13E1DAAA" w14:textId="77777777" w:rsidR="00FF6A34" w:rsidRDefault="00FF6A34" w:rsidP="00FF6A34">
      <w:pPr>
        <w:rPr>
          <w:rFonts w:cs="Arial"/>
          <w:szCs w:val="22"/>
        </w:rPr>
      </w:pPr>
    </w:p>
    <w:p w14:paraId="5A8E7722" w14:textId="77777777" w:rsidR="00FF6A34" w:rsidRPr="00492530" w:rsidRDefault="00FF6A34" w:rsidP="00FF6A34">
      <w:pPr>
        <w:rPr>
          <w:rFonts w:cs="Arial"/>
          <w:szCs w:val="22"/>
        </w:rPr>
      </w:pPr>
      <w:r w:rsidRPr="000C346A">
        <w:rPr>
          <w:rFonts w:cs="Arial"/>
          <w:szCs w:val="22"/>
        </w:rPr>
        <w:t>Similar setup is applied to financing of construction works at the landfill</w:t>
      </w:r>
      <w:r>
        <w:rPr>
          <w:rFonts w:cs="Arial"/>
          <w:szCs w:val="22"/>
        </w:rPr>
        <w:t xml:space="preserve"> </w:t>
      </w:r>
      <w:r w:rsidRPr="000C346A">
        <w:rPr>
          <w:rFonts w:cs="Arial"/>
          <w:szCs w:val="22"/>
        </w:rPr>
        <w:t>site. Akimat is expected to cover the investment costs for the landfill gas</w:t>
      </w:r>
      <w:r>
        <w:rPr>
          <w:rFonts w:cs="Arial"/>
          <w:szCs w:val="22"/>
        </w:rPr>
        <w:t xml:space="preserve"> </w:t>
      </w:r>
      <w:r w:rsidRPr="000C346A">
        <w:rPr>
          <w:rFonts w:cs="Arial"/>
          <w:szCs w:val="22"/>
        </w:rPr>
        <w:t>collection system and construction of a new landfill cell. Operation</w:t>
      </w:r>
      <w:r>
        <w:rPr>
          <w:rFonts w:cs="Arial"/>
          <w:szCs w:val="22"/>
        </w:rPr>
        <w:t xml:space="preserve"> </w:t>
      </w:r>
      <w:r w:rsidRPr="000C346A">
        <w:rPr>
          <w:rFonts w:cs="Arial"/>
          <w:szCs w:val="22"/>
        </w:rPr>
        <w:t>company preliminary evaluates the investment demand and submits its</w:t>
      </w:r>
      <w:r>
        <w:rPr>
          <w:rFonts w:cs="Arial"/>
          <w:szCs w:val="22"/>
        </w:rPr>
        <w:t xml:space="preserve"> </w:t>
      </w:r>
      <w:r w:rsidRPr="000C346A">
        <w:rPr>
          <w:rFonts w:cs="Arial"/>
          <w:szCs w:val="22"/>
        </w:rPr>
        <w:t>recommendations and requests to Akimat. Akimat is further responsible for</w:t>
      </w:r>
      <w:r>
        <w:rPr>
          <w:rFonts w:cs="Arial"/>
          <w:szCs w:val="22"/>
        </w:rPr>
        <w:t xml:space="preserve"> </w:t>
      </w:r>
      <w:r w:rsidRPr="000C346A">
        <w:rPr>
          <w:rFonts w:cs="Arial"/>
          <w:szCs w:val="22"/>
        </w:rPr>
        <w:t>financing technical feasibility studies, preparation of procurement</w:t>
      </w:r>
      <w:r>
        <w:rPr>
          <w:rFonts w:cs="Arial"/>
          <w:szCs w:val="22"/>
        </w:rPr>
        <w:t xml:space="preserve"> </w:t>
      </w:r>
      <w:r w:rsidRPr="000C346A">
        <w:rPr>
          <w:rFonts w:cs="Arial"/>
          <w:szCs w:val="22"/>
        </w:rPr>
        <w:t>documents, tender process and contracting selected construction companies</w:t>
      </w:r>
      <w:r>
        <w:rPr>
          <w:rFonts w:cs="Arial"/>
          <w:szCs w:val="22"/>
        </w:rPr>
        <w:t xml:space="preserve"> </w:t>
      </w:r>
      <w:r w:rsidRPr="000C346A">
        <w:rPr>
          <w:rFonts w:cs="Arial"/>
          <w:szCs w:val="22"/>
        </w:rPr>
        <w:t>or equipment suppliers.</w:t>
      </w:r>
    </w:p>
    <w:p w14:paraId="267D4937" w14:textId="77777777" w:rsidR="00FF6A34" w:rsidRDefault="00FF6A34" w:rsidP="00FF6A34">
      <w:pPr>
        <w:rPr>
          <w:rFonts w:cs="Arial"/>
          <w:szCs w:val="22"/>
        </w:rPr>
      </w:pPr>
    </w:p>
    <w:p w14:paraId="2F6E921B" w14:textId="77777777" w:rsidR="00FF6A34" w:rsidRPr="00A33E4A" w:rsidRDefault="00FF6A34" w:rsidP="00FF6A34">
      <w:pPr>
        <w:rPr>
          <w:rFonts w:cs="Arial"/>
          <w:b/>
          <w:szCs w:val="22"/>
        </w:rPr>
      </w:pPr>
      <w:r w:rsidRPr="00A33E4A">
        <w:rPr>
          <w:rFonts w:cs="Arial"/>
          <w:b/>
          <w:szCs w:val="22"/>
        </w:rPr>
        <w:t>Private sector</w:t>
      </w:r>
    </w:p>
    <w:p w14:paraId="3FE7E874" w14:textId="77777777" w:rsidR="00FF6A34" w:rsidRDefault="00FF6A34" w:rsidP="00FF6A34">
      <w:pPr>
        <w:rPr>
          <w:rFonts w:cs="Arial"/>
          <w:szCs w:val="22"/>
        </w:rPr>
      </w:pPr>
    </w:p>
    <w:p w14:paraId="3ECD9164" w14:textId="77777777" w:rsidR="00FF6A34" w:rsidRDefault="00FF6A34" w:rsidP="00FF6A34">
      <w:pPr>
        <w:rPr>
          <w:rFonts w:cs="Arial"/>
          <w:szCs w:val="22"/>
        </w:rPr>
      </w:pPr>
      <w:r>
        <w:rPr>
          <w:rFonts w:cs="Arial"/>
          <w:szCs w:val="22"/>
        </w:rPr>
        <w:t>V</w:t>
      </w:r>
      <w:r w:rsidRPr="00224B4B">
        <w:rPr>
          <w:rFonts w:cs="Arial"/>
          <w:szCs w:val="22"/>
        </w:rPr>
        <w:t>arious discussions show that private companies are struggling</w:t>
      </w:r>
      <w:r>
        <w:rPr>
          <w:rFonts w:cs="Arial"/>
          <w:szCs w:val="22"/>
        </w:rPr>
        <w:t xml:space="preserve"> </w:t>
      </w:r>
      <w:r w:rsidRPr="00224B4B">
        <w:rPr>
          <w:rFonts w:cs="Arial"/>
          <w:szCs w:val="22"/>
        </w:rPr>
        <w:t>with certain aspects, such as under financing of the sector and excessively</w:t>
      </w:r>
      <w:r>
        <w:rPr>
          <w:rFonts w:cs="Arial"/>
          <w:szCs w:val="22"/>
        </w:rPr>
        <w:t xml:space="preserve"> </w:t>
      </w:r>
      <w:r w:rsidRPr="00224B4B">
        <w:rPr>
          <w:rFonts w:cs="Arial"/>
          <w:szCs w:val="22"/>
        </w:rPr>
        <w:t>low tariffs as well handling of a huge number of contracts with private</w:t>
      </w:r>
      <w:r>
        <w:rPr>
          <w:rFonts w:cs="Arial"/>
          <w:szCs w:val="22"/>
        </w:rPr>
        <w:t xml:space="preserve"> </w:t>
      </w:r>
      <w:r w:rsidRPr="00224B4B">
        <w:rPr>
          <w:rFonts w:cs="Arial"/>
          <w:szCs w:val="22"/>
        </w:rPr>
        <w:t>households where payment is not always ensured. This may stop</w:t>
      </w:r>
      <w:r>
        <w:rPr>
          <w:rFonts w:cs="Arial"/>
          <w:szCs w:val="22"/>
        </w:rPr>
        <w:t xml:space="preserve"> </w:t>
      </w:r>
      <w:r w:rsidRPr="00224B4B">
        <w:rPr>
          <w:rFonts w:cs="Arial"/>
          <w:szCs w:val="22"/>
        </w:rPr>
        <w:t>(especially) international companies from entering the Kazakhstan market.</w:t>
      </w:r>
    </w:p>
    <w:p w14:paraId="6F4F8EB4" w14:textId="77777777" w:rsidR="00FF6A34" w:rsidRDefault="00FF6A34" w:rsidP="00FF6A34">
      <w:pPr>
        <w:rPr>
          <w:rFonts w:cs="Arial"/>
          <w:szCs w:val="22"/>
        </w:rPr>
      </w:pPr>
    </w:p>
    <w:p w14:paraId="5A228660" w14:textId="77777777" w:rsidR="00FF6A34" w:rsidRPr="00E5059C" w:rsidRDefault="00FF6A34" w:rsidP="00FF6A34">
      <w:pPr>
        <w:rPr>
          <w:rFonts w:cs="Arial"/>
          <w:szCs w:val="22"/>
        </w:rPr>
      </w:pPr>
      <w:r w:rsidRPr="00E5059C">
        <w:rPr>
          <w:rFonts w:cs="Arial"/>
          <w:szCs w:val="22"/>
        </w:rPr>
        <w:t>The following major drawbacks should be considered with regard to</w:t>
      </w:r>
      <w:r>
        <w:rPr>
          <w:rFonts w:cs="Arial"/>
          <w:szCs w:val="22"/>
        </w:rPr>
        <w:t xml:space="preserve"> </w:t>
      </w:r>
      <w:r w:rsidRPr="00E5059C">
        <w:rPr>
          <w:rFonts w:cs="Arial"/>
          <w:szCs w:val="22"/>
        </w:rPr>
        <w:t>private-sector involvement:</w:t>
      </w:r>
    </w:p>
    <w:p w14:paraId="7989FBCB" w14:textId="77777777" w:rsidR="00FF6A34" w:rsidRDefault="00FF6A34" w:rsidP="00FF6A34">
      <w:pPr>
        <w:rPr>
          <w:rFonts w:cs="Arial"/>
          <w:szCs w:val="22"/>
        </w:rPr>
      </w:pPr>
    </w:p>
    <w:p w14:paraId="3D8DA2AB" w14:textId="77777777" w:rsidR="00FF6A34" w:rsidRPr="00E5059C" w:rsidRDefault="00FF6A34" w:rsidP="007D6892">
      <w:pPr>
        <w:pStyle w:val="ListParagraph"/>
        <w:numPr>
          <w:ilvl w:val="0"/>
          <w:numId w:val="43"/>
        </w:numPr>
        <w:contextualSpacing/>
        <w:rPr>
          <w:rFonts w:ascii="Arial" w:hAnsi="Arial" w:cs="Arial"/>
          <w:sz w:val="22"/>
          <w:szCs w:val="22"/>
        </w:rPr>
      </w:pPr>
      <w:r w:rsidRPr="00E5059C">
        <w:rPr>
          <w:rFonts w:ascii="Arial" w:hAnsi="Arial" w:cs="Arial"/>
          <w:sz w:val="22"/>
          <w:szCs w:val="22"/>
        </w:rPr>
        <w:t>Contracts with municipalities are u</w:t>
      </w:r>
      <w:r>
        <w:rPr>
          <w:rFonts w:ascii="Arial" w:hAnsi="Arial" w:cs="Arial"/>
          <w:sz w:val="22"/>
          <w:szCs w:val="22"/>
        </w:rPr>
        <w:t>sually of very short duration (</w:t>
      </w:r>
      <w:r w:rsidRPr="00E5059C">
        <w:rPr>
          <w:rFonts w:ascii="Arial" w:hAnsi="Arial" w:cs="Arial"/>
          <w:sz w:val="22"/>
          <w:szCs w:val="22"/>
        </w:rPr>
        <w:t>up to five years for street cleaning, five years for landfill) and are therefore not suitable for long-term planning. Often, such short-term contracts are accompanied by high costs and poor services.</w:t>
      </w:r>
    </w:p>
    <w:p w14:paraId="7DA640C6" w14:textId="77777777" w:rsidR="00FF6A34" w:rsidRDefault="00FF6A34" w:rsidP="00FF6A34">
      <w:pPr>
        <w:rPr>
          <w:rFonts w:cs="Arial"/>
          <w:szCs w:val="22"/>
        </w:rPr>
      </w:pPr>
    </w:p>
    <w:p w14:paraId="6E0FF725" w14:textId="77777777" w:rsidR="00FF6A34" w:rsidRPr="00E5059C" w:rsidRDefault="00FF6A34" w:rsidP="007D6892">
      <w:pPr>
        <w:pStyle w:val="ListParagraph"/>
        <w:numPr>
          <w:ilvl w:val="0"/>
          <w:numId w:val="43"/>
        </w:numPr>
        <w:contextualSpacing/>
        <w:rPr>
          <w:rFonts w:ascii="Arial" w:hAnsi="Arial" w:cs="Arial"/>
          <w:sz w:val="22"/>
          <w:szCs w:val="22"/>
        </w:rPr>
      </w:pPr>
      <w:r w:rsidRPr="00E5059C">
        <w:rPr>
          <w:rFonts w:ascii="Arial" w:hAnsi="Arial" w:cs="Arial"/>
          <w:sz w:val="22"/>
          <w:szCs w:val="22"/>
        </w:rPr>
        <w:t xml:space="preserve">Collection companies must collect their own fees from waste generators, while landfill operators must collect fees from those who deliver waste. This situation is very unfavorable for the private sector, which must bear the full risk of late or non-payment. </w:t>
      </w:r>
    </w:p>
    <w:p w14:paraId="75893329" w14:textId="77777777" w:rsidR="00FF6A34" w:rsidRDefault="00FF6A34" w:rsidP="00FF6A34">
      <w:pPr>
        <w:rPr>
          <w:rFonts w:cs="Arial"/>
          <w:szCs w:val="22"/>
        </w:rPr>
      </w:pPr>
    </w:p>
    <w:p w14:paraId="2B7C9B51" w14:textId="77777777" w:rsidR="00FF6A34" w:rsidRPr="00E5059C" w:rsidRDefault="00FF6A34" w:rsidP="007D6892">
      <w:pPr>
        <w:pStyle w:val="ListParagraph"/>
        <w:numPr>
          <w:ilvl w:val="0"/>
          <w:numId w:val="43"/>
        </w:numPr>
        <w:contextualSpacing/>
        <w:rPr>
          <w:rFonts w:ascii="Arial" w:hAnsi="Arial" w:cs="Arial"/>
          <w:sz w:val="22"/>
          <w:szCs w:val="22"/>
        </w:rPr>
      </w:pPr>
      <w:r w:rsidRPr="00E5059C">
        <w:rPr>
          <w:rFonts w:ascii="Arial" w:hAnsi="Arial" w:cs="Arial"/>
          <w:sz w:val="22"/>
          <w:szCs w:val="22"/>
        </w:rPr>
        <w:t>Private waste management companies do not have means of enforcement for tackling those waste generators who are unwilling to pay. Their only recourse is to go to court, which is time-consuming and expensive. This will not attract international companies to provide waste management services.</w:t>
      </w:r>
    </w:p>
    <w:p w14:paraId="665F29CC" w14:textId="77777777" w:rsidR="00FF6A34" w:rsidRDefault="00FF6A34" w:rsidP="00FF6A34">
      <w:pPr>
        <w:rPr>
          <w:rFonts w:cs="Arial"/>
          <w:szCs w:val="22"/>
        </w:rPr>
      </w:pPr>
    </w:p>
    <w:p w14:paraId="6BD359DD" w14:textId="77777777" w:rsidR="00FF6A34" w:rsidRPr="00E5059C" w:rsidRDefault="00FF6A34" w:rsidP="007D6892">
      <w:pPr>
        <w:pStyle w:val="ListParagraph"/>
        <w:numPr>
          <w:ilvl w:val="0"/>
          <w:numId w:val="43"/>
        </w:numPr>
        <w:contextualSpacing/>
        <w:rPr>
          <w:rFonts w:ascii="Arial" w:hAnsi="Arial" w:cs="Arial"/>
          <w:sz w:val="22"/>
          <w:szCs w:val="22"/>
        </w:rPr>
      </w:pPr>
      <w:r w:rsidRPr="00E5059C">
        <w:rPr>
          <w:rFonts w:ascii="Arial" w:hAnsi="Arial" w:cs="Arial"/>
          <w:sz w:val="22"/>
          <w:szCs w:val="22"/>
        </w:rPr>
        <w:t>There is no reliable regional or municipal planning based on at least medium-term planning. No solid waste management plans are available (according to the evaluated documents).</w:t>
      </w:r>
    </w:p>
    <w:p w14:paraId="262B5C90" w14:textId="77777777" w:rsidR="00FF6A34" w:rsidRDefault="00FF6A34" w:rsidP="00FF6A34">
      <w:pPr>
        <w:rPr>
          <w:rFonts w:cs="Arial"/>
          <w:szCs w:val="22"/>
        </w:rPr>
      </w:pPr>
    </w:p>
    <w:p w14:paraId="688ABBBA" w14:textId="77777777" w:rsidR="00FF6A34" w:rsidRPr="005657EE" w:rsidRDefault="00FF6A34" w:rsidP="007D6892">
      <w:pPr>
        <w:pStyle w:val="ListParagraph"/>
        <w:numPr>
          <w:ilvl w:val="0"/>
          <w:numId w:val="43"/>
        </w:numPr>
        <w:contextualSpacing/>
        <w:rPr>
          <w:rFonts w:ascii="Arial" w:hAnsi="Arial" w:cs="Arial"/>
          <w:sz w:val="22"/>
          <w:szCs w:val="22"/>
        </w:rPr>
      </w:pPr>
      <w:r w:rsidRPr="008D52EC">
        <w:rPr>
          <w:rFonts w:ascii="Arial" w:hAnsi="Arial" w:cs="Arial"/>
          <w:sz w:val="22"/>
          <w:szCs w:val="22"/>
        </w:rPr>
        <w:t>The collected fees are not sufficient to cover all waste management costs.</w:t>
      </w:r>
      <w:r>
        <w:rPr>
          <w:rFonts w:ascii="Arial" w:hAnsi="Arial" w:cs="Arial"/>
          <w:sz w:val="22"/>
          <w:szCs w:val="22"/>
        </w:rPr>
        <w:t xml:space="preserve"> The </w:t>
      </w:r>
      <w:r w:rsidRPr="005657EE">
        <w:rPr>
          <w:rFonts w:ascii="Arial" w:hAnsi="Arial" w:cs="Arial"/>
          <w:sz w:val="22"/>
          <w:szCs w:val="22"/>
        </w:rPr>
        <w:t>present tariffs in Kazakhstan are in the range from 80 KZT per ton</w:t>
      </w:r>
      <w:r>
        <w:rPr>
          <w:rFonts w:ascii="Arial" w:hAnsi="Arial" w:cs="Arial"/>
          <w:sz w:val="22"/>
          <w:szCs w:val="22"/>
        </w:rPr>
        <w:t xml:space="preserve"> </w:t>
      </w:r>
      <w:r w:rsidRPr="005657EE">
        <w:rPr>
          <w:rFonts w:ascii="Arial" w:hAnsi="Arial" w:cs="Arial"/>
          <w:sz w:val="22"/>
          <w:szCs w:val="22"/>
        </w:rPr>
        <w:t>(Kyzylorda region) to over 500 KZT per ton (Astana) and 239 KZT per</w:t>
      </w:r>
      <w:r>
        <w:rPr>
          <w:rFonts w:ascii="Arial" w:hAnsi="Arial" w:cs="Arial"/>
          <w:sz w:val="22"/>
          <w:szCs w:val="22"/>
        </w:rPr>
        <w:t xml:space="preserve"> </w:t>
      </w:r>
      <w:r w:rsidRPr="005657EE">
        <w:rPr>
          <w:rFonts w:ascii="Arial" w:hAnsi="Arial" w:cs="Arial"/>
          <w:sz w:val="22"/>
          <w:szCs w:val="22"/>
        </w:rPr>
        <w:t>person and month (Almaty city, which equals about 8,000 KZT per ton) for</w:t>
      </w:r>
      <w:r>
        <w:rPr>
          <w:rFonts w:ascii="Arial" w:hAnsi="Arial" w:cs="Arial"/>
          <w:sz w:val="22"/>
          <w:szCs w:val="22"/>
        </w:rPr>
        <w:t xml:space="preserve"> </w:t>
      </w:r>
      <w:r w:rsidRPr="005657EE">
        <w:rPr>
          <w:rFonts w:ascii="Arial" w:hAnsi="Arial" w:cs="Arial"/>
          <w:sz w:val="22"/>
          <w:szCs w:val="22"/>
        </w:rPr>
        <w:t>household waste and up to 1,416 KZT per ton for commercial waste. There are direct and indirect subsidies by municipalities covering investments in containers, paying landfill costs, etc. The approach differs from municipality to municipality. Also, obsolete collection and landfill equipment is used in the majority of cases. This shows that the sector is operating at a very low level and still requires subsidy.</w:t>
      </w:r>
    </w:p>
    <w:p w14:paraId="2D50D059" w14:textId="77777777" w:rsidR="00FF6A34" w:rsidRPr="008A0859" w:rsidRDefault="00FF6A34" w:rsidP="007D6892">
      <w:pPr>
        <w:pStyle w:val="ListParagraph"/>
        <w:numPr>
          <w:ilvl w:val="0"/>
          <w:numId w:val="43"/>
        </w:numPr>
        <w:contextualSpacing/>
        <w:rPr>
          <w:rFonts w:ascii="Arial" w:hAnsi="Arial" w:cs="Arial"/>
          <w:sz w:val="22"/>
          <w:szCs w:val="22"/>
        </w:rPr>
      </w:pPr>
      <w:r w:rsidRPr="008A0859">
        <w:rPr>
          <w:rFonts w:ascii="Arial" w:hAnsi="Arial" w:cs="Arial"/>
          <w:sz w:val="22"/>
          <w:szCs w:val="22"/>
        </w:rPr>
        <w:t xml:space="preserve">As shown </w:t>
      </w:r>
      <w:r>
        <w:rPr>
          <w:rFonts w:ascii="Arial" w:hAnsi="Arial" w:cs="Arial"/>
          <w:sz w:val="22"/>
          <w:szCs w:val="22"/>
        </w:rPr>
        <w:t>above</w:t>
      </w:r>
      <w:r w:rsidRPr="008A0859">
        <w:rPr>
          <w:rFonts w:ascii="Arial" w:hAnsi="Arial" w:cs="Arial"/>
          <w:sz w:val="22"/>
          <w:szCs w:val="22"/>
        </w:rPr>
        <w:t>, responsibilities in the waste management</w:t>
      </w:r>
      <w:r>
        <w:rPr>
          <w:rFonts w:ascii="Arial" w:hAnsi="Arial" w:cs="Arial"/>
          <w:sz w:val="22"/>
          <w:szCs w:val="22"/>
        </w:rPr>
        <w:t xml:space="preserve"> </w:t>
      </w:r>
      <w:r w:rsidRPr="008A0859">
        <w:rPr>
          <w:rFonts w:ascii="Arial" w:hAnsi="Arial" w:cs="Arial"/>
          <w:sz w:val="22"/>
          <w:szCs w:val="22"/>
        </w:rPr>
        <w:t>sector are not clearly allocated. There is still a debate about changes. On</w:t>
      </w:r>
      <w:r>
        <w:rPr>
          <w:rFonts w:ascii="Arial" w:hAnsi="Arial" w:cs="Arial"/>
          <w:sz w:val="22"/>
          <w:szCs w:val="22"/>
        </w:rPr>
        <w:t xml:space="preserve"> </w:t>
      </w:r>
      <w:r w:rsidRPr="008A0859">
        <w:rPr>
          <w:rFonts w:ascii="Arial" w:hAnsi="Arial" w:cs="Arial"/>
          <w:sz w:val="22"/>
          <w:szCs w:val="22"/>
        </w:rPr>
        <w:t>the other side of the partnership, the private sector is interested in having</w:t>
      </w:r>
      <w:r>
        <w:rPr>
          <w:rFonts w:ascii="Arial" w:hAnsi="Arial" w:cs="Arial"/>
          <w:sz w:val="22"/>
          <w:szCs w:val="22"/>
        </w:rPr>
        <w:t xml:space="preserve"> </w:t>
      </w:r>
      <w:r w:rsidRPr="008A0859">
        <w:rPr>
          <w:rFonts w:ascii="Arial" w:hAnsi="Arial" w:cs="Arial"/>
          <w:sz w:val="22"/>
          <w:szCs w:val="22"/>
        </w:rPr>
        <w:t>clear responsibilities as well as clear medium- and long-term contracts</w:t>
      </w:r>
      <w:r>
        <w:rPr>
          <w:rFonts w:ascii="Arial" w:hAnsi="Arial" w:cs="Arial"/>
          <w:sz w:val="22"/>
          <w:szCs w:val="22"/>
        </w:rPr>
        <w:t xml:space="preserve"> </w:t>
      </w:r>
      <w:r w:rsidRPr="008A0859">
        <w:rPr>
          <w:rFonts w:ascii="Arial" w:hAnsi="Arial" w:cs="Arial"/>
          <w:sz w:val="22"/>
          <w:szCs w:val="22"/>
        </w:rPr>
        <w:t>with reliable partners. As long as the responsibilities are not clear, this</w:t>
      </w:r>
      <w:r>
        <w:rPr>
          <w:rFonts w:ascii="Arial" w:hAnsi="Arial" w:cs="Arial"/>
          <w:sz w:val="22"/>
          <w:szCs w:val="22"/>
        </w:rPr>
        <w:t xml:space="preserve"> </w:t>
      </w:r>
      <w:r w:rsidRPr="008A0859">
        <w:rPr>
          <w:rFonts w:ascii="Arial" w:hAnsi="Arial" w:cs="Arial"/>
          <w:sz w:val="22"/>
          <w:szCs w:val="22"/>
        </w:rPr>
        <w:t>will continue to represent a significant obstacle to private-sector</w:t>
      </w:r>
      <w:r>
        <w:rPr>
          <w:rFonts w:ascii="Arial" w:hAnsi="Arial" w:cs="Arial"/>
          <w:sz w:val="22"/>
          <w:szCs w:val="22"/>
        </w:rPr>
        <w:t xml:space="preserve"> </w:t>
      </w:r>
      <w:r w:rsidRPr="008A0859">
        <w:rPr>
          <w:rFonts w:ascii="Arial" w:hAnsi="Arial" w:cs="Arial"/>
          <w:sz w:val="22"/>
          <w:szCs w:val="22"/>
        </w:rPr>
        <w:t>involvement.</w:t>
      </w:r>
    </w:p>
    <w:p w14:paraId="1055B0E4" w14:textId="77777777" w:rsidR="00FF6A34" w:rsidRDefault="00FF6A34" w:rsidP="00FF6A34">
      <w:pPr>
        <w:rPr>
          <w:rFonts w:cs="Arial"/>
          <w:szCs w:val="22"/>
        </w:rPr>
      </w:pPr>
    </w:p>
    <w:p w14:paraId="426FC40A" w14:textId="77777777" w:rsidR="00FF6A34" w:rsidRDefault="00FF6A34" w:rsidP="00FF6A34">
      <w:pPr>
        <w:rPr>
          <w:rFonts w:cs="Arial"/>
          <w:szCs w:val="22"/>
        </w:rPr>
      </w:pPr>
    </w:p>
    <w:p w14:paraId="54C089B9" w14:textId="77777777" w:rsidR="00FF6A34" w:rsidRPr="0088005A" w:rsidRDefault="00FF6A34" w:rsidP="00FF6A34">
      <w:pPr>
        <w:rPr>
          <w:rFonts w:cs="Arial"/>
          <w:b/>
          <w:szCs w:val="22"/>
        </w:rPr>
      </w:pPr>
      <w:r w:rsidRPr="0088005A">
        <w:rPr>
          <w:rFonts w:cs="Arial"/>
          <w:b/>
          <w:szCs w:val="22"/>
        </w:rPr>
        <w:t>Waste management reporting system</w:t>
      </w:r>
    </w:p>
    <w:p w14:paraId="79707318" w14:textId="77777777" w:rsidR="00FF6A34" w:rsidRDefault="00FF6A34" w:rsidP="00FF6A34">
      <w:pPr>
        <w:rPr>
          <w:rFonts w:cs="Arial"/>
          <w:szCs w:val="22"/>
        </w:rPr>
      </w:pPr>
    </w:p>
    <w:p w14:paraId="69FC4758" w14:textId="77777777" w:rsidR="00FF6A34" w:rsidRDefault="00FF6A34" w:rsidP="00FF6A34">
      <w:pPr>
        <w:rPr>
          <w:rFonts w:cs="Arial"/>
          <w:szCs w:val="22"/>
        </w:rPr>
      </w:pPr>
      <w:r w:rsidRPr="00A16D89">
        <w:rPr>
          <w:rFonts w:cs="Arial"/>
          <w:szCs w:val="22"/>
        </w:rPr>
        <w:t>It has been observed that there is no reporting system in place to provide</w:t>
      </w:r>
      <w:r>
        <w:rPr>
          <w:rFonts w:cs="Arial"/>
          <w:szCs w:val="22"/>
        </w:rPr>
        <w:t xml:space="preserve"> </w:t>
      </w:r>
      <w:r w:rsidRPr="00A16D89">
        <w:rPr>
          <w:rFonts w:cs="Arial"/>
          <w:szCs w:val="22"/>
        </w:rPr>
        <w:t>frequent information on the sector and also to present deficiencies and</w:t>
      </w:r>
      <w:r>
        <w:rPr>
          <w:rFonts w:cs="Arial"/>
          <w:szCs w:val="22"/>
        </w:rPr>
        <w:t xml:space="preserve"> </w:t>
      </w:r>
      <w:r w:rsidRPr="00A16D89">
        <w:rPr>
          <w:rFonts w:cs="Arial"/>
          <w:szCs w:val="22"/>
        </w:rPr>
        <w:t>proposals for further development at national level. The only reporting</w:t>
      </w:r>
      <w:r>
        <w:rPr>
          <w:rFonts w:cs="Arial"/>
          <w:szCs w:val="22"/>
        </w:rPr>
        <w:t xml:space="preserve"> </w:t>
      </w:r>
      <w:r w:rsidRPr="00A16D89">
        <w:rPr>
          <w:rFonts w:cs="Arial"/>
          <w:szCs w:val="22"/>
        </w:rPr>
        <w:t>system in place at all levels is implemented by the Agency of Statistics.</w:t>
      </w:r>
      <w:r>
        <w:rPr>
          <w:rFonts w:cs="Arial"/>
          <w:szCs w:val="22"/>
        </w:rPr>
        <w:t xml:space="preserve"> </w:t>
      </w:r>
      <w:r w:rsidRPr="00A16D89">
        <w:rPr>
          <w:rFonts w:cs="Arial"/>
          <w:szCs w:val="22"/>
        </w:rPr>
        <w:t>Authorities have access to these data on request.</w:t>
      </w:r>
    </w:p>
    <w:p w14:paraId="0E49DCE7" w14:textId="77777777" w:rsidR="00F32236" w:rsidRDefault="00F32236">
      <w:pPr>
        <w:spacing w:after="0"/>
        <w:jc w:val="left"/>
        <w:rPr>
          <w:rFonts w:cs="Arial"/>
          <w:b/>
          <w:szCs w:val="22"/>
        </w:rPr>
      </w:pPr>
    </w:p>
    <w:p w14:paraId="42AC4CE7" w14:textId="77777777" w:rsidR="00F32236" w:rsidRDefault="00F32236" w:rsidP="00F32236">
      <w:pPr>
        <w:rPr>
          <w:rFonts w:cs="Arial"/>
          <w:szCs w:val="22"/>
        </w:rPr>
      </w:pPr>
      <w:r w:rsidRPr="00EC7A68">
        <w:rPr>
          <w:rFonts w:cs="Arial"/>
          <w:b/>
          <w:szCs w:val="22"/>
        </w:rPr>
        <w:t xml:space="preserve">Solid waste management </w:t>
      </w:r>
      <w:r>
        <w:rPr>
          <w:rFonts w:cs="Arial"/>
          <w:b/>
          <w:szCs w:val="22"/>
        </w:rPr>
        <w:t xml:space="preserve">(SWM) </w:t>
      </w:r>
      <w:r w:rsidRPr="00EC7A68">
        <w:rPr>
          <w:rFonts w:cs="Arial"/>
          <w:b/>
          <w:szCs w:val="22"/>
        </w:rPr>
        <w:t>related legal acts and regulations</w:t>
      </w:r>
    </w:p>
    <w:p w14:paraId="670F2297" w14:textId="77777777" w:rsidR="00F32236" w:rsidRDefault="00F32236" w:rsidP="00F32236">
      <w:pPr>
        <w:rPr>
          <w:rFonts w:cs="Arial"/>
          <w:szCs w:val="22"/>
        </w:rPr>
      </w:pPr>
    </w:p>
    <w:p w14:paraId="4AAEF18B" w14:textId="77777777" w:rsidR="00F32236" w:rsidRPr="00EC7A68" w:rsidRDefault="00F32236" w:rsidP="00F32236">
      <w:pPr>
        <w:rPr>
          <w:rFonts w:cs="Arial"/>
          <w:szCs w:val="22"/>
        </w:rPr>
      </w:pPr>
      <w:r>
        <w:rPr>
          <w:rFonts w:cs="Arial"/>
          <w:szCs w:val="22"/>
        </w:rPr>
        <w:t>On the regional and/</w:t>
      </w:r>
      <w:r w:rsidRPr="00EC7A68">
        <w:rPr>
          <w:rFonts w:cs="Arial"/>
          <w:szCs w:val="22"/>
        </w:rPr>
        <w:t>or local level, major SWM related regulations include:</w:t>
      </w:r>
    </w:p>
    <w:p w14:paraId="3475308C" w14:textId="77777777" w:rsidR="00F32236" w:rsidRPr="00EC7A68" w:rsidRDefault="00F32236" w:rsidP="007D6892">
      <w:pPr>
        <w:pStyle w:val="ListParagraph"/>
        <w:numPr>
          <w:ilvl w:val="0"/>
          <w:numId w:val="45"/>
        </w:numPr>
        <w:contextualSpacing/>
        <w:rPr>
          <w:rFonts w:ascii="Arial" w:hAnsi="Arial" w:cs="Arial"/>
          <w:sz w:val="22"/>
          <w:szCs w:val="22"/>
        </w:rPr>
      </w:pPr>
      <w:r w:rsidRPr="00EC7A68">
        <w:rPr>
          <w:rFonts w:ascii="Arial" w:hAnsi="Arial" w:cs="Arial"/>
          <w:sz w:val="22"/>
          <w:szCs w:val="22"/>
        </w:rPr>
        <w:t>Action Plans for implementation of the Territorial Development Strategy</w:t>
      </w:r>
      <w:r>
        <w:rPr>
          <w:rFonts w:ascii="Arial" w:hAnsi="Arial" w:cs="Arial"/>
          <w:sz w:val="22"/>
          <w:szCs w:val="22"/>
        </w:rPr>
        <w:t xml:space="preserve"> till 2015</w:t>
      </w:r>
    </w:p>
    <w:p w14:paraId="0ED4368A" w14:textId="77777777" w:rsidR="00F32236" w:rsidRPr="00EC7A68" w:rsidRDefault="00F32236" w:rsidP="007D6892">
      <w:pPr>
        <w:pStyle w:val="ListParagraph"/>
        <w:numPr>
          <w:ilvl w:val="0"/>
          <w:numId w:val="45"/>
        </w:numPr>
        <w:contextualSpacing/>
        <w:rPr>
          <w:rFonts w:ascii="Arial" w:hAnsi="Arial" w:cs="Arial"/>
          <w:sz w:val="22"/>
          <w:szCs w:val="22"/>
        </w:rPr>
      </w:pPr>
      <w:r w:rsidRPr="00EC7A68">
        <w:rPr>
          <w:rFonts w:ascii="Arial" w:hAnsi="Arial" w:cs="Arial"/>
          <w:sz w:val="22"/>
          <w:szCs w:val="22"/>
        </w:rPr>
        <w:t>Oblast Environmental Program</w:t>
      </w:r>
      <w:r>
        <w:rPr>
          <w:rFonts w:ascii="Arial" w:hAnsi="Arial" w:cs="Arial"/>
          <w:sz w:val="22"/>
          <w:szCs w:val="22"/>
        </w:rPr>
        <w:t>s</w:t>
      </w:r>
    </w:p>
    <w:p w14:paraId="7E3D1123" w14:textId="77777777" w:rsidR="00F32236" w:rsidRDefault="00F32236" w:rsidP="007D6892">
      <w:pPr>
        <w:pStyle w:val="ListParagraph"/>
        <w:numPr>
          <w:ilvl w:val="0"/>
          <w:numId w:val="45"/>
        </w:numPr>
        <w:contextualSpacing/>
        <w:rPr>
          <w:rFonts w:ascii="Arial" w:hAnsi="Arial" w:cs="Arial"/>
          <w:sz w:val="22"/>
          <w:szCs w:val="22"/>
        </w:rPr>
      </w:pPr>
      <w:r w:rsidRPr="00EC7A68">
        <w:rPr>
          <w:rFonts w:ascii="Arial" w:hAnsi="Arial" w:cs="Arial"/>
          <w:sz w:val="22"/>
          <w:szCs w:val="22"/>
        </w:rPr>
        <w:t>Other local regulations</w:t>
      </w:r>
    </w:p>
    <w:p w14:paraId="07C77716" w14:textId="77777777" w:rsidR="00F32236" w:rsidRDefault="00F32236" w:rsidP="00F32236">
      <w:pPr>
        <w:rPr>
          <w:rFonts w:cs="Arial"/>
          <w:szCs w:val="22"/>
        </w:rPr>
      </w:pPr>
    </w:p>
    <w:p w14:paraId="0A3034C7" w14:textId="77777777" w:rsidR="00F32236" w:rsidRPr="003C1736" w:rsidRDefault="00F32236" w:rsidP="00F32236">
      <w:pPr>
        <w:rPr>
          <w:rFonts w:cs="Arial"/>
          <w:i/>
          <w:szCs w:val="22"/>
        </w:rPr>
      </w:pPr>
      <w:r w:rsidRPr="003C1736">
        <w:rPr>
          <w:rFonts w:cs="Arial"/>
          <w:i/>
          <w:szCs w:val="22"/>
        </w:rPr>
        <w:t>The following major legal acts and regulations are relevant on the national level:</w:t>
      </w:r>
    </w:p>
    <w:p w14:paraId="76656917" w14:textId="77777777" w:rsidR="00F32236" w:rsidRDefault="00F32236" w:rsidP="00F32236">
      <w:pPr>
        <w:rPr>
          <w:rFonts w:cs="Arial"/>
          <w:szCs w:val="22"/>
        </w:rPr>
      </w:pPr>
    </w:p>
    <w:p w14:paraId="2B7D9D67" w14:textId="77777777" w:rsidR="00F32236" w:rsidRPr="00135D34" w:rsidRDefault="00F32236" w:rsidP="007D6892">
      <w:pPr>
        <w:pStyle w:val="ListParagraph"/>
        <w:numPr>
          <w:ilvl w:val="0"/>
          <w:numId w:val="44"/>
        </w:numPr>
        <w:contextualSpacing/>
        <w:rPr>
          <w:rFonts w:ascii="Arial" w:hAnsi="Arial" w:cs="Arial"/>
          <w:sz w:val="22"/>
          <w:szCs w:val="22"/>
        </w:rPr>
      </w:pPr>
      <w:r w:rsidRPr="00135D34">
        <w:rPr>
          <w:rFonts w:ascii="Arial" w:hAnsi="Arial" w:cs="Arial"/>
          <w:sz w:val="22"/>
          <w:szCs w:val="22"/>
        </w:rPr>
        <w:t xml:space="preserve">The Environmental Code of the Republic of Kazakhstan dd 09 Jan 2007 </w:t>
      </w:r>
      <w:r w:rsidRPr="00F32236">
        <w:rPr>
          <w:rFonts w:ascii="Arial" w:hAnsi="Arial" w:cs="Arial"/>
          <w:sz w:val="22"/>
          <w:szCs w:val="22"/>
          <w:lang w:val="en-GB"/>
        </w:rPr>
        <w:t xml:space="preserve">№ </w:t>
      </w:r>
      <w:r w:rsidRPr="00135D34">
        <w:rPr>
          <w:rFonts w:ascii="Arial" w:hAnsi="Arial" w:cs="Arial"/>
          <w:sz w:val="22"/>
          <w:szCs w:val="22"/>
        </w:rPr>
        <w:t>212-III (with changes and amendments as of 11 April 2014)</w:t>
      </w:r>
    </w:p>
    <w:p w14:paraId="0D0C509D" w14:textId="77777777" w:rsidR="00F32236" w:rsidRDefault="00F32236" w:rsidP="007D6892">
      <w:pPr>
        <w:pStyle w:val="ListParagraph"/>
        <w:numPr>
          <w:ilvl w:val="0"/>
          <w:numId w:val="44"/>
        </w:numPr>
        <w:contextualSpacing/>
        <w:rPr>
          <w:rFonts w:ascii="Arial" w:hAnsi="Arial" w:cs="Arial"/>
          <w:sz w:val="22"/>
          <w:szCs w:val="22"/>
        </w:rPr>
      </w:pPr>
      <w:r w:rsidRPr="00EC7A68">
        <w:rPr>
          <w:rFonts w:ascii="Arial" w:hAnsi="Arial" w:cs="Arial"/>
          <w:sz w:val="22"/>
          <w:szCs w:val="22"/>
        </w:rPr>
        <w:t>The Code on public health and health system in the Republic of Kazakhstan</w:t>
      </w:r>
      <w:r>
        <w:rPr>
          <w:rFonts w:ascii="Arial" w:hAnsi="Arial" w:cs="Arial"/>
          <w:sz w:val="22"/>
          <w:szCs w:val="22"/>
        </w:rPr>
        <w:t xml:space="preserve"> </w:t>
      </w:r>
      <w:r w:rsidRPr="00113CC0">
        <w:rPr>
          <w:rFonts w:ascii="Arial" w:hAnsi="Arial" w:cs="Arial"/>
          <w:bCs/>
          <w:sz w:val="22"/>
          <w:szCs w:val="22"/>
        </w:rPr>
        <w:t xml:space="preserve">dated September 18, 2009 </w:t>
      </w:r>
      <w:r w:rsidRPr="00113CC0">
        <w:rPr>
          <w:rFonts w:ascii="Arial" w:hAnsi="Arial" w:cs="Arial"/>
          <w:sz w:val="22"/>
          <w:szCs w:val="22"/>
        </w:rPr>
        <w:t xml:space="preserve">№ </w:t>
      </w:r>
      <w:r w:rsidRPr="00113CC0">
        <w:rPr>
          <w:rFonts w:ascii="Arial" w:hAnsi="Arial" w:cs="Arial"/>
          <w:bCs/>
          <w:sz w:val="22"/>
          <w:szCs w:val="22"/>
        </w:rPr>
        <w:t>139-IV, as of 11 April 2014</w:t>
      </w:r>
    </w:p>
    <w:p w14:paraId="2C7D427F" w14:textId="77777777" w:rsidR="00F32236" w:rsidRPr="00EC7A68" w:rsidRDefault="00F32236" w:rsidP="007D6892">
      <w:pPr>
        <w:pStyle w:val="ListParagraph"/>
        <w:numPr>
          <w:ilvl w:val="0"/>
          <w:numId w:val="44"/>
        </w:numPr>
        <w:contextualSpacing/>
        <w:rPr>
          <w:rFonts w:ascii="Arial" w:hAnsi="Arial" w:cs="Arial"/>
          <w:sz w:val="22"/>
          <w:szCs w:val="22"/>
        </w:rPr>
      </w:pPr>
      <w:r w:rsidRPr="00C85E2A">
        <w:rPr>
          <w:rFonts w:ascii="Arial" w:hAnsi="Arial" w:cs="Arial"/>
          <w:sz w:val="22"/>
          <w:szCs w:val="22"/>
        </w:rPr>
        <w:t xml:space="preserve">National Program for Solid Waster Management for 2014 – 2050 dd 09 June 2014 </w:t>
      </w:r>
      <w:r w:rsidRPr="00F32236">
        <w:rPr>
          <w:rFonts w:ascii="Arial" w:hAnsi="Arial" w:cs="Arial"/>
          <w:sz w:val="22"/>
          <w:szCs w:val="22"/>
          <w:lang w:val="en-GB"/>
        </w:rPr>
        <w:t>№ 634</w:t>
      </w:r>
    </w:p>
    <w:p w14:paraId="5C6CC319" w14:textId="77777777" w:rsidR="00F32236" w:rsidRPr="00EC7A68" w:rsidRDefault="00F32236" w:rsidP="007D6892">
      <w:pPr>
        <w:pStyle w:val="ListParagraph"/>
        <w:numPr>
          <w:ilvl w:val="0"/>
          <w:numId w:val="44"/>
        </w:numPr>
        <w:contextualSpacing/>
        <w:rPr>
          <w:rFonts w:ascii="Arial" w:hAnsi="Arial" w:cs="Arial"/>
          <w:sz w:val="22"/>
          <w:szCs w:val="22"/>
        </w:rPr>
      </w:pPr>
      <w:r w:rsidRPr="00EC7A68">
        <w:rPr>
          <w:rFonts w:ascii="Arial" w:hAnsi="Arial" w:cs="Arial"/>
          <w:sz w:val="22"/>
          <w:szCs w:val="22"/>
        </w:rPr>
        <w:t>Housing and public utilities modernization program until 2020</w:t>
      </w:r>
      <w:r>
        <w:rPr>
          <w:rFonts w:ascii="Arial" w:hAnsi="Arial" w:cs="Arial"/>
          <w:sz w:val="22"/>
          <w:szCs w:val="22"/>
        </w:rPr>
        <w:t xml:space="preserve"> </w:t>
      </w:r>
      <w:r w:rsidRPr="00113CC0">
        <w:rPr>
          <w:rFonts w:ascii="Arial" w:hAnsi="Arial" w:cs="Arial"/>
          <w:sz w:val="22"/>
          <w:szCs w:val="22"/>
        </w:rPr>
        <w:t xml:space="preserve">dd 30 April 2011 </w:t>
      </w:r>
      <w:r w:rsidRPr="00F32236">
        <w:rPr>
          <w:rFonts w:ascii="Arial" w:hAnsi="Arial" w:cs="Arial"/>
          <w:sz w:val="22"/>
          <w:szCs w:val="22"/>
          <w:lang w:val="en-GB"/>
        </w:rPr>
        <w:t>№ 473</w:t>
      </w:r>
    </w:p>
    <w:p w14:paraId="5385826D" w14:textId="77777777" w:rsidR="00F32236" w:rsidRPr="00EC7A68" w:rsidRDefault="00F32236" w:rsidP="007D6892">
      <w:pPr>
        <w:pStyle w:val="ListParagraph"/>
        <w:numPr>
          <w:ilvl w:val="0"/>
          <w:numId w:val="44"/>
        </w:numPr>
        <w:contextualSpacing/>
        <w:rPr>
          <w:rFonts w:ascii="Arial" w:hAnsi="Arial" w:cs="Arial"/>
          <w:sz w:val="22"/>
          <w:szCs w:val="22"/>
        </w:rPr>
      </w:pPr>
      <w:r w:rsidRPr="00EC7A68">
        <w:rPr>
          <w:rFonts w:ascii="Arial" w:hAnsi="Arial" w:cs="Arial"/>
          <w:sz w:val="22"/>
          <w:szCs w:val="22"/>
        </w:rPr>
        <w:t>Sanitary Rules and Norms 2.1.7.1038-01 “Hygienic requirements for establishment and maintenance of MSW landfills”</w:t>
      </w:r>
    </w:p>
    <w:p w14:paraId="43E98276" w14:textId="77777777" w:rsidR="00F32236" w:rsidRPr="00EC7A68" w:rsidRDefault="00F32236" w:rsidP="007D6892">
      <w:pPr>
        <w:pStyle w:val="ListParagraph"/>
        <w:numPr>
          <w:ilvl w:val="0"/>
          <w:numId w:val="44"/>
        </w:numPr>
        <w:contextualSpacing/>
        <w:rPr>
          <w:rFonts w:ascii="Arial" w:hAnsi="Arial" w:cs="Arial"/>
          <w:sz w:val="22"/>
          <w:szCs w:val="22"/>
        </w:rPr>
      </w:pPr>
      <w:r w:rsidRPr="00EC7A68">
        <w:rPr>
          <w:rFonts w:ascii="Arial" w:hAnsi="Arial" w:cs="Arial"/>
          <w:sz w:val="22"/>
          <w:szCs w:val="22"/>
        </w:rPr>
        <w:t>Sanitary norms of the KZ 1.04-15-2002 “MSW landfills”</w:t>
      </w:r>
    </w:p>
    <w:p w14:paraId="703ED429" w14:textId="77777777" w:rsidR="00F32236" w:rsidRPr="00EC7A68" w:rsidRDefault="00F32236" w:rsidP="007D6892">
      <w:pPr>
        <w:pStyle w:val="ListParagraph"/>
        <w:numPr>
          <w:ilvl w:val="0"/>
          <w:numId w:val="44"/>
        </w:numPr>
        <w:contextualSpacing/>
        <w:rPr>
          <w:rFonts w:ascii="Arial" w:hAnsi="Arial" w:cs="Arial"/>
          <w:sz w:val="22"/>
          <w:szCs w:val="22"/>
        </w:rPr>
      </w:pPr>
      <w:r w:rsidRPr="00EC7A68">
        <w:rPr>
          <w:rFonts w:ascii="Arial" w:hAnsi="Arial" w:cs="Arial"/>
          <w:sz w:val="22"/>
          <w:szCs w:val="22"/>
        </w:rPr>
        <w:t>The Sanitary and Epidemiologic Rules and Norms "Sanitary and Epidemiologic Requirements for maintenance of populated areas"</w:t>
      </w:r>
    </w:p>
    <w:p w14:paraId="355E2D4B" w14:textId="77777777" w:rsidR="00F32236" w:rsidRPr="00EC7A68" w:rsidRDefault="00F32236" w:rsidP="007D6892">
      <w:pPr>
        <w:pStyle w:val="ListParagraph"/>
        <w:numPr>
          <w:ilvl w:val="0"/>
          <w:numId w:val="44"/>
        </w:numPr>
        <w:contextualSpacing/>
        <w:rPr>
          <w:rFonts w:ascii="Arial" w:hAnsi="Arial" w:cs="Arial"/>
          <w:sz w:val="22"/>
          <w:szCs w:val="22"/>
        </w:rPr>
      </w:pPr>
      <w:r w:rsidRPr="00EC7A68">
        <w:rPr>
          <w:rFonts w:ascii="Arial" w:hAnsi="Arial" w:cs="Arial"/>
          <w:sz w:val="22"/>
          <w:szCs w:val="22"/>
        </w:rPr>
        <w:t>Methodology for calculation of emissions from MSW landfills. The Order of the Minister of Environmental Protection of the Republic of Kazakhstan dated April 18, 2008 No 10-p. Annex 17</w:t>
      </w:r>
    </w:p>
    <w:p w14:paraId="78FC6E95" w14:textId="77777777" w:rsidR="00F32236" w:rsidRPr="00EC7A68" w:rsidRDefault="00F32236" w:rsidP="007D6892">
      <w:pPr>
        <w:pStyle w:val="ListParagraph"/>
        <w:numPr>
          <w:ilvl w:val="0"/>
          <w:numId w:val="44"/>
        </w:numPr>
        <w:contextualSpacing/>
        <w:rPr>
          <w:rFonts w:ascii="Arial" w:hAnsi="Arial" w:cs="Arial"/>
          <w:sz w:val="22"/>
          <w:szCs w:val="22"/>
        </w:rPr>
      </w:pPr>
      <w:r w:rsidRPr="00EC7A68">
        <w:rPr>
          <w:rFonts w:ascii="Arial" w:hAnsi="Arial" w:cs="Arial"/>
          <w:sz w:val="22"/>
          <w:szCs w:val="22"/>
        </w:rPr>
        <w:t>Methodology for the development of draft standards for industrial and consumption waste placement Annex 16 to the Order of the Minister of</w:t>
      </w:r>
    </w:p>
    <w:p w14:paraId="072B5041" w14:textId="77777777" w:rsidR="00F32236" w:rsidRPr="00EC7A68" w:rsidRDefault="00F32236" w:rsidP="007D6892">
      <w:pPr>
        <w:pStyle w:val="ListParagraph"/>
        <w:numPr>
          <w:ilvl w:val="0"/>
          <w:numId w:val="44"/>
        </w:numPr>
        <w:contextualSpacing/>
        <w:rPr>
          <w:rFonts w:ascii="Arial" w:hAnsi="Arial" w:cs="Arial"/>
          <w:sz w:val="22"/>
          <w:szCs w:val="22"/>
        </w:rPr>
      </w:pPr>
      <w:r w:rsidRPr="00EC7A68">
        <w:rPr>
          <w:rFonts w:ascii="Arial" w:hAnsi="Arial" w:cs="Arial"/>
          <w:sz w:val="22"/>
          <w:szCs w:val="22"/>
        </w:rPr>
        <w:t>Environmental Protection of the Republic of Kazakhstan dated April 18, 2008 No 100-p</w:t>
      </w:r>
    </w:p>
    <w:p w14:paraId="23B2867C" w14:textId="77777777" w:rsidR="00F32236" w:rsidRDefault="00F32236" w:rsidP="007D6892">
      <w:pPr>
        <w:pStyle w:val="ListParagraph"/>
        <w:numPr>
          <w:ilvl w:val="0"/>
          <w:numId w:val="44"/>
        </w:numPr>
        <w:contextualSpacing/>
        <w:rPr>
          <w:rFonts w:ascii="Arial" w:hAnsi="Arial" w:cs="Arial"/>
          <w:sz w:val="22"/>
          <w:szCs w:val="22"/>
        </w:rPr>
      </w:pPr>
      <w:r w:rsidRPr="00EC7A68">
        <w:rPr>
          <w:rFonts w:ascii="Arial" w:hAnsi="Arial" w:cs="Arial"/>
          <w:sz w:val="22"/>
          <w:szCs w:val="22"/>
        </w:rPr>
        <w:t>The list of waste to be placed in landfills of various types. Order of the acting Minister of Environmental Protection of the Republic of Kazakhstan dated August 2, 1997 No 244-p</w:t>
      </w:r>
    </w:p>
    <w:p w14:paraId="12DE17B8" w14:textId="77777777" w:rsidR="00F32236" w:rsidRDefault="00F32236" w:rsidP="00F32236">
      <w:pPr>
        <w:rPr>
          <w:rFonts w:cs="Arial"/>
          <w:szCs w:val="22"/>
        </w:rPr>
      </w:pPr>
    </w:p>
    <w:p w14:paraId="6D40AB0F" w14:textId="77777777" w:rsidR="00F32236" w:rsidRPr="003C1736" w:rsidRDefault="00F32236" w:rsidP="00F32236">
      <w:pPr>
        <w:rPr>
          <w:rFonts w:cs="Arial"/>
          <w:i/>
          <w:szCs w:val="22"/>
        </w:rPr>
      </w:pPr>
      <w:r w:rsidRPr="003C1736">
        <w:rPr>
          <w:rFonts w:cs="Arial"/>
          <w:i/>
          <w:szCs w:val="22"/>
        </w:rPr>
        <w:t>Housing and communal services related regulations include:</w:t>
      </w:r>
    </w:p>
    <w:p w14:paraId="64EF47A6" w14:textId="77777777" w:rsidR="00F32236" w:rsidRPr="003C1736" w:rsidRDefault="00F32236" w:rsidP="007D6892">
      <w:pPr>
        <w:pStyle w:val="ListParagraph"/>
        <w:numPr>
          <w:ilvl w:val="0"/>
          <w:numId w:val="46"/>
        </w:numPr>
        <w:contextualSpacing/>
        <w:rPr>
          <w:rFonts w:ascii="Arial" w:hAnsi="Arial" w:cs="Arial"/>
          <w:sz w:val="22"/>
          <w:szCs w:val="22"/>
        </w:rPr>
      </w:pPr>
      <w:r w:rsidRPr="003C1736">
        <w:rPr>
          <w:rFonts w:ascii="Arial" w:hAnsi="Arial" w:cs="Arial"/>
          <w:sz w:val="22"/>
          <w:szCs w:val="22"/>
        </w:rPr>
        <w:t>Law on architecture, urban planning and construction activities in the Republic of Kazakhstan of July 16, 2001</w:t>
      </w:r>
      <w:r>
        <w:rPr>
          <w:rFonts w:ascii="Arial" w:hAnsi="Arial" w:cs="Arial"/>
          <w:sz w:val="22"/>
          <w:szCs w:val="22"/>
        </w:rPr>
        <w:t xml:space="preserve"> </w:t>
      </w:r>
      <w:r w:rsidRPr="00F32236">
        <w:rPr>
          <w:rFonts w:ascii="Arial" w:hAnsi="Arial" w:cs="Arial"/>
          <w:sz w:val="22"/>
          <w:szCs w:val="22"/>
          <w:lang w:val="en-GB"/>
        </w:rPr>
        <w:t>№242-</w:t>
      </w:r>
      <w:r>
        <w:rPr>
          <w:rFonts w:ascii="Arial" w:hAnsi="Arial" w:cs="Arial"/>
          <w:sz w:val="22"/>
          <w:szCs w:val="22"/>
        </w:rPr>
        <w:t>II</w:t>
      </w:r>
    </w:p>
    <w:p w14:paraId="4A9C860B" w14:textId="77777777" w:rsidR="00F32236" w:rsidRDefault="00F32236" w:rsidP="00F32236">
      <w:pPr>
        <w:rPr>
          <w:rFonts w:cs="Arial"/>
          <w:szCs w:val="22"/>
        </w:rPr>
      </w:pPr>
    </w:p>
    <w:p w14:paraId="71CF2C8F" w14:textId="77777777" w:rsidR="00F32236" w:rsidRPr="003C1736" w:rsidRDefault="00F32236" w:rsidP="00F32236">
      <w:pPr>
        <w:rPr>
          <w:rFonts w:cs="Arial"/>
          <w:i/>
          <w:szCs w:val="22"/>
        </w:rPr>
      </w:pPr>
      <w:r w:rsidRPr="003C1736">
        <w:rPr>
          <w:rFonts w:cs="Arial"/>
          <w:i/>
          <w:szCs w:val="22"/>
        </w:rPr>
        <w:t>Legislation on punishment and responsibility in case of the violations in the field of the SWM include:</w:t>
      </w:r>
    </w:p>
    <w:p w14:paraId="33ED5E9D" w14:textId="77777777" w:rsidR="00F32236" w:rsidRPr="003C1736" w:rsidRDefault="00F32236" w:rsidP="007D6892">
      <w:pPr>
        <w:pStyle w:val="ListParagraph"/>
        <w:numPr>
          <w:ilvl w:val="0"/>
          <w:numId w:val="46"/>
        </w:numPr>
        <w:contextualSpacing/>
        <w:rPr>
          <w:rFonts w:ascii="Arial" w:hAnsi="Arial" w:cs="Arial"/>
          <w:sz w:val="22"/>
          <w:szCs w:val="22"/>
        </w:rPr>
      </w:pPr>
      <w:r w:rsidRPr="003C1736">
        <w:rPr>
          <w:rFonts w:ascii="Arial" w:hAnsi="Arial" w:cs="Arial"/>
          <w:sz w:val="22"/>
          <w:szCs w:val="22"/>
        </w:rPr>
        <w:t>Code of the Republic of Kazakhstan on administrative violations dated January 30, 2001</w:t>
      </w:r>
    </w:p>
    <w:p w14:paraId="34537FD5" w14:textId="77777777" w:rsidR="00F32236" w:rsidRPr="003C1736" w:rsidRDefault="00F32236" w:rsidP="007D6892">
      <w:pPr>
        <w:pStyle w:val="ListParagraph"/>
        <w:numPr>
          <w:ilvl w:val="0"/>
          <w:numId w:val="46"/>
        </w:numPr>
        <w:contextualSpacing/>
        <w:rPr>
          <w:rFonts w:ascii="Arial" w:hAnsi="Arial" w:cs="Arial"/>
          <w:sz w:val="22"/>
          <w:szCs w:val="22"/>
        </w:rPr>
      </w:pPr>
      <w:r w:rsidRPr="003C1736">
        <w:rPr>
          <w:rFonts w:ascii="Arial" w:hAnsi="Arial" w:cs="Arial"/>
          <w:sz w:val="22"/>
          <w:szCs w:val="22"/>
        </w:rPr>
        <w:t>Criminal Code of the Republic of Kazakhstan</w:t>
      </w:r>
      <w:r>
        <w:rPr>
          <w:rFonts w:ascii="Arial" w:hAnsi="Arial" w:cs="Arial"/>
          <w:sz w:val="22"/>
          <w:szCs w:val="22"/>
        </w:rPr>
        <w:t xml:space="preserve"> dd 16 July 1997 </w:t>
      </w:r>
      <w:r w:rsidRPr="00F32236">
        <w:rPr>
          <w:rFonts w:ascii="Arial" w:hAnsi="Arial" w:cs="Arial"/>
          <w:sz w:val="22"/>
          <w:szCs w:val="22"/>
          <w:lang w:val="en-GB"/>
        </w:rPr>
        <w:t>№167-</w:t>
      </w:r>
      <w:r>
        <w:rPr>
          <w:rFonts w:ascii="Arial" w:hAnsi="Arial" w:cs="Arial"/>
          <w:sz w:val="22"/>
          <w:szCs w:val="22"/>
        </w:rPr>
        <w:t>I</w:t>
      </w:r>
    </w:p>
    <w:p w14:paraId="025BDD35" w14:textId="77777777" w:rsidR="00F32236" w:rsidRPr="003C1736" w:rsidRDefault="00F32236" w:rsidP="007D6892">
      <w:pPr>
        <w:pStyle w:val="ListParagraph"/>
        <w:numPr>
          <w:ilvl w:val="0"/>
          <w:numId w:val="46"/>
        </w:numPr>
        <w:contextualSpacing/>
        <w:rPr>
          <w:rFonts w:ascii="Arial" w:hAnsi="Arial" w:cs="Arial"/>
          <w:sz w:val="22"/>
          <w:szCs w:val="22"/>
        </w:rPr>
      </w:pPr>
      <w:r w:rsidRPr="003C1736">
        <w:rPr>
          <w:rFonts w:ascii="Arial" w:hAnsi="Arial" w:cs="Arial"/>
          <w:sz w:val="22"/>
          <w:szCs w:val="22"/>
        </w:rPr>
        <w:t>Civil Code of the Republic of Kazakhstan (general part)</w:t>
      </w:r>
      <w:r>
        <w:rPr>
          <w:rFonts w:ascii="Arial" w:hAnsi="Arial" w:cs="Arial"/>
          <w:sz w:val="22"/>
          <w:szCs w:val="22"/>
        </w:rPr>
        <w:t xml:space="preserve"> dd 27 December 1994</w:t>
      </w:r>
    </w:p>
    <w:p w14:paraId="1941F107" w14:textId="77777777" w:rsidR="00F32236" w:rsidRDefault="00F32236" w:rsidP="00F32236">
      <w:pPr>
        <w:rPr>
          <w:rFonts w:cs="Arial"/>
          <w:szCs w:val="22"/>
        </w:rPr>
      </w:pPr>
    </w:p>
    <w:p w14:paraId="11C86AEC" w14:textId="77777777" w:rsidR="00F32236" w:rsidRPr="003C1736" w:rsidRDefault="00F32236" w:rsidP="00F32236">
      <w:pPr>
        <w:rPr>
          <w:rFonts w:cs="Arial"/>
          <w:i/>
          <w:szCs w:val="22"/>
        </w:rPr>
      </w:pPr>
      <w:r w:rsidRPr="003C1736">
        <w:rPr>
          <w:rFonts w:cs="Arial"/>
          <w:i/>
          <w:szCs w:val="22"/>
        </w:rPr>
        <w:t>SWM related fees and payments regulations include:</w:t>
      </w:r>
    </w:p>
    <w:p w14:paraId="50BA8DE4" w14:textId="77777777" w:rsidR="00F32236" w:rsidRDefault="00F32236" w:rsidP="007D6892">
      <w:pPr>
        <w:pStyle w:val="ListParagraph"/>
        <w:numPr>
          <w:ilvl w:val="0"/>
          <w:numId w:val="47"/>
        </w:numPr>
        <w:contextualSpacing/>
        <w:rPr>
          <w:rFonts w:ascii="Arial" w:hAnsi="Arial" w:cs="Arial"/>
          <w:sz w:val="22"/>
          <w:szCs w:val="22"/>
        </w:rPr>
      </w:pPr>
      <w:r w:rsidRPr="003C1736">
        <w:rPr>
          <w:rFonts w:ascii="Arial" w:hAnsi="Arial" w:cs="Arial"/>
          <w:sz w:val="22"/>
          <w:szCs w:val="22"/>
        </w:rPr>
        <w:t>Code of the Republic of Kazakhstan “On Ta</w:t>
      </w:r>
      <w:r>
        <w:rPr>
          <w:rFonts w:ascii="Arial" w:hAnsi="Arial" w:cs="Arial"/>
          <w:sz w:val="22"/>
          <w:szCs w:val="22"/>
        </w:rPr>
        <w:t xml:space="preserve">xes and other budget fees” (Tax </w:t>
      </w:r>
      <w:r w:rsidRPr="003C1736">
        <w:rPr>
          <w:rFonts w:ascii="Arial" w:hAnsi="Arial" w:cs="Arial"/>
          <w:sz w:val="22"/>
          <w:szCs w:val="22"/>
        </w:rPr>
        <w:t>Code)</w:t>
      </w:r>
      <w:r>
        <w:rPr>
          <w:rFonts w:ascii="Arial" w:hAnsi="Arial" w:cs="Arial"/>
          <w:sz w:val="22"/>
          <w:szCs w:val="22"/>
        </w:rPr>
        <w:t xml:space="preserve"> dd 10 December 2008 </w:t>
      </w:r>
      <w:r w:rsidRPr="00F32236">
        <w:rPr>
          <w:rFonts w:ascii="Arial" w:hAnsi="Arial" w:cs="Arial"/>
          <w:sz w:val="22"/>
          <w:szCs w:val="22"/>
          <w:lang w:val="en-GB"/>
        </w:rPr>
        <w:t>№ 99-</w:t>
      </w:r>
      <w:r>
        <w:rPr>
          <w:rFonts w:ascii="Arial" w:hAnsi="Arial" w:cs="Arial"/>
          <w:sz w:val="22"/>
          <w:szCs w:val="22"/>
        </w:rPr>
        <w:t>IV</w:t>
      </w:r>
    </w:p>
    <w:p w14:paraId="1FE23979" w14:textId="77777777" w:rsidR="00F32236" w:rsidRDefault="00F32236" w:rsidP="00F32236">
      <w:pPr>
        <w:rPr>
          <w:rFonts w:cs="Arial"/>
          <w:szCs w:val="22"/>
        </w:rPr>
      </w:pPr>
    </w:p>
    <w:p w14:paraId="44C3A209" w14:textId="77777777" w:rsidR="00F32236" w:rsidRDefault="00F32236" w:rsidP="00F32236">
      <w:pPr>
        <w:rPr>
          <w:rFonts w:cs="Arial"/>
          <w:szCs w:val="22"/>
        </w:rPr>
        <w:sectPr w:rsidR="00F32236" w:rsidSect="009A1254">
          <w:pgSz w:w="12240" w:h="15840"/>
          <w:pgMar w:top="1440" w:right="1800" w:bottom="1440" w:left="1800" w:header="720" w:footer="720" w:gutter="0"/>
          <w:cols w:space="720"/>
          <w:docGrid w:linePitch="360"/>
        </w:sectPr>
      </w:pPr>
    </w:p>
    <w:p w14:paraId="202C0D43" w14:textId="77777777" w:rsidR="00F32236" w:rsidRPr="00437AFA" w:rsidRDefault="00F32236" w:rsidP="00F32236">
      <w:pPr>
        <w:rPr>
          <w:rFonts w:cs="Arial"/>
          <w:b/>
          <w:szCs w:val="22"/>
        </w:rPr>
      </w:pPr>
      <w:r w:rsidRPr="00437AFA">
        <w:rPr>
          <w:rFonts w:cs="Arial"/>
          <w:b/>
          <w:szCs w:val="22"/>
        </w:rPr>
        <w:t>Overview of key laws and regulations on SWM relevant to the project’s scope:</w:t>
      </w:r>
    </w:p>
    <w:p w14:paraId="55057C96" w14:textId="77777777" w:rsidR="00F32236" w:rsidRDefault="00F32236" w:rsidP="00F32236">
      <w:pPr>
        <w:rPr>
          <w:rFonts w:cs="Arial"/>
          <w:szCs w:val="22"/>
        </w:rPr>
      </w:pPr>
    </w:p>
    <w:tbl>
      <w:tblPr>
        <w:tblStyle w:val="TableGrid"/>
        <w:tblW w:w="10456" w:type="dxa"/>
        <w:tblLook w:val="04A0" w:firstRow="1" w:lastRow="0" w:firstColumn="1" w:lastColumn="0" w:noHBand="0" w:noVBand="1"/>
      </w:tblPr>
      <w:tblGrid>
        <w:gridCol w:w="629"/>
        <w:gridCol w:w="2031"/>
        <w:gridCol w:w="4111"/>
        <w:gridCol w:w="3685"/>
      </w:tblGrid>
      <w:tr w:rsidR="00F32236" w14:paraId="307C904A" w14:textId="77777777" w:rsidTr="007D6892">
        <w:tc>
          <w:tcPr>
            <w:tcW w:w="629" w:type="dxa"/>
          </w:tcPr>
          <w:p w14:paraId="4E8957A4" w14:textId="77777777" w:rsidR="00F32236" w:rsidRPr="00323378" w:rsidRDefault="00F32236" w:rsidP="009A1254">
            <w:pPr>
              <w:rPr>
                <w:rFonts w:cs="Arial"/>
                <w:szCs w:val="22"/>
              </w:rPr>
            </w:pPr>
            <w:r>
              <w:rPr>
                <w:rFonts w:cs="Arial"/>
                <w:szCs w:val="22"/>
                <w:lang w:val="ru-RU"/>
              </w:rPr>
              <w:t>№</w:t>
            </w:r>
          </w:p>
        </w:tc>
        <w:tc>
          <w:tcPr>
            <w:tcW w:w="2031" w:type="dxa"/>
          </w:tcPr>
          <w:p w14:paraId="05F3FD8E" w14:textId="77777777" w:rsidR="00F32236" w:rsidRDefault="00F32236" w:rsidP="009A1254">
            <w:pPr>
              <w:rPr>
                <w:rFonts w:cs="Arial"/>
                <w:szCs w:val="22"/>
              </w:rPr>
            </w:pPr>
            <w:r>
              <w:rPr>
                <w:rFonts w:cs="Arial"/>
                <w:szCs w:val="22"/>
              </w:rPr>
              <w:t>Chapter, article</w:t>
            </w:r>
          </w:p>
        </w:tc>
        <w:tc>
          <w:tcPr>
            <w:tcW w:w="4111" w:type="dxa"/>
          </w:tcPr>
          <w:p w14:paraId="7C52F54B" w14:textId="77777777" w:rsidR="00F32236" w:rsidRDefault="00F32236" w:rsidP="009A1254">
            <w:pPr>
              <w:rPr>
                <w:rFonts w:cs="Arial"/>
                <w:szCs w:val="22"/>
              </w:rPr>
            </w:pPr>
            <w:r>
              <w:rPr>
                <w:rFonts w:cs="Arial"/>
                <w:szCs w:val="22"/>
              </w:rPr>
              <w:t>Short description</w:t>
            </w:r>
          </w:p>
        </w:tc>
        <w:tc>
          <w:tcPr>
            <w:tcW w:w="3685" w:type="dxa"/>
          </w:tcPr>
          <w:p w14:paraId="15992DBE" w14:textId="77777777" w:rsidR="00F32236" w:rsidRDefault="00F32236" w:rsidP="009A1254">
            <w:pPr>
              <w:rPr>
                <w:rFonts w:cs="Arial"/>
                <w:szCs w:val="22"/>
              </w:rPr>
            </w:pPr>
            <w:r>
              <w:rPr>
                <w:rFonts w:cs="Arial"/>
                <w:szCs w:val="22"/>
              </w:rPr>
              <w:t>Notes</w:t>
            </w:r>
          </w:p>
        </w:tc>
      </w:tr>
      <w:tr w:rsidR="00F32236" w14:paraId="2BA307EF" w14:textId="77777777" w:rsidTr="007D6892">
        <w:tc>
          <w:tcPr>
            <w:tcW w:w="629" w:type="dxa"/>
          </w:tcPr>
          <w:p w14:paraId="35B83E8D" w14:textId="77777777" w:rsidR="00F32236" w:rsidRDefault="00F32236" w:rsidP="009A1254">
            <w:pPr>
              <w:rPr>
                <w:rFonts w:cs="Arial"/>
                <w:szCs w:val="22"/>
              </w:rPr>
            </w:pPr>
            <w:r>
              <w:rPr>
                <w:rFonts w:cs="Arial"/>
                <w:szCs w:val="22"/>
              </w:rPr>
              <w:t>1.</w:t>
            </w:r>
          </w:p>
        </w:tc>
        <w:tc>
          <w:tcPr>
            <w:tcW w:w="2031" w:type="dxa"/>
          </w:tcPr>
          <w:p w14:paraId="78446EA0" w14:textId="77777777" w:rsidR="00F32236" w:rsidRPr="00E23A07" w:rsidRDefault="00F32236" w:rsidP="009A1254">
            <w:pPr>
              <w:rPr>
                <w:rFonts w:cs="Arial"/>
                <w:szCs w:val="22"/>
              </w:rPr>
            </w:pPr>
            <w:r>
              <w:rPr>
                <w:rFonts w:cs="Arial"/>
                <w:szCs w:val="22"/>
              </w:rPr>
              <w:t xml:space="preserve">Environmental Code of the Republic of Kazakhstan dd 09 Jan 2007 </w:t>
            </w:r>
            <w:r w:rsidRPr="00F32236">
              <w:rPr>
                <w:rFonts w:cs="Arial"/>
                <w:szCs w:val="22"/>
              </w:rPr>
              <w:t xml:space="preserve">№ </w:t>
            </w:r>
            <w:r>
              <w:rPr>
                <w:rFonts w:cs="Arial"/>
                <w:szCs w:val="22"/>
              </w:rPr>
              <w:t>212-III (with changes and amendments as of 11 April 2014)</w:t>
            </w:r>
          </w:p>
        </w:tc>
        <w:tc>
          <w:tcPr>
            <w:tcW w:w="4111" w:type="dxa"/>
          </w:tcPr>
          <w:p w14:paraId="7454F44C" w14:textId="77777777" w:rsidR="00F32236" w:rsidRPr="00EA6828" w:rsidRDefault="00F32236" w:rsidP="009A1254">
            <w:pPr>
              <w:rPr>
                <w:rFonts w:cs="Arial"/>
                <w:szCs w:val="22"/>
              </w:rPr>
            </w:pPr>
            <w:r w:rsidRPr="00EA6828">
              <w:rPr>
                <w:rFonts w:cs="Arial"/>
                <w:szCs w:val="22"/>
              </w:rPr>
              <w:t>Institutional aspects of municipal solid waste management</w:t>
            </w:r>
            <w:r>
              <w:rPr>
                <w:rFonts w:cs="Arial"/>
                <w:szCs w:val="22"/>
              </w:rPr>
              <w:t xml:space="preserve"> </w:t>
            </w:r>
            <w:r w:rsidRPr="00EA6828">
              <w:rPr>
                <w:rFonts w:cs="Arial"/>
                <w:szCs w:val="22"/>
              </w:rPr>
              <w:t>are presented in Chapter 41, article 292: Environmental</w:t>
            </w:r>
          </w:p>
          <w:p w14:paraId="7A2CF154" w14:textId="77777777" w:rsidR="00F32236" w:rsidRPr="00E23A07" w:rsidRDefault="00F32236" w:rsidP="009A1254">
            <w:pPr>
              <w:rPr>
                <w:rFonts w:cs="Arial"/>
                <w:szCs w:val="22"/>
              </w:rPr>
            </w:pPr>
            <w:r w:rsidRPr="00EA6828">
              <w:rPr>
                <w:rFonts w:cs="Arial"/>
                <w:szCs w:val="22"/>
              </w:rPr>
              <w:t>Requirements Applicable upon Handling Municipal Waste.</w:t>
            </w:r>
            <w:r>
              <w:rPr>
                <w:rFonts w:cs="Arial"/>
                <w:szCs w:val="22"/>
              </w:rPr>
              <w:t xml:space="preserve"> </w:t>
            </w:r>
            <w:r w:rsidRPr="00EA6828">
              <w:rPr>
                <w:rFonts w:cs="Arial"/>
                <w:szCs w:val="22"/>
              </w:rPr>
              <w:t>The article in particular describes responsibilities of local</w:t>
            </w:r>
            <w:r>
              <w:rPr>
                <w:rFonts w:cs="Arial"/>
                <w:szCs w:val="22"/>
              </w:rPr>
              <w:t xml:space="preserve"> </w:t>
            </w:r>
            <w:r w:rsidRPr="00EA6828">
              <w:rPr>
                <w:rFonts w:cs="Arial"/>
                <w:szCs w:val="22"/>
              </w:rPr>
              <w:t>governments. Responsibilities and rights of waste producers</w:t>
            </w:r>
            <w:r>
              <w:rPr>
                <w:rFonts w:cs="Arial"/>
                <w:szCs w:val="22"/>
              </w:rPr>
              <w:t xml:space="preserve"> </w:t>
            </w:r>
            <w:r w:rsidRPr="00EA6828">
              <w:rPr>
                <w:rFonts w:cs="Arial"/>
                <w:szCs w:val="22"/>
              </w:rPr>
              <w:t>are listed in article 283.</w:t>
            </w:r>
          </w:p>
        </w:tc>
        <w:tc>
          <w:tcPr>
            <w:tcW w:w="3685" w:type="dxa"/>
          </w:tcPr>
          <w:p w14:paraId="29332F1C" w14:textId="77777777" w:rsidR="00F32236" w:rsidRPr="00E23A07" w:rsidRDefault="00F32236" w:rsidP="009A1254">
            <w:pPr>
              <w:rPr>
                <w:rFonts w:cs="Arial"/>
                <w:szCs w:val="22"/>
              </w:rPr>
            </w:pPr>
          </w:p>
        </w:tc>
      </w:tr>
      <w:tr w:rsidR="00F32236" w14:paraId="7DFEA60B" w14:textId="77777777" w:rsidTr="007D6892">
        <w:tc>
          <w:tcPr>
            <w:tcW w:w="629" w:type="dxa"/>
          </w:tcPr>
          <w:p w14:paraId="28742F99" w14:textId="77777777" w:rsidR="00F32236" w:rsidRDefault="00F32236" w:rsidP="009A1254">
            <w:pPr>
              <w:rPr>
                <w:rFonts w:cs="Arial"/>
                <w:szCs w:val="22"/>
              </w:rPr>
            </w:pPr>
            <w:r>
              <w:rPr>
                <w:rFonts w:cs="Arial"/>
                <w:szCs w:val="22"/>
              </w:rPr>
              <w:t>1.1</w:t>
            </w:r>
          </w:p>
        </w:tc>
        <w:tc>
          <w:tcPr>
            <w:tcW w:w="2031" w:type="dxa"/>
          </w:tcPr>
          <w:p w14:paraId="0C52B6E9" w14:textId="77777777" w:rsidR="00F32236" w:rsidRDefault="00F32236" w:rsidP="009A1254">
            <w:pPr>
              <w:rPr>
                <w:rFonts w:cs="Arial"/>
                <w:szCs w:val="22"/>
              </w:rPr>
            </w:pPr>
            <w:r>
              <w:rPr>
                <w:rFonts w:cs="Arial"/>
                <w:szCs w:val="22"/>
              </w:rPr>
              <w:t>Article 15. Powers of l</w:t>
            </w:r>
            <w:r w:rsidRPr="00E23A07">
              <w:rPr>
                <w:rFonts w:cs="Arial"/>
                <w:szCs w:val="22"/>
              </w:rPr>
              <w:t>ocal</w:t>
            </w:r>
            <w:r>
              <w:rPr>
                <w:rFonts w:cs="Arial"/>
                <w:szCs w:val="22"/>
              </w:rPr>
              <w:t xml:space="preserve"> s</w:t>
            </w:r>
            <w:r w:rsidRPr="00E23A07">
              <w:rPr>
                <w:rFonts w:cs="Arial"/>
                <w:szCs w:val="22"/>
              </w:rPr>
              <w:t>elf-government</w:t>
            </w:r>
            <w:r>
              <w:rPr>
                <w:rFonts w:cs="Arial"/>
                <w:szCs w:val="22"/>
              </w:rPr>
              <w:t xml:space="preserve"> authorities in r</w:t>
            </w:r>
            <w:r w:rsidRPr="00E23A07">
              <w:rPr>
                <w:rFonts w:cs="Arial"/>
                <w:szCs w:val="22"/>
              </w:rPr>
              <w:t>elation to</w:t>
            </w:r>
            <w:r>
              <w:rPr>
                <w:rFonts w:cs="Arial"/>
                <w:szCs w:val="22"/>
              </w:rPr>
              <w:t xml:space="preserve"> environmental p</w:t>
            </w:r>
            <w:r w:rsidRPr="00E23A07">
              <w:rPr>
                <w:rFonts w:cs="Arial"/>
                <w:szCs w:val="22"/>
              </w:rPr>
              <w:t>rotection</w:t>
            </w:r>
            <w:r>
              <w:rPr>
                <w:rFonts w:cs="Arial"/>
                <w:szCs w:val="22"/>
              </w:rPr>
              <w:t xml:space="preserve"> and nature u</w:t>
            </w:r>
            <w:r w:rsidRPr="00E23A07">
              <w:rPr>
                <w:rFonts w:cs="Arial"/>
                <w:szCs w:val="22"/>
              </w:rPr>
              <w:t>se</w:t>
            </w:r>
          </w:p>
        </w:tc>
        <w:tc>
          <w:tcPr>
            <w:tcW w:w="4111" w:type="dxa"/>
          </w:tcPr>
          <w:p w14:paraId="5C3FB035" w14:textId="77777777" w:rsidR="00F32236" w:rsidRPr="006A4A5D" w:rsidRDefault="00F32236" w:rsidP="009A1254">
            <w:pPr>
              <w:rPr>
                <w:rFonts w:cs="Arial"/>
                <w:szCs w:val="22"/>
              </w:rPr>
            </w:pPr>
            <w:r w:rsidRPr="006A4A5D">
              <w:rPr>
                <w:rFonts w:cs="Arial"/>
                <w:szCs w:val="22"/>
              </w:rPr>
              <w:t>The powers of local self- government authorities in relation to environmental</w:t>
            </w:r>
            <w:r>
              <w:rPr>
                <w:rFonts w:cs="Arial"/>
                <w:szCs w:val="22"/>
              </w:rPr>
              <w:t xml:space="preserve"> </w:t>
            </w:r>
            <w:r w:rsidRPr="006A4A5D">
              <w:rPr>
                <w:rFonts w:cs="Arial"/>
                <w:szCs w:val="22"/>
              </w:rPr>
              <w:t>protection and nature use shall include:</w:t>
            </w:r>
          </w:p>
          <w:p w14:paraId="1257B780" w14:textId="77777777" w:rsidR="00F32236" w:rsidRDefault="00F32236" w:rsidP="009A1254">
            <w:pPr>
              <w:rPr>
                <w:rFonts w:cs="Arial"/>
                <w:szCs w:val="22"/>
              </w:rPr>
            </w:pPr>
          </w:p>
          <w:p w14:paraId="4A275F99" w14:textId="77777777" w:rsidR="00F32236" w:rsidRDefault="00F32236" w:rsidP="009A1254">
            <w:pPr>
              <w:rPr>
                <w:rFonts w:cs="Arial"/>
                <w:szCs w:val="22"/>
              </w:rPr>
            </w:pPr>
            <w:r w:rsidRPr="006A4A5D">
              <w:rPr>
                <w:rFonts w:cs="Arial"/>
                <w:szCs w:val="22"/>
              </w:rPr>
              <w:t>3) maintenance of industrial and municipal waste disposal and burial sites;</w:t>
            </w:r>
          </w:p>
        </w:tc>
        <w:tc>
          <w:tcPr>
            <w:tcW w:w="3685" w:type="dxa"/>
          </w:tcPr>
          <w:p w14:paraId="638B4FF7" w14:textId="77777777" w:rsidR="00F32236" w:rsidRPr="006A4A5D" w:rsidRDefault="00F32236" w:rsidP="009A1254">
            <w:pPr>
              <w:rPr>
                <w:rFonts w:cs="Arial"/>
                <w:szCs w:val="22"/>
              </w:rPr>
            </w:pPr>
            <w:r>
              <w:rPr>
                <w:rFonts w:cs="Arial"/>
                <w:szCs w:val="22"/>
              </w:rPr>
              <w:t>M</w:t>
            </w:r>
            <w:r w:rsidRPr="006A4A5D">
              <w:rPr>
                <w:rFonts w:cs="Arial"/>
                <w:szCs w:val="22"/>
              </w:rPr>
              <w:t>ain provisions of the</w:t>
            </w:r>
          </w:p>
          <w:p w14:paraId="72879955" w14:textId="77777777" w:rsidR="00F32236" w:rsidRPr="006A4A5D" w:rsidRDefault="00F32236" w:rsidP="009A1254">
            <w:pPr>
              <w:rPr>
                <w:rFonts w:cs="Arial"/>
                <w:szCs w:val="22"/>
              </w:rPr>
            </w:pPr>
            <w:r w:rsidRPr="006A4A5D">
              <w:rPr>
                <w:rFonts w:cs="Arial"/>
                <w:szCs w:val="22"/>
              </w:rPr>
              <w:t>Environmental Code, listed in this section,</w:t>
            </w:r>
            <w:r>
              <w:rPr>
                <w:rFonts w:cs="Arial"/>
                <w:szCs w:val="22"/>
              </w:rPr>
              <w:t xml:space="preserve"> </w:t>
            </w:r>
            <w:r w:rsidRPr="006A4A5D">
              <w:rPr>
                <w:rFonts w:cs="Arial"/>
                <w:szCs w:val="22"/>
              </w:rPr>
              <w:t>include institutional aspects of solid waste</w:t>
            </w:r>
            <w:r>
              <w:rPr>
                <w:rFonts w:cs="Arial"/>
                <w:szCs w:val="22"/>
              </w:rPr>
              <w:t xml:space="preserve"> </w:t>
            </w:r>
            <w:r w:rsidRPr="006A4A5D">
              <w:rPr>
                <w:rFonts w:cs="Arial"/>
                <w:szCs w:val="22"/>
              </w:rPr>
              <w:t>(municipal solid waste) management, both</w:t>
            </w:r>
            <w:r>
              <w:rPr>
                <w:rFonts w:cs="Arial"/>
                <w:szCs w:val="22"/>
              </w:rPr>
              <w:t xml:space="preserve"> </w:t>
            </w:r>
            <w:r w:rsidRPr="006A4A5D">
              <w:rPr>
                <w:rFonts w:cs="Arial"/>
                <w:szCs w:val="22"/>
              </w:rPr>
              <w:t>at the national and local levels.</w:t>
            </w:r>
          </w:p>
          <w:p w14:paraId="57125394" w14:textId="77777777" w:rsidR="00F32236" w:rsidRDefault="00F32236" w:rsidP="009A1254">
            <w:pPr>
              <w:rPr>
                <w:rFonts w:cs="Arial"/>
                <w:szCs w:val="22"/>
              </w:rPr>
            </w:pPr>
          </w:p>
          <w:p w14:paraId="751D3EC9" w14:textId="77777777" w:rsidR="00F32236" w:rsidRDefault="00F32236" w:rsidP="009A1254">
            <w:pPr>
              <w:rPr>
                <w:rFonts w:cs="Arial"/>
                <w:szCs w:val="22"/>
              </w:rPr>
            </w:pPr>
            <w:r w:rsidRPr="006A4A5D">
              <w:rPr>
                <w:rFonts w:cs="Arial"/>
                <w:szCs w:val="22"/>
              </w:rPr>
              <w:t>This is explicitly stated in the competences</w:t>
            </w:r>
            <w:r>
              <w:rPr>
                <w:rFonts w:cs="Arial"/>
                <w:szCs w:val="22"/>
              </w:rPr>
              <w:t xml:space="preserve"> </w:t>
            </w:r>
            <w:r w:rsidRPr="006A4A5D">
              <w:rPr>
                <w:rFonts w:cs="Arial"/>
                <w:szCs w:val="22"/>
              </w:rPr>
              <w:t>of state bodies, and implied within the</w:t>
            </w:r>
            <w:r>
              <w:rPr>
                <w:rFonts w:cs="Arial"/>
                <w:szCs w:val="22"/>
              </w:rPr>
              <w:t xml:space="preserve"> </w:t>
            </w:r>
            <w:r w:rsidRPr="006A4A5D">
              <w:rPr>
                <w:rFonts w:cs="Arial"/>
                <w:szCs w:val="22"/>
              </w:rPr>
              <w:t>scope of state regulation of MSW</w:t>
            </w:r>
            <w:r>
              <w:rPr>
                <w:rFonts w:cs="Arial"/>
                <w:szCs w:val="22"/>
              </w:rPr>
              <w:t xml:space="preserve"> management via EIA, </w:t>
            </w:r>
            <w:r w:rsidRPr="006A4A5D">
              <w:rPr>
                <w:rFonts w:cs="Arial"/>
                <w:szCs w:val="22"/>
              </w:rPr>
              <w:t>introduction of</w:t>
            </w:r>
            <w:r>
              <w:rPr>
                <w:rFonts w:cs="Arial"/>
                <w:szCs w:val="22"/>
              </w:rPr>
              <w:t xml:space="preserve"> </w:t>
            </w:r>
            <w:r w:rsidRPr="006A4A5D">
              <w:rPr>
                <w:rFonts w:cs="Arial"/>
                <w:szCs w:val="22"/>
              </w:rPr>
              <w:t>standards, issuing waste disposal permits,</w:t>
            </w:r>
            <w:r>
              <w:rPr>
                <w:rFonts w:cs="Arial"/>
                <w:szCs w:val="22"/>
              </w:rPr>
              <w:t xml:space="preserve"> </w:t>
            </w:r>
            <w:r w:rsidRPr="006A4A5D">
              <w:rPr>
                <w:rFonts w:cs="Arial"/>
                <w:szCs w:val="22"/>
              </w:rPr>
              <w:t>environmental assessment of MSW related</w:t>
            </w:r>
            <w:r>
              <w:rPr>
                <w:rFonts w:cs="Arial"/>
                <w:szCs w:val="22"/>
              </w:rPr>
              <w:t xml:space="preserve"> </w:t>
            </w:r>
            <w:r w:rsidRPr="006A4A5D">
              <w:rPr>
                <w:rFonts w:cs="Arial"/>
                <w:szCs w:val="22"/>
              </w:rPr>
              <w:t>projects and programs, public and industrial</w:t>
            </w:r>
            <w:r>
              <w:rPr>
                <w:rFonts w:cs="Arial"/>
                <w:szCs w:val="22"/>
              </w:rPr>
              <w:t xml:space="preserve"> </w:t>
            </w:r>
            <w:r w:rsidRPr="006A4A5D">
              <w:rPr>
                <w:rFonts w:cs="Arial"/>
                <w:szCs w:val="22"/>
              </w:rPr>
              <w:t>control over compliance with</w:t>
            </w:r>
            <w:r>
              <w:rPr>
                <w:rFonts w:cs="Arial"/>
                <w:szCs w:val="22"/>
              </w:rPr>
              <w:t xml:space="preserve"> </w:t>
            </w:r>
            <w:r w:rsidRPr="006A4A5D">
              <w:rPr>
                <w:rFonts w:cs="Arial"/>
                <w:szCs w:val="22"/>
              </w:rPr>
              <w:t>environmental requirements for handling,</w:t>
            </w:r>
            <w:r>
              <w:rPr>
                <w:rFonts w:cs="Arial"/>
                <w:szCs w:val="22"/>
              </w:rPr>
              <w:t xml:space="preserve"> </w:t>
            </w:r>
            <w:r w:rsidRPr="006A4A5D">
              <w:rPr>
                <w:rFonts w:cs="Arial"/>
                <w:szCs w:val="22"/>
              </w:rPr>
              <w:t>disposal and burial of MSW.</w:t>
            </w:r>
          </w:p>
        </w:tc>
      </w:tr>
      <w:tr w:rsidR="00F32236" w14:paraId="1CF6EC77" w14:textId="77777777" w:rsidTr="007D6892">
        <w:tc>
          <w:tcPr>
            <w:tcW w:w="629" w:type="dxa"/>
          </w:tcPr>
          <w:p w14:paraId="2D34EC1C" w14:textId="77777777" w:rsidR="00F32236" w:rsidRDefault="00F32236" w:rsidP="009A1254">
            <w:pPr>
              <w:rPr>
                <w:rFonts w:cs="Arial"/>
                <w:szCs w:val="22"/>
              </w:rPr>
            </w:pPr>
            <w:r>
              <w:rPr>
                <w:rFonts w:cs="Arial"/>
                <w:szCs w:val="22"/>
              </w:rPr>
              <w:t>1.2</w:t>
            </w:r>
          </w:p>
        </w:tc>
        <w:tc>
          <w:tcPr>
            <w:tcW w:w="2031" w:type="dxa"/>
          </w:tcPr>
          <w:p w14:paraId="6252A83D" w14:textId="77777777" w:rsidR="00F32236" w:rsidRDefault="00F32236" w:rsidP="009A1254">
            <w:pPr>
              <w:rPr>
                <w:rFonts w:cs="Arial"/>
                <w:szCs w:val="22"/>
              </w:rPr>
            </w:pPr>
            <w:r w:rsidRPr="00913BFB">
              <w:rPr>
                <w:rFonts w:cs="Arial"/>
                <w:szCs w:val="22"/>
              </w:rPr>
              <w:t>Article 16. Competence of</w:t>
            </w:r>
            <w:r>
              <w:rPr>
                <w:rFonts w:cs="Arial"/>
                <w:szCs w:val="22"/>
              </w:rPr>
              <w:t xml:space="preserve"> </w:t>
            </w:r>
            <w:r w:rsidRPr="00913BFB">
              <w:rPr>
                <w:rFonts w:cs="Arial"/>
                <w:szCs w:val="22"/>
              </w:rPr>
              <w:t>the Government of the</w:t>
            </w:r>
            <w:r>
              <w:rPr>
                <w:rFonts w:cs="Arial"/>
                <w:szCs w:val="22"/>
              </w:rPr>
              <w:t xml:space="preserve"> </w:t>
            </w:r>
            <w:r w:rsidRPr="00913BFB">
              <w:rPr>
                <w:rFonts w:cs="Arial"/>
                <w:szCs w:val="22"/>
              </w:rPr>
              <w:t>Republic of Kazakhstan</w:t>
            </w:r>
          </w:p>
        </w:tc>
        <w:tc>
          <w:tcPr>
            <w:tcW w:w="4111" w:type="dxa"/>
          </w:tcPr>
          <w:p w14:paraId="180D2399" w14:textId="77777777" w:rsidR="00F32236" w:rsidRPr="00913BFB" w:rsidRDefault="00F32236" w:rsidP="009A1254">
            <w:pPr>
              <w:rPr>
                <w:rFonts w:cs="Arial"/>
                <w:szCs w:val="22"/>
              </w:rPr>
            </w:pPr>
            <w:r w:rsidRPr="00913BFB">
              <w:rPr>
                <w:rFonts w:cs="Arial"/>
                <w:szCs w:val="22"/>
              </w:rPr>
              <w:t>For the purp</w:t>
            </w:r>
            <w:r>
              <w:rPr>
                <w:rFonts w:cs="Arial"/>
                <w:szCs w:val="22"/>
              </w:rPr>
              <w:t xml:space="preserve">ose of environmental protection </w:t>
            </w:r>
            <w:r w:rsidRPr="00913BFB">
              <w:rPr>
                <w:rFonts w:cs="Arial"/>
                <w:szCs w:val="22"/>
              </w:rPr>
              <w:t>and nature use, the Government</w:t>
            </w:r>
            <w:r>
              <w:rPr>
                <w:rFonts w:cs="Arial"/>
                <w:szCs w:val="22"/>
              </w:rPr>
              <w:t xml:space="preserve"> </w:t>
            </w:r>
            <w:r w:rsidRPr="00913BFB">
              <w:rPr>
                <w:rFonts w:cs="Arial"/>
                <w:szCs w:val="22"/>
              </w:rPr>
              <w:t>of the Republic of Kazakhstan shall:</w:t>
            </w:r>
          </w:p>
          <w:p w14:paraId="4B1B6C96" w14:textId="77777777" w:rsidR="00F32236" w:rsidRPr="00913BFB" w:rsidRDefault="00F32236" w:rsidP="009A1254">
            <w:pPr>
              <w:rPr>
                <w:rFonts w:cs="Arial"/>
                <w:szCs w:val="22"/>
              </w:rPr>
            </w:pPr>
            <w:r w:rsidRPr="00913BFB">
              <w:rPr>
                <w:rFonts w:cs="Arial"/>
                <w:szCs w:val="22"/>
              </w:rPr>
              <w:t>1) determine principal directions of state policy on matters of environmental</w:t>
            </w:r>
            <w:r>
              <w:rPr>
                <w:rFonts w:cs="Arial"/>
                <w:szCs w:val="22"/>
              </w:rPr>
              <w:t xml:space="preserve"> </w:t>
            </w:r>
            <w:r w:rsidRPr="00913BFB">
              <w:rPr>
                <w:rFonts w:cs="Arial"/>
                <w:szCs w:val="22"/>
              </w:rPr>
              <w:t>protection, natural resource use, and waste management, and strategic</w:t>
            </w:r>
            <w:r>
              <w:rPr>
                <w:rFonts w:cs="Arial"/>
                <w:szCs w:val="22"/>
              </w:rPr>
              <w:t xml:space="preserve"> measures for the implementation </w:t>
            </w:r>
            <w:r w:rsidRPr="00913BFB">
              <w:rPr>
                <w:rFonts w:cs="Arial"/>
                <w:szCs w:val="22"/>
              </w:rPr>
              <w:t>thereof;</w:t>
            </w:r>
          </w:p>
          <w:p w14:paraId="7621A5AF" w14:textId="77777777" w:rsidR="00F32236" w:rsidRPr="00913BFB" w:rsidRDefault="00F32236" w:rsidP="009A1254">
            <w:pPr>
              <w:rPr>
                <w:rFonts w:cs="Arial"/>
                <w:szCs w:val="22"/>
              </w:rPr>
            </w:pPr>
            <w:r w:rsidRPr="00913BFB">
              <w:rPr>
                <w:rFonts w:cs="Arial"/>
                <w:szCs w:val="22"/>
              </w:rPr>
              <w:t>3) approve various models of nature use;</w:t>
            </w:r>
          </w:p>
          <w:p w14:paraId="03DE19B2" w14:textId="77777777" w:rsidR="00F32236" w:rsidRPr="00913BFB" w:rsidRDefault="00F32236" w:rsidP="009A1254">
            <w:pPr>
              <w:rPr>
                <w:rFonts w:cs="Arial"/>
                <w:szCs w:val="22"/>
              </w:rPr>
            </w:pPr>
            <w:r w:rsidRPr="00913BFB">
              <w:rPr>
                <w:rFonts w:cs="Arial"/>
                <w:szCs w:val="22"/>
              </w:rPr>
              <w:t>5) a</w:t>
            </w:r>
            <w:r>
              <w:rPr>
                <w:rFonts w:cs="Arial"/>
                <w:szCs w:val="22"/>
              </w:rPr>
              <w:t xml:space="preserve">pprove environmental protection </w:t>
            </w:r>
            <w:r w:rsidRPr="00913BFB">
              <w:rPr>
                <w:rFonts w:cs="Arial"/>
                <w:szCs w:val="22"/>
              </w:rPr>
              <w:t>programmes at the national level and</w:t>
            </w:r>
            <w:r>
              <w:rPr>
                <w:rFonts w:cs="Arial"/>
                <w:szCs w:val="22"/>
              </w:rPr>
              <w:t xml:space="preserve"> </w:t>
            </w:r>
            <w:r w:rsidRPr="00913BFB">
              <w:rPr>
                <w:rFonts w:cs="Arial"/>
                <w:szCs w:val="22"/>
              </w:rPr>
              <w:t>those regarding specially protected natural areas;</w:t>
            </w:r>
          </w:p>
          <w:p w14:paraId="7A8C8386" w14:textId="77777777" w:rsidR="00F32236" w:rsidRPr="00913BFB" w:rsidRDefault="00F32236" w:rsidP="009A1254">
            <w:pPr>
              <w:rPr>
                <w:rFonts w:cs="Arial"/>
                <w:szCs w:val="22"/>
              </w:rPr>
            </w:pPr>
            <w:r w:rsidRPr="00913BFB">
              <w:rPr>
                <w:rFonts w:cs="Arial"/>
                <w:szCs w:val="22"/>
              </w:rPr>
              <w:t>6) for ev</w:t>
            </w:r>
            <w:r>
              <w:rPr>
                <w:rFonts w:cs="Arial"/>
                <w:szCs w:val="22"/>
              </w:rPr>
              <w:t xml:space="preserve">ery type of national resources, </w:t>
            </w:r>
            <w:r w:rsidRPr="00913BFB">
              <w:rPr>
                <w:rFonts w:cs="Arial"/>
                <w:szCs w:val="22"/>
              </w:rPr>
              <w:t>determine the procedure for keeping</w:t>
            </w:r>
            <w:r>
              <w:rPr>
                <w:rFonts w:cs="Arial"/>
                <w:szCs w:val="22"/>
              </w:rPr>
              <w:t xml:space="preserve"> </w:t>
            </w:r>
            <w:r w:rsidRPr="00913BFB">
              <w:rPr>
                <w:rFonts w:cs="Arial"/>
                <w:szCs w:val="22"/>
              </w:rPr>
              <w:t>state accounting records, state inventory, and for exercising the state</w:t>
            </w:r>
            <w:r>
              <w:rPr>
                <w:rFonts w:cs="Arial"/>
                <w:szCs w:val="22"/>
              </w:rPr>
              <w:t xml:space="preserve"> </w:t>
            </w:r>
            <w:r w:rsidRPr="00913BFB">
              <w:rPr>
                <w:rFonts w:cs="Arial"/>
                <w:szCs w:val="22"/>
              </w:rPr>
              <w:t>monitoring;</w:t>
            </w:r>
          </w:p>
          <w:p w14:paraId="7B9E9EEB" w14:textId="77777777" w:rsidR="00F32236" w:rsidRPr="00913BFB" w:rsidRDefault="00F32236" w:rsidP="009A1254">
            <w:pPr>
              <w:rPr>
                <w:rFonts w:cs="Arial"/>
                <w:szCs w:val="22"/>
              </w:rPr>
            </w:pPr>
            <w:r w:rsidRPr="00913BFB">
              <w:rPr>
                <w:rFonts w:cs="Arial"/>
                <w:szCs w:val="22"/>
              </w:rPr>
              <w:t>7) approve:</w:t>
            </w:r>
          </w:p>
          <w:p w14:paraId="0F43854D" w14:textId="77777777" w:rsidR="00F32236" w:rsidRPr="00913BFB" w:rsidRDefault="00F32236" w:rsidP="007D6892">
            <w:pPr>
              <w:pStyle w:val="ListParagraph"/>
              <w:numPr>
                <w:ilvl w:val="0"/>
                <w:numId w:val="47"/>
              </w:numPr>
              <w:contextualSpacing/>
              <w:rPr>
                <w:rFonts w:ascii="Arial" w:hAnsi="Arial" w:cs="Arial"/>
                <w:sz w:val="22"/>
                <w:szCs w:val="22"/>
              </w:rPr>
            </w:pPr>
            <w:r w:rsidRPr="00913BFB">
              <w:rPr>
                <w:rFonts w:ascii="Arial" w:hAnsi="Arial" w:cs="Arial"/>
                <w:sz w:val="22"/>
                <w:szCs w:val="22"/>
              </w:rPr>
              <w:t>technical regulations in the area of environmental protection;</w:t>
            </w:r>
          </w:p>
          <w:p w14:paraId="2C5D8C0D" w14:textId="77777777" w:rsidR="00F32236" w:rsidRPr="00913BFB" w:rsidRDefault="00F32236" w:rsidP="007D6892">
            <w:pPr>
              <w:pStyle w:val="ListParagraph"/>
              <w:numPr>
                <w:ilvl w:val="0"/>
                <w:numId w:val="47"/>
              </w:numPr>
              <w:contextualSpacing/>
              <w:rPr>
                <w:rFonts w:ascii="Arial" w:hAnsi="Arial" w:cs="Arial"/>
                <w:sz w:val="22"/>
                <w:szCs w:val="22"/>
              </w:rPr>
            </w:pPr>
            <w:r w:rsidRPr="00913BFB">
              <w:rPr>
                <w:rFonts w:ascii="Arial" w:hAnsi="Arial" w:cs="Arial"/>
                <w:sz w:val="22"/>
                <w:szCs w:val="22"/>
              </w:rPr>
              <w:t>lists of best available technologies;</w:t>
            </w:r>
          </w:p>
          <w:p w14:paraId="1BD2A797" w14:textId="77777777" w:rsidR="00F32236" w:rsidRPr="00913BFB" w:rsidRDefault="00F32236" w:rsidP="007D6892">
            <w:pPr>
              <w:pStyle w:val="ListParagraph"/>
              <w:numPr>
                <w:ilvl w:val="0"/>
                <w:numId w:val="47"/>
              </w:numPr>
              <w:contextualSpacing/>
              <w:rPr>
                <w:rFonts w:ascii="Arial" w:hAnsi="Arial" w:cs="Arial"/>
                <w:sz w:val="22"/>
                <w:szCs w:val="22"/>
              </w:rPr>
            </w:pPr>
            <w:r w:rsidRPr="00913BFB">
              <w:rPr>
                <w:rFonts w:ascii="Arial" w:hAnsi="Arial" w:cs="Arial"/>
                <w:sz w:val="22"/>
                <w:szCs w:val="22"/>
              </w:rPr>
              <w:t>a list of pollutants and types of waste, for which emission standards are established and charges for emissions are imposed;</w:t>
            </w:r>
          </w:p>
          <w:p w14:paraId="7B740FAA" w14:textId="77777777" w:rsidR="00F32236" w:rsidRPr="00913BFB" w:rsidRDefault="00F32236" w:rsidP="007D6892">
            <w:pPr>
              <w:pStyle w:val="ListParagraph"/>
              <w:numPr>
                <w:ilvl w:val="0"/>
                <w:numId w:val="47"/>
              </w:numPr>
              <w:contextualSpacing/>
              <w:rPr>
                <w:rFonts w:ascii="Arial" w:hAnsi="Arial" w:cs="Arial"/>
                <w:sz w:val="22"/>
                <w:szCs w:val="22"/>
              </w:rPr>
            </w:pPr>
            <w:r w:rsidRPr="00913BFB">
              <w:rPr>
                <w:rFonts w:ascii="Arial" w:hAnsi="Arial" w:cs="Arial"/>
                <w:sz w:val="22"/>
                <w:szCs w:val="22"/>
              </w:rPr>
              <w:t>a procedure for the formation of abandonment funds for waste landfills;</w:t>
            </w:r>
          </w:p>
          <w:p w14:paraId="2E89D55C" w14:textId="77777777" w:rsidR="00F32236" w:rsidRPr="00913BFB" w:rsidRDefault="00F32236" w:rsidP="007D6892">
            <w:pPr>
              <w:pStyle w:val="ListParagraph"/>
              <w:numPr>
                <w:ilvl w:val="0"/>
                <w:numId w:val="47"/>
              </w:numPr>
              <w:contextualSpacing/>
              <w:rPr>
                <w:rFonts w:ascii="Arial" w:hAnsi="Arial" w:cs="Arial"/>
                <w:sz w:val="22"/>
                <w:szCs w:val="22"/>
              </w:rPr>
            </w:pPr>
            <w:r w:rsidRPr="00913BFB">
              <w:rPr>
                <w:rFonts w:ascii="Arial" w:hAnsi="Arial" w:cs="Arial"/>
                <w:sz w:val="22"/>
                <w:szCs w:val="22"/>
              </w:rPr>
              <w:t>a procedure for import, export, and transit of waste.</w:t>
            </w:r>
          </w:p>
        </w:tc>
        <w:tc>
          <w:tcPr>
            <w:tcW w:w="3685" w:type="dxa"/>
          </w:tcPr>
          <w:p w14:paraId="78CAF3C6" w14:textId="77777777" w:rsidR="00F32236" w:rsidRDefault="00F32236" w:rsidP="009A1254">
            <w:pPr>
              <w:rPr>
                <w:rFonts w:cs="Arial"/>
                <w:szCs w:val="22"/>
              </w:rPr>
            </w:pPr>
          </w:p>
        </w:tc>
      </w:tr>
      <w:tr w:rsidR="00F32236" w14:paraId="2E12EFAD" w14:textId="77777777" w:rsidTr="007D6892">
        <w:tc>
          <w:tcPr>
            <w:tcW w:w="629" w:type="dxa"/>
          </w:tcPr>
          <w:p w14:paraId="47DA5CAF" w14:textId="77777777" w:rsidR="00F32236" w:rsidRDefault="00F32236" w:rsidP="009A1254">
            <w:pPr>
              <w:rPr>
                <w:rFonts w:cs="Arial"/>
                <w:szCs w:val="22"/>
              </w:rPr>
            </w:pPr>
            <w:r>
              <w:rPr>
                <w:rFonts w:cs="Arial"/>
                <w:szCs w:val="22"/>
              </w:rPr>
              <w:t>1.3</w:t>
            </w:r>
          </w:p>
        </w:tc>
        <w:tc>
          <w:tcPr>
            <w:tcW w:w="2031" w:type="dxa"/>
          </w:tcPr>
          <w:p w14:paraId="1F227C0B" w14:textId="77777777" w:rsidR="00F32236" w:rsidRDefault="00F32236" w:rsidP="009A1254">
            <w:pPr>
              <w:rPr>
                <w:rFonts w:cs="Arial"/>
                <w:szCs w:val="22"/>
              </w:rPr>
            </w:pPr>
            <w:r w:rsidRPr="00E14353">
              <w:rPr>
                <w:rFonts w:cs="Arial"/>
                <w:szCs w:val="22"/>
              </w:rPr>
              <w:t>Article 17. Competence of</w:t>
            </w:r>
            <w:r>
              <w:rPr>
                <w:rFonts w:cs="Arial"/>
                <w:szCs w:val="22"/>
              </w:rPr>
              <w:t xml:space="preserve"> </w:t>
            </w:r>
            <w:r w:rsidRPr="00E14353">
              <w:rPr>
                <w:rFonts w:cs="Arial"/>
                <w:szCs w:val="22"/>
              </w:rPr>
              <w:t>the Environmental</w:t>
            </w:r>
            <w:r>
              <w:rPr>
                <w:rFonts w:cs="Arial"/>
                <w:szCs w:val="22"/>
              </w:rPr>
              <w:t xml:space="preserve"> </w:t>
            </w:r>
            <w:r w:rsidRPr="00E14353">
              <w:rPr>
                <w:rFonts w:cs="Arial"/>
                <w:szCs w:val="22"/>
              </w:rPr>
              <w:t>Protection Authority</w:t>
            </w:r>
          </w:p>
        </w:tc>
        <w:tc>
          <w:tcPr>
            <w:tcW w:w="4111" w:type="dxa"/>
          </w:tcPr>
          <w:p w14:paraId="08FD7D01" w14:textId="77777777" w:rsidR="00F32236" w:rsidRPr="00E14353" w:rsidRDefault="00F32236" w:rsidP="009A1254">
            <w:pPr>
              <w:rPr>
                <w:rFonts w:cs="Arial"/>
                <w:szCs w:val="22"/>
              </w:rPr>
            </w:pPr>
            <w:r w:rsidRPr="00E14353">
              <w:rPr>
                <w:rFonts w:cs="Arial"/>
                <w:szCs w:val="22"/>
              </w:rPr>
              <w:t>The environmental protection authority shall:</w:t>
            </w:r>
          </w:p>
          <w:p w14:paraId="7FB13C04" w14:textId="77777777" w:rsidR="00F32236" w:rsidRPr="00E14353" w:rsidRDefault="00F32236" w:rsidP="009A1254">
            <w:pPr>
              <w:rPr>
                <w:rFonts w:cs="Arial"/>
                <w:szCs w:val="22"/>
              </w:rPr>
            </w:pPr>
            <w:r w:rsidRPr="00E14353">
              <w:rPr>
                <w:rFonts w:cs="Arial"/>
                <w:szCs w:val="22"/>
              </w:rPr>
              <w:t>1) pursue a</w:t>
            </w:r>
            <w:r>
              <w:rPr>
                <w:rFonts w:cs="Arial"/>
                <w:szCs w:val="22"/>
              </w:rPr>
              <w:t xml:space="preserve"> uniform national environmental </w:t>
            </w:r>
            <w:r w:rsidRPr="00E14353">
              <w:rPr>
                <w:rFonts w:cs="Arial"/>
                <w:szCs w:val="22"/>
              </w:rPr>
              <w:t>policy and organize the</w:t>
            </w:r>
            <w:r>
              <w:rPr>
                <w:rFonts w:cs="Arial"/>
                <w:szCs w:val="22"/>
              </w:rPr>
              <w:t xml:space="preserve"> </w:t>
            </w:r>
            <w:r w:rsidRPr="00E14353">
              <w:rPr>
                <w:rFonts w:cs="Arial"/>
                <w:szCs w:val="22"/>
              </w:rPr>
              <w:t>implementation of environmental protection programmes;</w:t>
            </w:r>
          </w:p>
          <w:p w14:paraId="4D586F8C" w14:textId="77777777" w:rsidR="00F32236" w:rsidRPr="00E14353" w:rsidRDefault="00F32236" w:rsidP="009A1254">
            <w:pPr>
              <w:rPr>
                <w:rFonts w:cs="Arial"/>
                <w:szCs w:val="22"/>
              </w:rPr>
            </w:pPr>
            <w:r w:rsidRPr="00E14353">
              <w:rPr>
                <w:rFonts w:cs="Arial"/>
                <w:szCs w:val="22"/>
              </w:rPr>
              <w:t xml:space="preserve">2) within its competence, coordinate the </w:t>
            </w:r>
            <w:r>
              <w:rPr>
                <w:rFonts w:cs="Arial"/>
                <w:szCs w:val="22"/>
              </w:rPr>
              <w:t xml:space="preserve">activities of central and local </w:t>
            </w:r>
            <w:r w:rsidRPr="00E14353">
              <w:rPr>
                <w:rFonts w:cs="Arial"/>
                <w:szCs w:val="22"/>
              </w:rPr>
              <w:t>executive agencies in relation to environmental protection;</w:t>
            </w:r>
          </w:p>
          <w:p w14:paraId="54BC1EB5" w14:textId="77777777" w:rsidR="00F32236" w:rsidRPr="00E14353" w:rsidRDefault="00F32236" w:rsidP="009A1254">
            <w:pPr>
              <w:rPr>
                <w:rFonts w:cs="Arial"/>
                <w:szCs w:val="22"/>
              </w:rPr>
            </w:pPr>
            <w:r w:rsidRPr="00E14353">
              <w:rPr>
                <w:rFonts w:cs="Arial"/>
                <w:szCs w:val="22"/>
              </w:rPr>
              <w:t>5) within its competence, approve or consent to envir</w:t>
            </w:r>
            <w:r>
              <w:rPr>
                <w:rFonts w:cs="Arial"/>
                <w:szCs w:val="22"/>
              </w:rPr>
              <w:t xml:space="preserve">onmental standards and </w:t>
            </w:r>
            <w:r w:rsidRPr="00E14353">
              <w:rPr>
                <w:rFonts w:cs="Arial"/>
                <w:szCs w:val="22"/>
              </w:rPr>
              <w:t>environmental requirements with regard to business and other activities;</w:t>
            </w:r>
          </w:p>
          <w:p w14:paraId="4FF2DF38" w14:textId="77777777" w:rsidR="00F32236" w:rsidRPr="00E14353" w:rsidRDefault="00F32236" w:rsidP="009A1254">
            <w:pPr>
              <w:rPr>
                <w:rFonts w:cs="Arial"/>
                <w:szCs w:val="22"/>
              </w:rPr>
            </w:pPr>
            <w:r w:rsidRPr="00E14353">
              <w:rPr>
                <w:rFonts w:cs="Arial"/>
                <w:szCs w:val="22"/>
              </w:rPr>
              <w:t>6) d</w:t>
            </w:r>
            <w:r>
              <w:rPr>
                <w:rFonts w:cs="Arial"/>
                <w:szCs w:val="22"/>
              </w:rPr>
              <w:t xml:space="preserve">evelop programmes for achieving </w:t>
            </w:r>
            <w:r w:rsidRPr="00E14353">
              <w:rPr>
                <w:rFonts w:cs="Arial"/>
                <w:szCs w:val="22"/>
              </w:rPr>
              <w:t>environmental quality goals;</w:t>
            </w:r>
          </w:p>
          <w:p w14:paraId="336A3C8A" w14:textId="77777777" w:rsidR="00F32236" w:rsidRPr="00E14353" w:rsidRDefault="00F32236" w:rsidP="009A1254">
            <w:pPr>
              <w:rPr>
                <w:rFonts w:cs="Arial"/>
                <w:szCs w:val="22"/>
              </w:rPr>
            </w:pPr>
            <w:r w:rsidRPr="00E14353">
              <w:rPr>
                <w:rFonts w:cs="Arial"/>
                <w:szCs w:val="22"/>
              </w:rPr>
              <w:t>7) consent to regional programmes and action</w:t>
            </w:r>
            <w:r>
              <w:rPr>
                <w:rFonts w:cs="Arial"/>
                <w:szCs w:val="22"/>
              </w:rPr>
              <w:t xml:space="preserve"> plans related to environmental </w:t>
            </w:r>
            <w:r w:rsidRPr="00E14353">
              <w:rPr>
                <w:rFonts w:cs="Arial"/>
                <w:szCs w:val="22"/>
              </w:rPr>
              <w:t>protection;</w:t>
            </w:r>
          </w:p>
          <w:p w14:paraId="0DA141C5" w14:textId="77777777" w:rsidR="00F32236" w:rsidRPr="00E14353" w:rsidRDefault="00F32236" w:rsidP="009A1254">
            <w:pPr>
              <w:rPr>
                <w:rFonts w:cs="Arial"/>
                <w:szCs w:val="22"/>
              </w:rPr>
            </w:pPr>
            <w:r w:rsidRPr="00E14353">
              <w:rPr>
                <w:rFonts w:cs="Arial"/>
                <w:szCs w:val="22"/>
              </w:rPr>
              <w:t>9) exercise the state environmental control;</w:t>
            </w:r>
          </w:p>
          <w:p w14:paraId="7E64C88D" w14:textId="77777777" w:rsidR="00F32236" w:rsidRPr="00E14353" w:rsidRDefault="00F32236" w:rsidP="009A1254">
            <w:pPr>
              <w:rPr>
                <w:rFonts w:cs="Arial"/>
                <w:szCs w:val="22"/>
              </w:rPr>
            </w:pPr>
            <w:r w:rsidRPr="00E14353">
              <w:rPr>
                <w:rFonts w:cs="Arial"/>
                <w:szCs w:val="22"/>
              </w:rPr>
              <w:t xml:space="preserve">17) </w:t>
            </w:r>
            <w:r>
              <w:rPr>
                <w:rFonts w:cs="Arial"/>
                <w:szCs w:val="22"/>
              </w:rPr>
              <w:t xml:space="preserve">organize and maintain </w:t>
            </w:r>
            <w:r w:rsidRPr="00E14353">
              <w:rPr>
                <w:rFonts w:cs="Arial"/>
                <w:szCs w:val="22"/>
              </w:rPr>
              <w:t>the State Registr</w:t>
            </w:r>
            <w:r>
              <w:rPr>
                <w:rFonts w:cs="Arial"/>
                <w:szCs w:val="22"/>
              </w:rPr>
              <w:t xml:space="preserve">y of Industrial and Consumption </w:t>
            </w:r>
            <w:r w:rsidRPr="00E14353">
              <w:rPr>
                <w:rFonts w:cs="Arial"/>
                <w:szCs w:val="22"/>
              </w:rPr>
              <w:t>Waste;</w:t>
            </w:r>
          </w:p>
          <w:p w14:paraId="7B6ECCF1" w14:textId="77777777" w:rsidR="00F32236" w:rsidRPr="00E14353" w:rsidRDefault="00F32236" w:rsidP="009A1254">
            <w:pPr>
              <w:rPr>
                <w:rFonts w:cs="Arial"/>
                <w:szCs w:val="22"/>
              </w:rPr>
            </w:pPr>
            <w:r w:rsidRPr="00E14353">
              <w:rPr>
                <w:rFonts w:cs="Arial"/>
                <w:szCs w:val="22"/>
              </w:rPr>
              <w:t>24) develop lists of best available technologies</w:t>
            </w:r>
            <w:r>
              <w:rPr>
                <w:rFonts w:cs="Arial"/>
                <w:szCs w:val="22"/>
              </w:rPr>
              <w:t xml:space="preserve"> and organize maintenance of a </w:t>
            </w:r>
            <w:r w:rsidRPr="00E14353">
              <w:rPr>
                <w:rFonts w:cs="Arial"/>
                <w:szCs w:val="22"/>
              </w:rPr>
              <w:t>register thereof;</w:t>
            </w:r>
          </w:p>
          <w:p w14:paraId="64B94657" w14:textId="77777777" w:rsidR="00F32236" w:rsidRPr="00E14353" w:rsidRDefault="00F32236" w:rsidP="009A1254">
            <w:pPr>
              <w:rPr>
                <w:rFonts w:cs="Arial"/>
                <w:szCs w:val="22"/>
              </w:rPr>
            </w:pPr>
            <w:r>
              <w:rPr>
                <w:rFonts w:cs="Arial"/>
                <w:szCs w:val="22"/>
              </w:rPr>
              <w:t>24-1) maintain the register of t</w:t>
            </w:r>
            <w:r w:rsidRPr="00E14353">
              <w:rPr>
                <w:rFonts w:cs="Arial"/>
                <w:szCs w:val="22"/>
              </w:rPr>
              <w:t>echnologies, machines and equipment</w:t>
            </w:r>
            <w:r>
              <w:rPr>
                <w:rFonts w:cs="Arial"/>
                <w:szCs w:val="22"/>
              </w:rPr>
              <w:t xml:space="preserve"> </w:t>
            </w:r>
            <w:r w:rsidRPr="00E14353">
              <w:rPr>
                <w:rFonts w:cs="Arial"/>
                <w:szCs w:val="22"/>
              </w:rPr>
              <w:t>hazardous for the environment;</w:t>
            </w:r>
          </w:p>
          <w:p w14:paraId="32CC5D22" w14:textId="77777777" w:rsidR="00F32236" w:rsidRPr="00E14353" w:rsidRDefault="00F32236" w:rsidP="009A1254">
            <w:pPr>
              <w:rPr>
                <w:rFonts w:cs="Arial"/>
                <w:szCs w:val="22"/>
              </w:rPr>
            </w:pPr>
            <w:r w:rsidRPr="00E14353">
              <w:rPr>
                <w:rFonts w:cs="Arial"/>
                <w:szCs w:val="22"/>
              </w:rPr>
              <w:t>25) determine lists of waste to be placed in landfills of various types;</w:t>
            </w:r>
          </w:p>
          <w:p w14:paraId="651DBFE9" w14:textId="77777777" w:rsidR="00F32236" w:rsidRPr="00E14353" w:rsidRDefault="00F32236" w:rsidP="009A1254">
            <w:pPr>
              <w:rPr>
                <w:rFonts w:cs="Arial"/>
                <w:szCs w:val="22"/>
              </w:rPr>
            </w:pPr>
            <w:r w:rsidRPr="00E14353">
              <w:rPr>
                <w:rFonts w:cs="Arial"/>
                <w:szCs w:val="22"/>
              </w:rPr>
              <w:t>26) develop technical regulati</w:t>
            </w:r>
            <w:r>
              <w:rPr>
                <w:rFonts w:cs="Arial"/>
                <w:szCs w:val="22"/>
              </w:rPr>
              <w:t xml:space="preserve">ons on </w:t>
            </w:r>
            <w:r w:rsidRPr="00E14353">
              <w:rPr>
                <w:rFonts w:cs="Arial"/>
                <w:szCs w:val="22"/>
              </w:rPr>
              <w:t>environmental protection;</w:t>
            </w:r>
          </w:p>
          <w:p w14:paraId="41583053" w14:textId="77777777" w:rsidR="00F32236" w:rsidRPr="00E14353" w:rsidRDefault="00F32236" w:rsidP="009A1254">
            <w:pPr>
              <w:rPr>
                <w:rFonts w:cs="Arial"/>
                <w:szCs w:val="22"/>
              </w:rPr>
            </w:pPr>
            <w:r w:rsidRPr="00E14353">
              <w:rPr>
                <w:rFonts w:cs="Arial"/>
                <w:szCs w:val="22"/>
              </w:rPr>
              <w:t xml:space="preserve">27) develop and approve forms of documents </w:t>
            </w:r>
            <w:r>
              <w:rPr>
                <w:rFonts w:cs="Arial"/>
                <w:szCs w:val="22"/>
              </w:rPr>
              <w:t xml:space="preserve">related to the organization and </w:t>
            </w:r>
            <w:r w:rsidRPr="00E14353">
              <w:rPr>
                <w:rFonts w:cs="Arial"/>
                <w:szCs w:val="22"/>
              </w:rPr>
              <w:t>implementation of the government environmental control;</w:t>
            </w:r>
          </w:p>
          <w:p w14:paraId="6F42C275" w14:textId="77777777" w:rsidR="00F32236" w:rsidRPr="00E14353" w:rsidRDefault="00F32236" w:rsidP="009A1254">
            <w:pPr>
              <w:rPr>
                <w:rFonts w:cs="Arial"/>
                <w:szCs w:val="22"/>
              </w:rPr>
            </w:pPr>
            <w:r w:rsidRPr="00E14353">
              <w:rPr>
                <w:rFonts w:cs="Arial"/>
                <w:szCs w:val="22"/>
              </w:rPr>
              <w:t>28) develop and approve instructional and</w:t>
            </w:r>
            <w:r>
              <w:rPr>
                <w:rFonts w:cs="Arial"/>
                <w:szCs w:val="22"/>
              </w:rPr>
              <w:t xml:space="preserve"> procedural documents regarding </w:t>
            </w:r>
            <w:r w:rsidRPr="00E14353">
              <w:rPr>
                <w:rFonts w:cs="Arial"/>
                <w:szCs w:val="22"/>
              </w:rPr>
              <w:t>the conduct of the environmental impact assessment and state environmental</w:t>
            </w:r>
            <w:r>
              <w:rPr>
                <w:rFonts w:cs="Arial"/>
                <w:szCs w:val="22"/>
              </w:rPr>
              <w:t xml:space="preserve"> </w:t>
            </w:r>
            <w:r w:rsidRPr="00E14353">
              <w:rPr>
                <w:rFonts w:cs="Arial"/>
                <w:szCs w:val="22"/>
              </w:rPr>
              <w:t>review, including a procedure for conducting the state environmental review;</w:t>
            </w:r>
          </w:p>
          <w:p w14:paraId="6F2AE854" w14:textId="77777777" w:rsidR="00F32236" w:rsidRPr="00E14353" w:rsidRDefault="00F32236" w:rsidP="009A1254">
            <w:pPr>
              <w:rPr>
                <w:rFonts w:cs="Arial"/>
                <w:szCs w:val="22"/>
              </w:rPr>
            </w:pPr>
            <w:r w:rsidRPr="00E14353">
              <w:rPr>
                <w:rFonts w:cs="Arial"/>
                <w:szCs w:val="22"/>
              </w:rPr>
              <w:t>33) cooperate internationally in the area of environmental protection;</w:t>
            </w:r>
          </w:p>
          <w:p w14:paraId="5C1FD906" w14:textId="77777777" w:rsidR="00F32236" w:rsidRDefault="00F32236" w:rsidP="009A1254">
            <w:pPr>
              <w:rPr>
                <w:rFonts w:cs="Arial"/>
                <w:szCs w:val="22"/>
              </w:rPr>
            </w:pPr>
            <w:r w:rsidRPr="00E14353">
              <w:rPr>
                <w:rFonts w:cs="Arial"/>
                <w:szCs w:val="22"/>
              </w:rPr>
              <w:t>34) enter into agreements and memoran</w:t>
            </w:r>
            <w:r>
              <w:rPr>
                <w:rFonts w:cs="Arial"/>
                <w:szCs w:val="22"/>
              </w:rPr>
              <w:t xml:space="preserve">da in relation to environmental </w:t>
            </w:r>
            <w:r w:rsidRPr="00E14353">
              <w:rPr>
                <w:rFonts w:cs="Arial"/>
                <w:szCs w:val="22"/>
              </w:rPr>
              <w:t>protection;</w:t>
            </w:r>
          </w:p>
        </w:tc>
        <w:tc>
          <w:tcPr>
            <w:tcW w:w="3685" w:type="dxa"/>
          </w:tcPr>
          <w:p w14:paraId="4CD5946B" w14:textId="77777777" w:rsidR="00F32236" w:rsidRPr="00E14353" w:rsidRDefault="00F32236" w:rsidP="009A1254">
            <w:pPr>
              <w:rPr>
                <w:rFonts w:cs="Arial"/>
                <w:szCs w:val="22"/>
              </w:rPr>
            </w:pPr>
            <w:r w:rsidRPr="00E14353">
              <w:rPr>
                <w:rFonts w:cs="Arial"/>
                <w:szCs w:val="22"/>
              </w:rPr>
              <w:t>Local executive bodies, the environmental</w:t>
            </w:r>
            <w:r>
              <w:rPr>
                <w:rFonts w:cs="Arial"/>
                <w:szCs w:val="22"/>
              </w:rPr>
              <w:t xml:space="preserve"> </w:t>
            </w:r>
            <w:r w:rsidRPr="00E14353">
              <w:rPr>
                <w:rFonts w:cs="Arial"/>
                <w:szCs w:val="22"/>
              </w:rPr>
              <w:t>protection authority and the state sanitary</w:t>
            </w:r>
          </w:p>
          <w:p w14:paraId="38ABB386" w14:textId="77777777" w:rsidR="00F32236" w:rsidRDefault="00F32236" w:rsidP="009A1254">
            <w:pPr>
              <w:rPr>
                <w:rFonts w:cs="Arial"/>
                <w:szCs w:val="22"/>
              </w:rPr>
            </w:pPr>
            <w:r w:rsidRPr="00E14353">
              <w:rPr>
                <w:rFonts w:cs="Arial"/>
                <w:szCs w:val="22"/>
              </w:rPr>
              <w:t>and epidemiological authority monitor</w:t>
            </w:r>
            <w:r>
              <w:rPr>
                <w:rFonts w:cs="Arial"/>
                <w:szCs w:val="22"/>
              </w:rPr>
              <w:t xml:space="preserve"> </w:t>
            </w:r>
            <w:r w:rsidRPr="00E14353">
              <w:rPr>
                <w:rFonts w:cs="Arial"/>
                <w:szCs w:val="22"/>
              </w:rPr>
              <w:t>compliance with environmental</w:t>
            </w:r>
            <w:r>
              <w:rPr>
                <w:rFonts w:cs="Arial"/>
                <w:szCs w:val="22"/>
              </w:rPr>
              <w:t xml:space="preserve"> </w:t>
            </w:r>
            <w:r w:rsidRPr="00E14353">
              <w:rPr>
                <w:rFonts w:cs="Arial"/>
                <w:szCs w:val="22"/>
              </w:rPr>
              <w:t>requirements for handling MSW.</w:t>
            </w:r>
          </w:p>
        </w:tc>
      </w:tr>
      <w:tr w:rsidR="00F32236" w14:paraId="1D3B47A4" w14:textId="77777777" w:rsidTr="007D6892">
        <w:tc>
          <w:tcPr>
            <w:tcW w:w="629" w:type="dxa"/>
          </w:tcPr>
          <w:p w14:paraId="27818B14" w14:textId="77777777" w:rsidR="00F32236" w:rsidRDefault="00F32236" w:rsidP="009A1254">
            <w:pPr>
              <w:rPr>
                <w:rFonts w:cs="Arial"/>
                <w:szCs w:val="22"/>
              </w:rPr>
            </w:pPr>
            <w:r>
              <w:rPr>
                <w:rFonts w:cs="Arial"/>
                <w:szCs w:val="22"/>
              </w:rPr>
              <w:t>1.4</w:t>
            </w:r>
          </w:p>
        </w:tc>
        <w:tc>
          <w:tcPr>
            <w:tcW w:w="2031" w:type="dxa"/>
          </w:tcPr>
          <w:p w14:paraId="2FC13FD4" w14:textId="77777777" w:rsidR="00F32236" w:rsidRPr="006F3E29" w:rsidRDefault="00F32236" w:rsidP="009A1254">
            <w:pPr>
              <w:rPr>
                <w:rFonts w:cs="Arial"/>
                <w:szCs w:val="22"/>
              </w:rPr>
            </w:pPr>
            <w:r w:rsidRPr="006F3E29">
              <w:rPr>
                <w:rFonts w:cs="Arial"/>
                <w:szCs w:val="22"/>
              </w:rPr>
              <w:t>Article 19. Competence of</w:t>
            </w:r>
            <w:r>
              <w:rPr>
                <w:rFonts w:cs="Arial"/>
                <w:szCs w:val="22"/>
              </w:rPr>
              <w:t xml:space="preserve"> </w:t>
            </w:r>
            <w:r w:rsidRPr="006F3E29">
              <w:rPr>
                <w:rFonts w:cs="Arial"/>
                <w:szCs w:val="22"/>
              </w:rPr>
              <w:t>Local Representative</w:t>
            </w:r>
            <w:r>
              <w:rPr>
                <w:rFonts w:cs="Arial"/>
                <w:szCs w:val="22"/>
              </w:rPr>
              <w:t xml:space="preserve"> </w:t>
            </w:r>
            <w:r w:rsidRPr="006F3E29">
              <w:rPr>
                <w:rFonts w:cs="Arial"/>
                <w:szCs w:val="22"/>
              </w:rPr>
              <w:t>Bodies of oblasts (of the</w:t>
            </w:r>
          </w:p>
          <w:p w14:paraId="23BA7F62" w14:textId="77777777" w:rsidR="00F32236" w:rsidRDefault="00F32236" w:rsidP="009A1254">
            <w:pPr>
              <w:rPr>
                <w:rFonts w:cs="Arial"/>
                <w:szCs w:val="22"/>
              </w:rPr>
            </w:pPr>
            <w:r w:rsidRPr="006F3E29">
              <w:rPr>
                <w:rFonts w:cs="Arial"/>
                <w:szCs w:val="22"/>
              </w:rPr>
              <w:t>City of National</w:t>
            </w:r>
            <w:r>
              <w:rPr>
                <w:rFonts w:cs="Arial"/>
                <w:szCs w:val="22"/>
              </w:rPr>
              <w:t xml:space="preserve"> </w:t>
            </w:r>
            <w:r w:rsidRPr="006F3E29">
              <w:rPr>
                <w:rFonts w:cs="Arial"/>
                <w:szCs w:val="22"/>
              </w:rPr>
              <w:t>Significance, and of the</w:t>
            </w:r>
            <w:r>
              <w:rPr>
                <w:rFonts w:cs="Arial"/>
                <w:szCs w:val="22"/>
              </w:rPr>
              <w:t xml:space="preserve"> </w:t>
            </w:r>
            <w:r w:rsidRPr="006F3E29">
              <w:rPr>
                <w:rFonts w:cs="Arial"/>
                <w:szCs w:val="22"/>
              </w:rPr>
              <w:t>capital) for Environmental</w:t>
            </w:r>
            <w:r>
              <w:rPr>
                <w:rFonts w:cs="Arial"/>
                <w:szCs w:val="22"/>
              </w:rPr>
              <w:t xml:space="preserve"> </w:t>
            </w:r>
            <w:r w:rsidRPr="006F3E29">
              <w:rPr>
                <w:rFonts w:cs="Arial"/>
                <w:szCs w:val="22"/>
              </w:rPr>
              <w:t>Protection</w:t>
            </w:r>
          </w:p>
        </w:tc>
        <w:tc>
          <w:tcPr>
            <w:tcW w:w="4111" w:type="dxa"/>
          </w:tcPr>
          <w:p w14:paraId="44B5A480" w14:textId="77777777" w:rsidR="00F32236" w:rsidRPr="006F3E29" w:rsidRDefault="00F32236" w:rsidP="009A1254">
            <w:pPr>
              <w:rPr>
                <w:rFonts w:cs="Arial"/>
                <w:szCs w:val="22"/>
              </w:rPr>
            </w:pPr>
            <w:r w:rsidRPr="006F3E29">
              <w:rPr>
                <w:rFonts w:cs="Arial"/>
                <w:szCs w:val="22"/>
              </w:rPr>
              <w:t>Local representative bodies of oblasts (of the city of national significance,</w:t>
            </w:r>
          </w:p>
          <w:p w14:paraId="07748A6F" w14:textId="77777777" w:rsidR="00F32236" w:rsidRPr="006F3E29" w:rsidRDefault="00F32236" w:rsidP="009A1254">
            <w:pPr>
              <w:rPr>
                <w:rFonts w:cs="Arial"/>
                <w:szCs w:val="22"/>
              </w:rPr>
            </w:pPr>
            <w:r w:rsidRPr="006F3E29">
              <w:rPr>
                <w:rFonts w:cs="Arial"/>
                <w:szCs w:val="22"/>
              </w:rPr>
              <w:t>and of the capital) (hereinafter, the “local representative bodies”) for</w:t>
            </w:r>
          </w:p>
          <w:p w14:paraId="1CEF8630" w14:textId="77777777" w:rsidR="00F32236" w:rsidRPr="006F3E29" w:rsidRDefault="00F32236" w:rsidP="009A1254">
            <w:pPr>
              <w:rPr>
                <w:rFonts w:cs="Arial"/>
                <w:szCs w:val="22"/>
              </w:rPr>
            </w:pPr>
            <w:r w:rsidRPr="006F3E29">
              <w:rPr>
                <w:rFonts w:cs="Arial"/>
                <w:szCs w:val="22"/>
              </w:rPr>
              <w:t>environmental protection shall:</w:t>
            </w:r>
          </w:p>
          <w:p w14:paraId="2BFBAC51" w14:textId="77777777" w:rsidR="00F32236" w:rsidRPr="006F3E29" w:rsidRDefault="00F32236" w:rsidP="009A1254">
            <w:pPr>
              <w:rPr>
                <w:rFonts w:cs="Arial"/>
                <w:szCs w:val="22"/>
              </w:rPr>
            </w:pPr>
            <w:r w:rsidRPr="006F3E29">
              <w:rPr>
                <w:rFonts w:cs="Arial"/>
                <w:szCs w:val="22"/>
              </w:rPr>
              <w:t>1) approve programmes for environmental protection and nature use to be</w:t>
            </w:r>
            <w:r>
              <w:rPr>
                <w:rFonts w:cs="Arial"/>
                <w:szCs w:val="22"/>
              </w:rPr>
              <w:t xml:space="preserve"> </w:t>
            </w:r>
            <w:r w:rsidRPr="006F3E29">
              <w:rPr>
                <w:rFonts w:cs="Arial"/>
                <w:szCs w:val="22"/>
              </w:rPr>
              <w:t>implemented within their respective territories, and also budgets for the</w:t>
            </w:r>
          </w:p>
          <w:p w14:paraId="710E60D6" w14:textId="77777777" w:rsidR="00F32236" w:rsidRPr="006F3E29" w:rsidRDefault="00F32236" w:rsidP="009A1254">
            <w:pPr>
              <w:rPr>
                <w:rFonts w:cs="Arial"/>
                <w:szCs w:val="22"/>
              </w:rPr>
            </w:pPr>
            <w:r w:rsidRPr="006F3E29">
              <w:rPr>
                <w:rFonts w:cs="Arial"/>
                <w:szCs w:val="22"/>
              </w:rPr>
              <w:t>protection and improvement of the environment;</w:t>
            </w:r>
          </w:p>
          <w:p w14:paraId="4FA5E189" w14:textId="77777777" w:rsidR="00F32236" w:rsidRPr="006F3E29" w:rsidRDefault="00F32236" w:rsidP="009A1254">
            <w:pPr>
              <w:rPr>
                <w:rFonts w:cs="Arial"/>
                <w:szCs w:val="22"/>
              </w:rPr>
            </w:pPr>
            <w:r w:rsidRPr="006F3E29">
              <w:rPr>
                <w:rFonts w:cs="Arial"/>
                <w:szCs w:val="22"/>
              </w:rPr>
              <w:t>2) within their respective competencies, approve waste management</w:t>
            </w:r>
          </w:p>
          <w:p w14:paraId="29CA1EE9" w14:textId="77777777" w:rsidR="00F32236" w:rsidRPr="006F3E29" w:rsidRDefault="00F32236" w:rsidP="009A1254">
            <w:pPr>
              <w:rPr>
                <w:rFonts w:cs="Arial"/>
                <w:szCs w:val="22"/>
              </w:rPr>
            </w:pPr>
            <w:r w:rsidRPr="006F3E29">
              <w:rPr>
                <w:rFonts w:cs="Arial"/>
                <w:szCs w:val="22"/>
              </w:rPr>
              <w:t>programmes;</w:t>
            </w:r>
          </w:p>
          <w:p w14:paraId="4A1097D3" w14:textId="77777777" w:rsidR="00F32236" w:rsidRPr="006F3E29" w:rsidRDefault="00F32236" w:rsidP="009A1254">
            <w:pPr>
              <w:rPr>
                <w:rFonts w:cs="Arial"/>
                <w:szCs w:val="22"/>
              </w:rPr>
            </w:pPr>
            <w:r w:rsidRPr="006F3E29">
              <w:rPr>
                <w:rFonts w:cs="Arial"/>
                <w:szCs w:val="22"/>
              </w:rPr>
              <w:t>3) within their respective competencies, approve environmental quality goals;</w:t>
            </w:r>
          </w:p>
          <w:p w14:paraId="799D68EB" w14:textId="77777777" w:rsidR="00F32236" w:rsidRPr="006F3E29" w:rsidRDefault="00F32236" w:rsidP="009A1254">
            <w:pPr>
              <w:rPr>
                <w:rFonts w:cs="Arial"/>
                <w:szCs w:val="22"/>
              </w:rPr>
            </w:pPr>
            <w:r w:rsidRPr="006F3E29">
              <w:rPr>
                <w:rFonts w:cs="Arial"/>
                <w:szCs w:val="22"/>
              </w:rPr>
              <w:t>4) hear reports of heads of local executive agencies and legal entities on the</w:t>
            </w:r>
          </w:p>
          <w:p w14:paraId="26CEF576" w14:textId="77777777" w:rsidR="00F32236" w:rsidRPr="006F3E29" w:rsidRDefault="00F32236" w:rsidP="009A1254">
            <w:pPr>
              <w:rPr>
                <w:rFonts w:cs="Arial"/>
                <w:szCs w:val="22"/>
              </w:rPr>
            </w:pPr>
            <w:r w:rsidRPr="006F3E29">
              <w:rPr>
                <w:rFonts w:cs="Arial"/>
                <w:szCs w:val="22"/>
              </w:rPr>
              <w:t>status of environmental protection и nature use;</w:t>
            </w:r>
          </w:p>
          <w:p w14:paraId="6CAB6D88" w14:textId="77777777" w:rsidR="00F32236" w:rsidRPr="006F3E29" w:rsidRDefault="00F32236" w:rsidP="009A1254">
            <w:pPr>
              <w:rPr>
                <w:rFonts w:cs="Arial"/>
                <w:szCs w:val="22"/>
              </w:rPr>
            </w:pPr>
            <w:r w:rsidRPr="006F3E29">
              <w:rPr>
                <w:rFonts w:cs="Arial"/>
                <w:szCs w:val="22"/>
              </w:rPr>
              <w:t>5) within their respective competencies, adopt rules of nature use, violation of</w:t>
            </w:r>
          </w:p>
          <w:p w14:paraId="0795E70E" w14:textId="77777777" w:rsidR="00F32236" w:rsidRDefault="00F32236" w:rsidP="009A1254">
            <w:pPr>
              <w:rPr>
                <w:rFonts w:cs="Arial"/>
                <w:szCs w:val="22"/>
              </w:rPr>
            </w:pPr>
            <w:r w:rsidRPr="006F3E29">
              <w:rPr>
                <w:rFonts w:cs="Arial"/>
                <w:szCs w:val="22"/>
              </w:rPr>
              <w:t>which may involve administrative liability</w:t>
            </w:r>
          </w:p>
        </w:tc>
        <w:tc>
          <w:tcPr>
            <w:tcW w:w="3685" w:type="dxa"/>
          </w:tcPr>
          <w:p w14:paraId="1CCDC640" w14:textId="77777777" w:rsidR="00F32236" w:rsidRDefault="00F32236" w:rsidP="009A1254">
            <w:pPr>
              <w:rPr>
                <w:rFonts w:cs="Arial"/>
                <w:szCs w:val="22"/>
              </w:rPr>
            </w:pPr>
          </w:p>
        </w:tc>
      </w:tr>
      <w:tr w:rsidR="00F32236" w14:paraId="5B44297E" w14:textId="77777777" w:rsidTr="007D6892">
        <w:tc>
          <w:tcPr>
            <w:tcW w:w="629" w:type="dxa"/>
          </w:tcPr>
          <w:p w14:paraId="06380F83" w14:textId="77777777" w:rsidR="00F32236" w:rsidRDefault="00F32236" w:rsidP="009A1254">
            <w:pPr>
              <w:rPr>
                <w:rFonts w:cs="Arial"/>
                <w:szCs w:val="22"/>
              </w:rPr>
            </w:pPr>
            <w:r>
              <w:rPr>
                <w:rFonts w:cs="Arial"/>
                <w:szCs w:val="22"/>
              </w:rPr>
              <w:t>1.5</w:t>
            </w:r>
          </w:p>
        </w:tc>
        <w:tc>
          <w:tcPr>
            <w:tcW w:w="2031" w:type="dxa"/>
          </w:tcPr>
          <w:p w14:paraId="2FB7B928" w14:textId="77777777" w:rsidR="00F32236" w:rsidRPr="006F3E29" w:rsidRDefault="00F32236" w:rsidP="009A1254">
            <w:pPr>
              <w:rPr>
                <w:rFonts w:cs="Arial"/>
                <w:szCs w:val="22"/>
              </w:rPr>
            </w:pPr>
            <w:r w:rsidRPr="006F3E29">
              <w:rPr>
                <w:rFonts w:cs="Arial"/>
                <w:szCs w:val="22"/>
              </w:rPr>
              <w:t>Article 20. Competence of</w:t>
            </w:r>
            <w:r>
              <w:rPr>
                <w:rFonts w:cs="Arial"/>
                <w:szCs w:val="22"/>
              </w:rPr>
              <w:t xml:space="preserve"> </w:t>
            </w:r>
            <w:r w:rsidRPr="006F3E29">
              <w:rPr>
                <w:rFonts w:cs="Arial"/>
                <w:szCs w:val="22"/>
              </w:rPr>
              <w:t>Local Executive Agencies</w:t>
            </w:r>
            <w:r>
              <w:rPr>
                <w:rFonts w:cs="Arial"/>
                <w:szCs w:val="22"/>
              </w:rPr>
              <w:t xml:space="preserve"> </w:t>
            </w:r>
            <w:r w:rsidRPr="006F3E29">
              <w:rPr>
                <w:rFonts w:cs="Arial"/>
                <w:szCs w:val="22"/>
              </w:rPr>
              <w:t>of oblasts (of the City of</w:t>
            </w:r>
            <w:r>
              <w:rPr>
                <w:rFonts w:cs="Arial"/>
                <w:szCs w:val="22"/>
              </w:rPr>
              <w:t xml:space="preserve"> </w:t>
            </w:r>
            <w:r w:rsidRPr="006F3E29">
              <w:rPr>
                <w:rFonts w:cs="Arial"/>
                <w:szCs w:val="22"/>
              </w:rPr>
              <w:t>National Significance, and</w:t>
            </w:r>
            <w:r>
              <w:rPr>
                <w:rFonts w:cs="Arial"/>
                <w:szCs w:val="22"/>
              </w:rPr>
              <w:t xml:space="preserve"> </w:t>
            </w:r>
            <w:r w:rsidRPr="006F3E29">
              <w:rPr>
                <w:rFonts w:cs="Arial"/>
                <w:szCs w:val="22"/>
              </w:rPr>
              <w:t>of the capital) for</w:t>
            </w:r>
          </w:p>
          <w:p w14:paraId="3646FF96" w14:textId="77777777" w:rsidR="00F32236" w:rsidRDefault="00F32236" w:rsidP="009A1254">
            <w:pPr>
              <w:rPr>
                <w:rFonts w:cs="Arial"/>
                <w:szCs w:val="22"/>
              </w:rPr>
            </w:pPr>
            <w:r w:rsidRPr="006F3E29">
              <w:rPr>
                <w:rFonts w:cs="Arial"/>
                <w:szCs w:val="22"/>
              </w:rPr>
              <w:t>Environmental Protection</w:t>
            </w:r>
          </w:p>
        </w:tc>
        <w:tc>
          <w:tcPr>
            <w:tcW w:w="4111" w:type="dxa"/>
          </w:tcPr>
          <w:p w14:paraId="5CC7DEFA" w14:textId="77777777" w:rsidR="00F32236" w:rsidRPr="0075634A" w:rsidRDefault="00F32236" w:rsidP="009A1254">
            <w:pPr>
              <w:rPr>
                <w:rFonts w:cs="Arial"/>
                <w:szCs w:val="22"/>
              </w:rPr>
            </w:pPr>
            <w:r w:rsidRPr="0075634A">
              <w:rPr>
                <w:rFonts w:cs="Arial"/>
                <w:szCs w:val="22"/>
              </w:rPr>
              <w:t>Local executive agencies of oblasts (of the city of national significance, and</w:t>
            </w:r>
          </w:p>
          <w:p w14:paraId="7AC21394" w14:textId="77777777" w:rsidR="00F32236" w:rsidRPr="0075634A" w:rsidRDefault="00F32236" w:rsidP="009A1254">
            <w:pPr>
              <w:rPr>
                <w:rFonts w:cs="Arial"/>
                <w:szCs w:val="22"/>
              </w:rPr>
            </w:pPr>
            <w:r w:rsidRPr="0075634A">
              <w:rPr>
                <w:rFonts w:cs="Arial"/>
                <w:szCs w:val="22"/>
              </w:rPr>
              <w:t>of the capital) (hereinafter, the “local executive agencies”) for environmental</w:t>
            </w:r>
          </w:p>
          <w:p w14:paraId="02761127" w14:textId="77777777" w:rsidR="00F32236" w:rsidRPr="0075634A" w:rsidRDefault="00F32236" w:rsidP="009A1254">
            <w:pPr>
              <w:rPr>
                <w:rFonts w:cs="Arial"/>
                <w:szCs w:val="22"/>
              </w:rPr>
            </w:pPr>
            <w:r w:rsidRPr="0075634A">
              <w:rPr>
                <w:rFonts w:cs="Arial"/>
                <w:szCs w:val="22"/>
              </w:rPr>
              <w:t>protection shall:</w:t>
            </w:r>
          </w:p>
          <w:p w14:paraId="067CA65D" w14:textId="77777777" w:rsidR="00F32236" w:rsidRPr="0075634A" w:rsidRDefault="00F32236" w:rsidP="009A1254">
            <w:pPr>
              <w:rPr>
                <w:rFonts w:cs="Arial"/>
                <w:szCs w:val="22"/>
              </w:rPr>
            </w:pPr>
            <w:r w:rsidRPr="0075634A">
              <w:rPr>
                <w:rFonts w:cs="Arial"/>
                <w:szCs w:val="22"/>
              </w:rPr>
              <w:t>1) organise the preparation of programmes and other documents on</w:t>
            </w:r>
          </w:p>
          <w:p w14:paraId="7707032B" w14:textId="77777777" w:rsidR="00F32236" w:rsidRPr="0075634A" w:rsidRDefault="00F32236" w:rsidP="009A1254">
            <w:pPr>
              <w:rPr>
                <w:rFonts w:cs="Arial"/>
                <w:szCs w:val="22"/>
              </w:rPr>
            </w:pPr>
            <w:r w:rsidRPr="0075634A">
              <w:rPr>
                <w:rFonts w:cs="Arial"/>
                <w:szCs w:val="22"/>
              </w:rPr>
              <w:t>environmental protection and nature use measures, and ensure the</w:t>
            </w:r>
          </w:p>
          <w:p w14:paraId="63118118" w14:textId="77777777" w:rsidR="00F32236" w:rsidRPr="0075634A" w:rsidRDefault="00F32236" w:rsidP="009A1254">
            <w:pPr>
              <w:rPr>
                <w:rFonts w:cs="Arial"/>
                <w:szCs w:val="22"/>
              </w:rPr>
            </w:pPr>
            <w:r w:rsidRPr="0075634A">
              <w:rPr>
                <w:rFonts w:cs="Arial"/>
                <w:szCs w:val="22"/>
              </w:rPr>
              <w:t>implementation of such programmes and documents, which shall be subject</w:t>
            </w:r>
          </w:p>
          <w:p w14:paraId="319269C9" w14:textId="77777777" w:rsidR="00F32236" w:rsidRPr="0075634A" w:rsidRDefault="00F32236" w:rsidP="009A1254">
            <w:pPr>
              <w:rPr>
                <w:rFonts w:cs="Arial"/>
                <w:szCs w:val="22"/>
              </w:rPr>
            </w:pPr>
            <w:r w:rsidRPr="0075634A">
              <w:rPr>
                <w:rFonts w:cs="Arial"/>
                <w:szCs w:val="22"/>
              </w:rPr>
              <w:t>to approval by the environment protection authority, within their respective</w:t>
            </w:r>
          </w:p>
          <w:p w14:paraId="58F1055B" w14:textId="77777777" w:rsidR="00F32236" w:rsidRPr="0075634A" w:rsidRDefault="00F32236" w:rsidP="009A1254">
            <w:pPr>
              <w:rPr>
                <w:rFonts w:cs="Arial"/>
                <w:szCs w:val="22"/>
              </w:rPr>
            </w:pPr>
            <w:r w:rsidRPr="0075634A">
              <w:rPr>
                <w:rFonts w:cs="Arial"/>
                <w:szCs w:val="22"/>
              </w:rPr>
              <w:t>territories;</w:t>
            </w:r>
          </w:p>
          <w:p w14:paraId="31675CE2" w14:textId="77777777" w:rsidR="00F32236" w:rsidRPr="0075634A" w:rsidRDefault="00F32236" w:rsidP="009A1254">
            <w:pPr>
              <w:rPr>
                <w:rFonts w:cs="Arial"/>
                <w:szCs w:val="22"/>
              </w:rPr>
            </w:pPr>
            <w:r w:rsidRPr="0075634A">
              <w:rPr>
                <w:rFonts w:cs="Arial"/>
                <w:szCs w:val="22"/>
              </w:rPr>
              <w:t>2) based on opinions of the state environmental review and state sanitary and</w:t>
            </w:r>
          </w:p>
          <w:p w14:paraId="6563285C" w14:textId="77777777" w:rsidR="00F32236" w:rsidRPr="0075634A" w:rsidRDefault="00F32236" w:rsidP="009A1254">
            <w:pPr>
              <w:rPr>
                <w:rFonts w:cs="Arial"/>
                <w:szCs w:val="22"/>
              </w:rPr>
            </w:pPr>
            <w:r w:rsidRPr="0075634A">
              <w:rPr>
                <w:rFonts w:cs="Arial"/>
                <w:szCs w:val="22"/>
              </w:rPr>
              <w:t>epidemiological review and, to the extent it comes within their respective</w:t>
            </w:r>
          </w:p>
          <w:p w14:paraId="28103E98" w14:textId="77777777" w:rsidR="00F32236" w:rsidRPr="0075634A" w:rsidRDefault="00F32236" w:rsidP="009A1254">
            <w:pPr>
              <w:rPr>
                <w:rFonts w:cs="Arial"/>
                <w:szCs w:val="22"/>
              </w:rPr>
            </w:pPr>
            <w:r w:rsidRPr="0075634A">
              <w:rPr>
                <w:rFonts w:cs="Arial"/>
                <w:szCs w:val="22"/>
              </w:rPr>
              <w:t>competencies, permit or prohibit construction or upgrade of enterprises,</w:t>
            </w:r>
          </w:p>
          <w:p w14:paraId="123E19A6" w14:textId="77777777" w:rsidR="00F32236" w:rsidRPr="0075634A" w:rsidRDefault="00F32236" w:rsidP="009A1254">
            <w:pPr>
              <w:rPr>
                <w:rFonts w:cs="Arial"/>
                <w:szCs w:val="22"/>
              </w:rPr>
            </w:pPr>
            <w:r w:rsidRPr="0075634A">
              <w:rPr>
                <w:rFonts w:cs="Arial"/>
                <w:szCs w:val="22"/>
              </w:rPr>
              <w:t>structures, and other facilities;</w:t>
            </w:r>
          </w:p>
          <w:p w14:paraId="736AB344" w14:textId="77777777" w:rsidR="00F32236" w:rsidRPr="0075634A" w:rsidRDefault="00F32236" w:rsidP="009A1254">
            <w:pPr>
              <w:rPr>
                <w:rFonts w:cs="Arial"/>
                <w:szCs w:val="22"/>
              </w:rPr>
            </w:pPr>
            <w:r w:rsidRPr="0075634A">
              <w:rPr>
                <w:rFonts w:cs="Arial"/>
                <w:szCs w:val="22"/>
              </w:rPr>
              <w:t>3) organise and, to the extent it comes within their respective competencies,</w:t>
            </w:r>
          </w:p>
          <w:p w14:paraId="5F6C4039" w14:textId="77777777" w:rsidR="00F32236" w:rsidRPr="0075634A" w:rsidRDefault="00F32236" w:rsidP="009A1254">
            <w:pPr>
              <w:rPr>
                <w:rFonts w:cs="Arial"/>
                <w:szCs w:val="22"/>
              </w:rPr>
            </w:pPr>
            <w:r w:rsidRPr="0075634A">
              <w:rPr>
                <w:rFonts w:cs="Arial"/>
                <w:szCs w:val="22"/>
              </w:rPr>
              <w:t>carry out the state environmental review of facilities;</w:t>
            </w:r>
          </w:p>
          <w:p w14:paraId="56E8A2BF" w14:textId="77777777" w:rsidR="00F32236" w:rsidRPr="0075634A" w:rsidRDefault="00F32236" w:rsidP="009A1254">
            <w:pPr>
              <w:rPr>
                <w:rFonts w:cs="Arial"/>
                <w:szCs w:val="22"/>
              </w:rPr>
            </w:pPr>
            <w:r w:rsidRPr="0075634A">
              <w:rPr>
                <w:rFonts w:cs="Arial"/>
                <w:szCs w:val="22"/>
              </w:rPr>
              <w:t>3-1) within their respective competences issue permits for emissions;</w:t>
            </w:r>
          </w:p>
          <w:p w14:paraId="35B863A3" w14:textId="77777777" w:rsidR="00F32236" w:rsidRPr="0075634A" w:rsidRDefault="00F32236" w:rsidP="009A1254">
            <w:pPr>
              <w:rPr>
                <w:rFonts w:cs="Arial"/>
                <w:szCs w:val="22"/>
              </w:rPr>
            </w:pPr>
            <w:r w:rsidRPr="0075634A">
              <w:rPr>
                <w:rFonts w:cs="Arial"/>
                <w:szCs w:val="22"/>
              </w:rPr>
              <w:t>4) organise public consultations in connection with the state environmental</w:t>
            </w:r>
          </w:p>
          <w:p w14:paraId="7DD32D6B" w14:textId="77777777" w:rsidR="00F32236" w:rsidRPr="0075634A" w:rsidRDefault="00F32236" w:rsidP="009A1254">
            <w:pPr>
              <w:rPr>
                <w:rFonts w:cs="Arial"/>
                <w:szCs w:val="22"/>
              </w:rPr>
            </w:pPr>
            <w:r w:rsidRPr="0075634A">
              <w:rPr>
                <w:rFonts w:cs="Arial"/>
                <w:szCs w:val="22"/>
              </w:rPr>
              <w:t>review;</w:t>
            </w:r>
          </w:p>
          <w:p w14:paraId="29824D78" w14:textId="77777777" w:rsidR="00F32236" w:rsidRPr="0075634A" w:rsidRDefault="00F32236" w:rsidP="009A1254">
            <w:pPr>
              <w:rPr>
                <w:rFonts w:cs="Arial"/>
                <w:szCs w:val="22"/>
              </w:rPr>
            </w:pPr>
            <w:r w:rsidRPr="0075634A">
              <w:rPr>
                <w:rFonts w:cs="Arial"/>
                <w:szCs w:val="22"/>
              </w:rPr>
              <w:t>5) make proposals as to the preparation of documents related to</w:t>
            </w:r>
          </w:p>
          <w:p w14:paraId="06E2C825" w14:textId="77777777" w:rsidR="00F32236" w:rsidRPr="0075634A" w:rsidRDefault="00F32236" w:rsidP="009A1254">
            <w:pPr>
              <w:rPr>
                <w:rFonts w:cs="Arial"/>
                <w:szCs w:val="22"/>
              </w:rPr>
            </w:pPr>
            <w:r w:rsidRPr="0075634A">
              <w:rPr>
                <w:rFonts w:cs="Arial"/>
                <w:szCs w:val="22"/>
              </w:rPr>
              <w:t>environmental protection, and submit drafts of such documents for</w:t>
            </w:r>
          </w:p>
          <w:p w14:paraId="4524D4DC" w14:textId="77777777" w:rsidR="00F32236" w:rsidRPr="0075634A" w:rsidRDefault="00F32236" w:rsidP="009A1254">
            <w:pPr>
              <w:rPr>
                <w:rFonts w:cs="Arial"/>
                <w:szCs w:val="22"/>
              </w:rPr>
            </w:pPr>
            <w:r w:rsidRPr="0075634A">
              <w:rPr>
                <w:rFonts w:cs="Arial"/>
                <w:szCs w:val="22"/>
              </w:rPr>
              <w:t>consideration of the environment protection authority;</w:t>
            </w:r>
          </w:p>
          <w:p w14:paraId="3106D636" w14:textId="77777777" w:rsidR="00F32236" w:rsidRPr="0075634A" w:rsidRDefault="00F32236" w:rsidP="009A1254">
            <w:pPr>
              <w:rPr>
                <w:rFonts w:cs="Arial"/>
                <w:szCs w:val="22"/>
              </w:rPr>
            </w:pPr>
            <w:r w:rsidRPr="0075634A">
              <w:rPr>
                <w:rFonts w:cs="Arial"/>
                <w:szCs w:val="22"/>
              </w:rPr>
              <w:t>8) organise the development, and ensure the implementation, of waste</w:t>
            </w:r>
            <w:r>
              <w:rPr>
                <w:rFonts w:cs="Arial"/>
                <w:szCs w:val="22"/>
              </w:rPr>
              <w:t xml:space="preserve"> </w:t>
            </w:r>
            <w:r w:rsidRPr="0075634A">
              <w:rPr>
                <w:rFonts w:cs="Arial"/>
                <w:szCs w:val="22"/>
              </w:rPr>
              <w:t>management programmes;</w:t>
            </w:r>
          </w:p>
          <w:p w14:paraId="6E54AABC" w14:textId="77777777" w:rsidR="00F32236" w:rsidRPr="0075634A" w:rsidRDefault="00F32236" w:rsidP="009A1254">
            <w:pPr>
              <w:rPr>
                <w:rFonts w:cs="Arial"/>
                <w:szCs w:val="22"/>
              </w:rPr>
            </w:pPr>
            <w:r w:rsidRPr="0075634A">
              <w:rPr>
                <w:rFonts w:cs="Arial"/>
                <w:szCs w:val="22"/>
              </w:rPr>
              <w:t>9) allocate land plots for construction of industrial and consumption waste</w:t>
            </w:r>
            <w:r>
              <w:rPr>
                <w:rFonts w:cs="Arial"/>
                <w:szCs w:val="22"/>
              </w:rPr>
              <w:t xml:space="preserve"> </w:t>
            </w:r>
            <w:r w:rsidRPr="0075634A">
              <w:rPr>
                <w:rFonts w:cs="Arial"/>
                <w:szCs w:val="22"/>
              </w:rPr>
              <w:t>placement facilities;</w:t>
            </w:r>
          </w:p>
          <w:p w14:paraId="4126D553" w14:textId="77777777" w:rsidR="00F32236" w:rsidRPr="0075634A" w:rsidRDefault="00F32236" w:rsidP="009A1254">
            <w:pPr>
              <w:rPr>
                <w:rFonts w:cs="Arial"/>
                <w:szCs w:val="22"/>
              </w:rPr>
            </w:pPr>
            <w:r w:rsidRPr="0075634A">
              <w:rPr>
                <w:rFonts w:cs="Arial"/>
                <w:szCs w:val="22"/>
              </w:rPr>
              <w:t>10) ensure construction of facilities for waste disposal and placement;</w:t>
            </w:r>
          </w:p>
          <w:p w14:paraId="09D2A1B4" w14:textId="77777777" w:rsidR="00F32236" w:rsidRDefault="00F32236" w:rsidP="009A1254">
            <w:pPr>
              <w:rPr>
                <w:rFonts w:cs="Arial"/>
                <w:szCs w:val="22"/>
              </w:rPr>
            </w:pPr>
            <w:r w:rsidRPr="0075634A">
              <w:rPr>
                <w:rFonts w:cs="Arial"/>
                <w:szCs w:val="22"/>
              </w:rPr>
              <w:t>11) ensure the compliance with environmental requirements in relation to</w:t>
            </w:r>
            <w:r>
              <w:rPr>
                <w:rFonts w:cs="Arial"/>
                <w:szCs w:val="22"/>
              </w:rPr>
              <w:t xml:space="preserve"> </w:t>
            </w:r>
            <w:r w:rsidRPr="0075634A">
              <w:rPr>
                <w:rFonts w:cs="Arial"/>
                <w:szCs w:val="22"/>
              </w:rPr>
              <w:t>municipal waste management;</w:t>
            </w:r>
          </w:p>
          <w:p w14:paraId="709233FB" w14:textId="77777777" w:rsidR="00F32236" w:rsidRDefault="00F32236" w:rsidP="009A1254">
            <w:pPr>
              <w:rPr>
                <w:rFonts w:cs="Arial"/>
                <w:szCs w:val="22"/>
              </w:rPr>
            </w:pPr>
            <w:r w:rsidRPr="0075634A">
              <w:rPr>
                <w:rFonts w:cs="Arial"/>
                <w:szCs w:val="22"/>
              </w:rPr>
              <w:t>12) control waste generation volumes and work out measures and economic</w:t>
            </w:r>
            <w:r>
              <w:rPr>
                <w:rFonts w:cs="Arial"/>
                <w:szCs w:val="22"/>
              </w:rPr>
              <w:t xml:space="preserve"> </w:t>
            </w:r>
            <w:r w:rsidRPr="0075634A">
              <w:rPr>
                <w:rFonts w:cs="Arial"/>
                <w:szCs w:val="22"/>
              </w:rPr>
              <w:t>incentives aimed at reduction of waste generation, increased level of waste</w:t>
            </w:r>
            <w:r>
              <w:rPr>
                <w:rFonts w:cs="Arial"/>
                <w:szCs w:val="22"/>
              </w:rPr>
              <w:t xml:space="preserve"> </w:t>
            </w:r>
            <w:r w:rsidRPr="0075634A">
              <w:rPr>
                <w:rFonts w:cs="Arial"/>
                <w:szCs w:val="22"/>
              </w:rPr>
              <w:t>recycling or alternative use, and reduction of waste to be buried;</w:t>
            </w:r>
          </w:p>
        </w:tc>
        <w:tc>
          <w:tcPr>
            <w:tcW w:w="3685" w:type="dxa"/>
          </w:tcPr>
          <w:p w14:paraId="33E109DD" w14:textId="77777777" w:rsidR="00F32236" w:rsidRDefault="00F32236" w:rsidP="009A1254">
            <w:pPr>
              <w:rPr>
                <w:rFonts w:cs="Arial"/>
                <w:szCs w:val="22"/>
              </w:rPr>
            </w:pPr>
          </w:p>
        </w:tc>
      </w:tr>
      <w:tr w:rsidR="00F32236" w14:paraId="518D37C6" w14:textId="77777777" w:rsidTr="007D6892">
        <w:tc>
          <w:tcPr>
            <w:tcW w:w="629" w:type="dxa"/>
          </w:tcPr>
          <w:p w14:paraId="60F8A82E" w14:textId="77777777" w:rsidR="00F32236" w:rsidRDefault="00F32236" w:rsidP="009A1254">
            <w:pPr>
              <w:rPr>
                <w:rFonts w:cs="Arial"/>
                <w:szCs w:val="22"/>
              </w:rPr>
            </w:pPr>
            <w:r>
              <w:rPr>
                <w:rFonts w:cs="Arial"/>
                <w:szCs w:val="22"/>
              </w:rPr>
              <w:t>1.6</w:t>
            </w:r>
          </w:p>
        </w:tc>
        <w:tc>
          <w:tcPr>
            <w:tcW w:w="2031" w:type="dxa"/>
          </w:tcPr>
          <w:p w14:paraId="3E58CBA5" w14:textId="77777777" w:rsidR="00F32236" w:rsidRDefault="00F32236" w:rsidP="009A1254">
            <w:pPr>
              <w:rPr>
                <w:rFonts w:cs="Arial"/>
                <w:szCs w:val="22"/>
              </w:rPr>
            </w:pPr>
            <w:r w:rsidRPr="0075634A">
              <w:rPr>
                <w:rFonts w:cs="Arial"/>
                <w:szCs w:val="22"/>
              </w:rPr>
              <w:t>Article 25. Emission</w:t>
            </w:r>
            <w:r>
              <w:rPr>
                <w:rFonts w:cs="Arial"/>
                <w:szCs w:val="22"/>
              </w:rPr>
              <w:t xml:space="preserve"> </w:t>
            </w:r>
            <w:r w:rsidRPr="0075634A">
              <w:rPr>
                <w:rFonts w:cs="Arial"/>
                <w:szCs w:val="22"/>
              </w:rPr>
              <w:t>standards</w:t>
            </w:r>
          </w:p>
        </w:tc>
        <w:tc>
          <w:tcPr>
            <w:tcW w:w="4111" w:type="dxa"/>
          </w:tcPr>
          <w:p w14:paraId="6F895819" w14:textId="77777777" w:rsidR="00F32236" w:rsidRPr="0075634A" w:rsidRDefault="00F32236" w:rsidP="009A1254">
            <w:pPr>
              <w:rPr>
                <w:rFonts w:cs="Arial"/>
                <w:szCs w:val="22"/>
              </w:rPr>
            </w:pPr>
            <w:r w:rsidRPr="0075634A">
              <w:rPr>
                <w:rFonts w:cs="Arial"/>
                <w:szCs w:val="22"/>
              </w:rPr>
              <w:t>1. Emission standards shall include:</w:t>
            </w:r>
          </w:p>
          <w:p w14:paraId="0305AB26" w14:textId="77777777" w:rsidR="00F32236" w:rsidRDefault="00F32236" w:rsidP="009A1254">
            <w:pPr>
              <w:rPr>
                <w:rFonts w:cs="Arial"/>
                <w:szCs w:val="22"/>
              </w:rPr>
            </w:pPr>
            <w:r w:rsidRPr="0075634A">
              <w:rPr>
                <w:rFonts w:cs="Arial"/>
                <w:szCs w:val="22"/>
              </w:rPr>
              <w:t>3) standards</w:t>
            </w:r>
            <w:r>
              <w:rPr>
                <w:rFonts w:cs="Arial"/>
                <w:szCs w:val="22"/>
              </w:rPr>
              <w:t xml:space="preserve"> for industrial and consumption </w:t>
            </w:r>
            <w:r w:rsidRPr="0075634A">
              <w:rPr>
                <w:rFonts w:cs="Arial"/>
                <w:szCs w:val="22"/>
              </w:rPr>
              <w:t>waste placement</w:t>
            </w:r>
          </w:p>
        </w:tc>
        <w:tc>
          <w:tcPr>
            <w:tcW w:w="3685" w:type="dxa"/>
          </w:tcPr>
          <w:p w14:paraId="0B839238" w14:textId="77777777" w:rsidR="00F32236" w:rsidRDefault="00F32236" w:rsidP="009A1254">
            <w:pPr>
              <w:rPr>
                <w:rFonts w:cs="Arial"/>
                <w:szCs w:val="22"/>
              </w:rPr>
            </w:pPr>
          </w:p>
        </w:tc>
      </w:tr>
      <w:tr w:rsidR="00F32236" w14:paraId="4E729D4A" w14:textId="77777777" w:rsidTr="007D6892">
        <w:tc>
          <w:tcPr>
            <w:tcW w:w="629" w:type="dxa"/>
          </w:tcPr>
          <w:p w14:paraId="31A19810" w14:textId="77777777" w:rsidR="00F32236" w:rsidRDefault="00F32236" w:rsidP="009A1254">
            <w:pPr>
              <w:rPr>
                <w:rFonts w:cs="Arial"/>
                <w:szCs w:val="22"/>
              </w:rPr>
            </w:pPr>
            <w:r>
              <w:rPr>
                <w:rFonts w:cs="Arial"/>
                <w:szCs w:val="22"/>
              </w:rPr>
              <w:t>1.7</w:t>
            </w:r>
          </w:p>
        </w:tc>
        <w:tc>
          <w:tcPr>
            <w:tcW w:w="2031" w:type="dxa"/>
          </w:tcPr>
          <w:p w14:paraId="1F537302" w14:textId="77777777" w:rsidR="00F32236" w:rsidRDefault="00F32236" w:rsidP="009A1254">
            <w:pPr>
              <w:rPr>
                <w:rFonts w:cs="Arial"/>
                <w:szCs w:val="22"/>
              </w:rPr>
            </w:pPr>
            <w:r w:rsidRPr="0075634A">
              <w:rPr>
                <w:rFonts w:cs="Arial"/>
                <w:szCs w:val="22"/>
              </w:rPr>
              <w:t>Chapter 6. Environmental</w:t>
            </w:r>
            <w:r>
              <w:rPr>
                <w:rFonts w:cs="Arial"/>
                <w:szCs w:val="22"/>
              </w:rPr>
              <w:t xml:space="preserve"> Impact A</w:t>
            </w:r>
            <w:r w:rsidRPr="0075634A">
              <w:rPr>
                <w:rFonts w:cs="Arial"/>
                <w:szCs w:val="22"/>
              </w:rPr>
              <w:t>ssessment</w:t>
            </w:r>
          </w:p>
        </w:tc>
        <w:tc>
          <w:tcPr>
            <w:tcW w:w="4111" w:type="dxa"/>
          </w:tcPr>
          <w:p w14:paraId="5F6FDB5B" w14:textId="77777777" w:rsidR="00F32236" w:rsidRDefault="00F32236" w:rsidP="009A1254">
            <w:pPr>
              <w:rPr>
                <w:rFonts w:cs="Arial"/>
                <w:szCs w:val="22"/>
              </w:rPr>
            </w:pPr>
            <w:r w:rsidRPr="0075634A">
              <w:rPr>
                <w:rFonts w:cs="Arial"/>
                <w:szCs w:val="22"/>
              </w:rPr>
              <w:t>3. Long-term operation of projected and existing facilities shall be subjected</w:t>
            </w:r>
            <w:r>
              <w:rPr>
                <w:rFonts w:cs="Arial"/>
                <w:szCs w:val="22"/>
              </w:rPr>
              <w:t xml:space="preserve"> </w:t>
            </w:r>
            <w:r w:rsidRPr="0075634A">
              <w:rPr>
                <w:rFonts w:cs="Arial"/>
                <w:szCs w:val="22"/>
              </w:rPr>
              <w:t>to an environmental impact assessment in accordance with the requirements</w:t>
            </w:r>
            <w:r>
              <w:rPr>
                <w:rFonts w:cs="Arial"/>
                <w:szCs w:val="22"/>
              </w:rPr>
              <w:t xml:space="preserve"> </w:t>
            </w:r>
            <w:r w:rsidRPr="0075634A">
              <w:rPr>
                <w:rFonts w:cs="Arial"/>
                <w:szCs w:val="22"/>
              </w:rPr>
              <w:t>set forth in this Code.</w:t>
            </w:r>
          </w:p>
        </w:tc>
        <w:tc>
          <w:tcPr>
            <w:tcW w:w="3685" w:type="dxa"/>
          </w:tcPr>
          <w:p w14:paraId="613F24C6" w14:textId="77777777" w:rsidR="00F32236" w:rsidRDefault="00F32236" w:rsidP="009A1254">
            <w:pPr>
              <w:rPr>
                <w:rFonts w:cs="Arial"/>
                <w:szCs w:val="22"/>
              </w:rPr>
            </w:pPr>
          </w:p>
        </w:tc>
      </w:tr>
      <w:tr w:rsidR="00F32236" w14:paraId="460541F7" w14:textId="77777777" w:rsidTr="007D6892">
        <w:tc>
          <w:tcPr>
            <w:tcW w:w="629" w:type="dxa"/>
          </w:tcPr>
          <w:p w14:paraId="1E09062A" w14:textId="77777777" w:rsidR="00F32236" w:rsidRDefault="00F32236" w:rsidP="009A1254">
            <w:pPr>
              <w:rPr>
                <w:rFonts w:cs="Arial"/>
                <w:szCs w:val="22"/>
              </w:rPr>
            </w:pPr>
            <w:r>
              <w:rPr>
                <w:rFonts w:cs="Arial"/>
                <w:szCs w:val="22"/>
              </w:rPr>
              <w:t>1.8</w:t>
            </w:r>
          </w:p>
        </w:tc>
        <w:tc>
          <w:tcPr>
            <w:tcW w:w="2031" w:type="dxa"/>
          </w:tcPr>
          <w:p w14:paraId="5B3E2A69" w14:textId="77777777" w:rsidR="00F32236" w:rsidRPr="0075634A" w:rsidRDefault="00F32236" w:rsidP="009A1254">
            <w:pPr>
              <w:rPr>
                <w:rFonts w:cs="Arial"/>
                <w:szCs w:val="22"/>
              </w:rPr>
            </w:pPr>
            <w:r w:rsidRPr="0075634A">
              <w:rPr>
                <w:rFonts w:cs="Arial"/>
                <w:szCs w:val="22"/>
              </w:rPr>
              <w:t>Chapter 7. Environmental</w:t>
            </w:r>
            <w:r>
              <w:rPr>
                <w:rFonts w:cs="Arial"/>
                <w:szCs w:val="22"/>
              </w:rPr>
              <w:t xml:space="preserve"> </w:t>
            </w:r>
            <w:r w:rsidRPr="0075634A">
              <w:rPr>
                <w:rFonts w:cs="Arial"/>
                <w:szCs w:val="22"/>
              </w:rPr>
              <w:t>review</w:t>
            </w:r>
          </w:p>
          <w:p w14:paraId="7AEDDDF9" w14:textId="77777777" w:rsidR="00F32236" w:rsidRPr="0075634A" w:rsidRDefault="00F32236" w:rsidP="009A1254">
            <w:pPr>
              <w:rPr>
                <w:rFonts w:cs="Arial"/>
                <w:szCs w:val="22"/>
              </w:rPr>
            </w:pPr>
            <w:r w:rsidRPr="0075634A">
              <w:rPr>
                <w:rFonts w:cs="Arial"/>
                <w:szCs w:val="22"/>
              </w:rPr>
              <w:t>Article 47. Objects of State</w:t>
            </w:r>
          </w:p>
          <w:p w14:paraId="1269A5E0" w14:textId="77777777" w:rsidR="00F32236" w:rsidRDefault="00F32236" w:rsidP="009A1254">
            <w:pPr>
              <w:rPr>
                <w:rFonts w:cs="Arial"/>
                <w:szCs w:val="22"/>
              </w:rPr>
            </w:pPr>
            <w:r w:rsidRPr="0075634A">
              <w:rPr>
                <w:rFonts w:cs="Arial"/>
                <w:szCs w:val="22"/>
              </w:rPr>
              <w:t>Environmental Review</w:t>
            </w:r>
          </w:p>
        </w:tc>
        <w:tc>
          <w:tcPr>
            <w:tcW w:w="4111" w:type="dxa"/>
          </w:tcPr>
          <w:p w14:paraId="7A0D4522" w14:textId="77777777" w:rsidR="00F32236" w:rsidRPr="0075634A" w:rsidRDefault="00F32236" w:rsidP="009A1254">
            <w:pPr>
              <w:rPr>
                <w:rFonts w:cs="Arial"/>
                <w:szCs w:val="22"/>
              </w:rPr>
            </w:pPr>
            <w:r w:rsidRPr="0075634A">
              <w:rPr>
                <w:rFonts w:cs="Arial"/>
                <w:szCs w:val="22"/>
              </w:rPr>
              <w:t xml:space="preserve">5) drafts laws </w:t>
            </w:r>
            <w:r>
              <w:rPr>
                <w:rFonts w:cs="Arial"/>
                <w:szCs w:val="22"/>
              </w:rPr>
              <w:t xml:space="preserve">and regulations of the Republic </w:t>
            </w:r>
            <w:r w:rsidRPr="0075634A">
              <w:rPr>
                <w:rFonts w:cs="Arial"/>
                <w:szCs w:val="22"/>
              </w:rPr>
              <w:t>of Kazakhstan, technical</w:t>
            </w:r>
            <w:r>
              <w:rPr>
                <w:rFonts w:cs="Arial"/>
                <w:szCs w:val="22"/>
              </w:rPr>
              <w:t xml:space="preserve"> </w:t>
            </w:r>
            <w:r w:rsidRPr="0075634A">
              <w:rPr>
                <w:rFonts w:cs="Arial"/>
                <w:szCs w:val="22"/>
              </w:rPr>
              <w:t>regulatory and instructional documents, the implementation of which is likely</w:t>
            </w:r>
            <w:r>
              <w:rPr>
                <w:rFonts w:cs="Arial"/>
                <w:szCs w:val="22"/>
              </w:rPr>
              <w:t xml:space="preserve"> </w:t>
            </w:r>
            <w:r w:rsidRPr="0075634A">
              <w:rPr>
                <w:rFonts w:cs="Arial"/>
                <w:szCs w:val="22"/>
              </w:rPr>
              <w:t>to result in negative environmental impact;</w:t>
            </w:r>
          </w:p>
          <w:p w14:paraId="6A22237C" w14:textId="77777777" w:rsidR="00F32236" w:rsidRDefault="00F32236" w:rsidP="009A1254">
            <w:pPr>
              <w:rPr>
                <w:rFonts w:cs="Arial"/>
                <w:szCs w:val="22"/>
              </w:rPr>
            </w:pPr>
            <w:r w:rsidRPr="0075634A">
              <w:rPr>
                <w:rFonts w:cs="Arial"/>
                <w:szCs w:val="22"/>
              </w:rPr>
              <w:t>6) feasibility stud</w:t>
            </w:r>
            <w:r>
              <w:rPr>
                <w:rFonts w:cs="Arial"/>
                <w:szCs w:val="22"/>
              </w:rPr>
              <w:t xml:space="preserve">ies (calculations) and projects </w:t>
            </w:r>
            <w:r w:rsidRPr="0075634A">
              <w:rPr>
                <w:rFonts w:cs="Arial"/>
                <w:szCs w:val="22"/>
              </w:rPr>
              <w:t>of placement, construction,</w:t>
            </w:r>
            <w:r>
              <w:rPr>
                <w:rFonts w:cs="Arial"/>
                <w:szCs w:val="22"/>
              </w:rPr>
              <w:t xml:space="preserve"> </w:t>
            </w:r>
            <w:r w:rsidRPr="0075634A">
              <w:rPr>
                <w:rFonts w:cs="Arial"/>
                <w:szCs w:val="22"/>
              </w:rPr>
              <w:t>reconstruction, develo</w:t>
            </w:r>
            <w:r>
              <w:rPr>
                <w:rFonts w:cs="Arial"/>
                <w:szCs w:val="22"/>
              </w:rPr>
              <w:t xml:space="preserve">pment, upgrade, conversion, and </w:t>
            </w:r>
            <w:r w:rsidRPr="0075634A">
              <w:rPr>
                <w:rFonts w:cs="Arial"/>
                <w:szCs w:val="22"/>
              </w:rPr>
              <w:t>liquidation of plants,</w:t>
            </w:r>
            <w:r>
              <w:rPr>
                <w:rFonts w:cs="Arial"/>
                <w:szCs w:val="22"/>
              </w:rPr>
              <w:t xml:space="preserve"> f</w:t>
            </w:r>
            <w:r w:rsidRPr="0075634A">
              <w:rPr>
                <w:rFonts w:cs="Arial"/>
                <w:szCs w:val="22"/>
              </w:rPr>
              <w:t>acilities and complexes;</w:t>
            </w:r>
          </w:p>
        </w:tc>
        <w:tc>
          <w:tcPr>
            <w:tcW w:w="3685" w:type="dxa"/>
          </w:tcPr>
          <w:p w14:paraId="3AB828E2" w14:textId="77777777" w:rsidR="00F32236" w:rsidRDefault="00F32236" w:rsidP="009A1254">
            <w:pPr>
              <w:rPr>
                <w:rFonts w:cs="Arial"/>
                <w:szCs w:val="22"/>
              </w:rPr>
            </w:pPr>
          </w:p>
        </w:tc>
      </w:tr>
      <w:tr w:rsidR="00F32236" w14:paraId="3341081A" w14:textId="77777777" w:rsidTr="007D6892">
        <w:tc>
          <w:tcPr>
            <w:tcW w:w="629" w:type="dxa"/>
          </w:tcPr>
          <w:p w14:paraId="52C06EBB" w14:textId="77777777" w:rsidR="00F32236" w:rsidRDefault="00F32236" w:rsidP="009A1254">
            <w:pPr>
              <w:rPr>
                <w:rFonts w:cs="Arial"/>
                <w:szCs w:val="22"/>
              </w:rPr>
            </w:pPr>
            <w:r>
              <w:rPr>
                <w:rFonts w:cs="Arial"/>
                <w:szCs w:val="22"/>
              </w:rPr>
              <w:t>1.9</w:t>
            </w:r>
          </w:p>
        </w:tc>
        <w:tc>
          <w:tcPr>
            <w:tcW w:w="2031" w:type="dxa"/>
          </w:tcPr>
          <w:p w14:paraId="3B64D925" w14:textId="77777777" w:rsidR="00F32236" w:rsidRPr="0075634A" w:rsidRDefault="00F32236" w:rsidP="009A1254">
            <w:pPr>
              <w:rPr>
                <w:rFonts w:cs="Arial"/>
                <w:szCs w:val="22"/>
              </w:rPr>
            </w:pPr>
            <w:r w:rsidRPr="0075634A">
              <w:rPr>
                <w:rFonts w:cs="Arial"/>
                <w:szCs w:val="22"/>
              </w:rPr>
              <w:t>Article 98. Planning of</w:t>
            </w:r>
            <w:r>
              <w:rPr>
                <w:rFonts w:cs="Arial"/>
                <w:szCs w:val="22"/>
              </w:rPr>
              <w:t xml:space="preserve"> </w:t>
            </w:r>
            <w:r w:rsidRPr="0075634A">
              <w:rPr>
                <w:rFonts w:cs="Arial"/>
                <w:szCs w:val="22"/>
              </w:rPr>
              <w:t>Budget-funded</w:t>
            </w:r>
          </w:p>
          <w:p w14:paraId="26EB38C9" w14:textId="77777777" w:rsidR="00F32236" w:rsidRDefault="00F32236" w:rsidP="009A1254">
            <w:pPr>
              <w:rPr>
                <w:rFonts w:cs="Arial"/>
                <w:szCs w:val="22"/>
              </w:rPr>
            </w:pPr>
            <w:r w:rsidRPr="0075634A">
              <w:rPr>
                <w:rFonts w:cs="Arial"/>
                <w:szCs w:val="22"/>
              </w:rPr>
              <w:t>Environmental Protection</w:t>
            </w:r>
            <w:r>
              <w:rPr>
                <w:rFonts w:cs="Arial"/>
                <w:szCs w:val="22"/>
              </w:rPr>
              <w:t xml:space="preserve"> </w:t>
            </w:r>
            <w:r w:rsidRPr="0075634A">
              <w:rPr>
                <w:rFonts w:cs="Arial"/>
                <w:szCs w:val="22"/>
              </w:rPr>
              <w:t>Measures</w:t>
            </w:r>
          </w:p>
        </w:tc>
        <w:tc>
          <w:tcPr>
            <w:tcW w:w="4111" w:type="dxa"/>
          </w:tcPr>
          <w:p w14:paraId="28EE306B" w14:textId="77777777" w:rsidR="00F32236" w:rsidRPr="0075634A" w:rsidRDefault="00F32236" w:rsidP="009A1254">
            <w:pPr>
              <w:rPr>
                <w:rFonts w:cs="Arial"/>
                <w:szCs w:val="22"/>
              </w:rPr>
            </w:pPr>
            <w:r w:rsidRPr="0075634A">
              <w:rPr>
                <w:rFonts w:cs="Arial"/>
                <w:szCs w:val="22"/>
              </w:rPr>
              <w:t>4. Prior to approval, regional environmental programmes, plans and</w:t>
            </w:r>
            <w:r>
              <w:rPr>
                <w:rFonts w:cs="Arial"/>
                <w:szCs w:val="22"/>
              </w:rPr>
              <w:t xml:space="preserve"> </w:t>
            </w:r>
            <w:r w:rsidRPr="0075634A">
              <w:rPr>
                <w:rFonts w:cs="Arial"/>
                <w:szCs w:val="22"/>
              </w:rPr>
              <w:t>programmes, plans of social and economical development of certain areas</w:t>
            </w:r>
            <w:r>
              <w:rPr>
                <w:rFonts w:cs="Arial"/>
                <w:szCs w:val="22"/>
              </w:rPr>
              <w:t xml:space="preserve"> </w:t>
            </w:r>
            <w:r w:rsidRPr="0075634A">
              <w:rPr>
                <w:rFonts w:cs="Arial"/>
                <w:szCs w:val="22"/>
              </w:rPr>
              <w:t>shall be agreed with the environment protection authority.</w:t>
            </w:r>
          </w:p>
          <w:p w14:paraId="54C43197" w14:textId="77777777" w:rsidR="00F32236" w:rsidRDefault="00F32236" w:rsidP="009A1254">
            <w:pPr>
              <w:rPr>
                <w:rFonts w:cs="Arial"/>
                <w:szCs w:val="22"/>
              </w:rPr>
            </w:pPr>
            <w:r w:rsidRPr="0075634A">
              <w:rPr>
                <w:rFonts w:cs="Arial"/>
                <w:szCs w:val="22"/>
              </w:rPr>
              <w:t>5. The local executive agencies of oblasts (of the city of national significance,</w:t>
            </w:r>
            <w:r>
              <w:rPr>
                <w:rFonts w:cs="Arial"/>
                <w:szCs w:val="22"/>
              </w:rPr>
              <w:t xml:space="preserve"> </w:t>
            </w:r>
            <w:r w:rsidRPr="0075634A">
              <w:rPr>
                <w:rFonts w:cs="Arial"/>
                <w:szCs w:val="22"/>
              </w:rPr>
              <w:t>and of the capital) shall develop and submit to the environment protection</w:t>
            </w:r>
            <w:r>
              <w:rPr>
                <w:rFonts w:cs="Arial"/>
                <w:szCs w:val="22"/>
              </w:rPr>
              <w:t xml:space="preserve"> </w:t>
            </w:r>
            <w:r w:rsidRPr="0075634A">
              <w:rPr>
                <w:rFonts w:cs="Arial"/>
                <w:szCs w:val="22"/>
              </w:rPr>
              <w:t>authority environmental inves</w:t>
            </w:r>
            <w:r>
              <w:rPr>
                <w:rFonts w:cs="Arial"/>
                <w:szCs w:val="22"/>
              </w:rPr>
              <w:t xml:space="preserve">tment projects (programmes), in </w:t>
            </w:r>
            <w:r w:rsidRPr="0075634A">
              <w:rPr>
                <w:rFonts w:cs="Arial"/>
                <w:szCs w:val="22"/>
              </w:rPr>
              <w:t>accordance</w:t>
            </w:r>
            <w:r>
              <w:rPr>
                <w:rFonts w:cs="Arial"/>
                <w:szCs w:val="22"/>
              </w:rPr>
              <w:t xml:space="preserve"> </w:t>
            </w:r>
            <w:r w:rsidRPr="0075634A">
              <w:rPr>
                <w:rFonts w:cs="Arial"/>
                <w:szCs w:val="22"/>
              </w:rPr>
              <w:t>with the budget laws of the Republic of Kazakhstan.</w:t>
            </w:r>
          </w:p>
        </w:tc>
        <w:tc>
          <w:tcPr>
            <w:tcW w:w="3685" w:type="dxa"/>
          </w:tcPr>
          <w:p w14:paraId="05AF5AF4" w14:textId="77777777" w:rsidR="00F32236" w:rsidRDefault="00F32236" w:rsidP="009A1254">
            <w:pPr>
              <w:rPr>
                <w:rFonts w:cs="Arial"/>
                <w:szCs w:val="22"/>
              </w:rPr>
            </w:pPr>
          </w:p>
        </w:tc>
      </w:tr>
      <w:tr w:rsidR="00F32236" w14:paraId="4B809066" w14:textId="77777777" w:rsidTr="007D6892">
        <w:tc>
          <w:tcPr>
            <w:tcW w:w="629" w:type="dxa"/>
          </w:tcPr>
          <w:p w14:paraId="60E08F88" w14:textId="77777777" w:rsidR="00F32236" w:rsidRDefault="00F32236" w:rsidP="009A1254">
            <w:pPr>
              <w:rPr>
                <w:rFonts w:cs="Arial"/>
                <w:szCs w:val="22"/>
              </w:rPr>
            </w:pPr>
            <w:r>
              <w:rPr>
                <w:rFonts w:cs="Arial"/>
                <w:szCs w:val="22"/>
              </w:rPr>
              <w:t>2.</w:t>
            </w:r>
          </w:p>
        </w:tc>
        <w:tc>
          <w:tcPr>
            <w:tcW w:w="2031" w:type="dxa"/>
          </w:tcPr>
          <w:p w14:paraId="21EF3631" w14:textId="77777777" w:rsidR="00F32236" w:rsidRDefault="00F32236" w:rsidP="009A1254">
            <w:pPr>
              <w:rPr>
                <w:rFonts w:cs="Arial"/>
                <w:szCs w:val="22"/>
              </w:rPr>
            </w:pPr>
            <w:r>
              <w:rPr>
                <w:rFonts w:cs="Arial"/>
                <w:szCs w:val="22"/>
              </w:rPr>
              <w:t xml:space="preserve">The Code on Public Health and Health System in the Republic of Kazakhstan </w:t>
            </w:r>
            <w:r w:rsidRPr="00577C71">
              <w:rPr>
                <w:rFonts w:cs="Arial"/>
                <w:bCs/>
                <w:szCs w:val="22"/>
              </w:rPr>
              <w:t xml:space="preserve">(dated September 18, 2009 </w:t>
            </w:r>
            <w:r w:rsidRPr="00577C71">
              <w:rPr>
                <w:rFonts w:cs="Arial"/>
                <w:szCs w:val="22"/>
              </w:rPr>
              <w:t xml:space="preserve">№ </w:t>
            </w:r>
            <w:r w:rsidRPr="00577C71">
              <w:rPr>
                <w:rFonts w:cs="Arial"/>
                <w:bCs/>
                <w:szCs w:val="22"/>
              </w:rPr>
              <w:t xml:space="preserve">139-IV, as of </w:t>
            </w:r>
            <w:r>
              <w:rPr>
                <w:rFonts w:cs="Arial"/>
                <w:bCs/>
                <w:szCs w:val="22"/>
              </w:rPr>
              <w:t>11 April 2014</w:t>
            </w:r>
            <w:r w:rsidRPr="00577C71">
              <w:rPr>
                <w:rFonts w:cs="Arial"/>
                <w:bCs/>
                <w:szCs w:val="22"/>
              </w:rPr>
              <w:t>)</w:t>
            </w:r>
          </w:p>
        </w:tc>
        <w:tc>
          <w:tcPr>
            <w:tcW w:w="4111" w:type="dxa"/>
          </w:tcPr>
          <w:p w14:paraId="70FEAAD9" w14:textId="77777777" w:rsidR="00F32236" w:rsidRDefault="00F32236" w:rsidP="009A1254">
            <w:pPr>
              <w:rPr>
                <w:rFonts w:cs="Arial"/>
                <w:szCs w:val="22"/>
              </w:rPr>
            </w:pPr>
            <w:r w:rsidRPr="00425C18">
              <w:rPr>
                <w:rFonts w:cs="Arial"/>
                <w:szCs w:val="22"/>
              </w:rPr>
              <w:t>This Code deals with MSW related</w:t>
            </w:r>
            <w:r>
              <w:rPr>
                <w:rFonts w:cs="Arial"/>
                <w:szCs w:val="22"/>
              </w:rPr>
              <w:t xml:space="preserve"> </w:t>
            </w:r>
            <w:r w:rsidRPr="00425C18">
              <w:rPr>
                <w:rFonts w:cs="Arial"/>
                <w:szCs w:val="22"/>
              </w:rPr>
              <w:t>issues in terms of sanitary and hygienic</w:t>
            </w:r>
            <w:r>
              <w:rPr>
                <w:rFonts w:cs="Arial"/>
                <w:szCs w:val="22"/>
              </w:rPr>
              <w:t xml:space="preserve"> </w:t>
            </w:r>
            <w:r w:rsidRPr="00425C18">
              <w:rPr>
                <w:rFonts w:cs="Arial"/>
                <w:szCs w:val="22"/>
              </w:rPr>
              <w:t>requirements for waste disposal sites</w:t>
            </w:r>
            <w:r>
              <w:rPr>
                <w:rFonts w:cs="Arial"/>
                <w:szCs w:val="22"/>
              </w:rPr>
              <w:t xml:space="preserve"> </w:t>
            </w:r>
            <w:r w:rsidRPr="00425C18">
              <w:rPr>
                <w:rFonts w:cs="Arial"/>
                <w:szCs w:val="22"/>
              </w:rPr>
              <w:t>and waste handling activities.</w:t>
            </w:r>
          </w:p>
        </w:tc>
        <w:tc>
          <w:tcPr>
            <w:tcW w:w="3685" w:type="dxa"/>
          </w:tcPr>
          <w:p w14:paraId="74ED37BF" w14:textId="77777777" w:rsidR="00F32236" w:rsidRDefault="00F32236" w:rsidP="009A1254">
            <w:pPr>
              <w:rPr>
                <w:rFonts w:cs="Arial"/>
                <w:szCs w:val="22"/>
              </w:rPr>
            </w:pPr>
          </w:p>
        </w:tc>
      </w:tr>
      <w:tr w:rsidR="00F32236" w14:paraId="2EE142E4" w14:textId="77777777" w:rsidTr="007D6892">
        <w:tc>
          <w:tcPr>
            <w:tcW w:w="629" w:type="dxa"/>
          </w:tcPr>
          <w:p w14:paraId="1E307631" w14:textId="77777777" w:rsidR="00F32236" w:rsidRDefault="00F32236" w:rsidP="009A1254">
            <w:pPr>
              <w:rPr>
                <w:rFonts w:cs="Arial"/>
                <w:szCs w:val="22"/>
              </w:rPr>
            </w:pPr>
            <w:r>
              <w:rPr>
                <w:rFonts w:cs="Arial"/>
                <w:szCs w:val="22"/>
              </w:rPr>
              <w:t>2.1</w:t>
            </w:r>
          </w:p>
        </w:tc>
        <w:tc>
          <w:tcPr>
            <w:tcW w:w="2031" w:type="dxa"/>
          </w:tcPr>
          <w:p w14:paraId="4433072C" w14:textId="77777777" w:rsidR="00F32236" w:rsidRDefault="00F32236" w:rsidP="009A1254">
            <w:pPr>
              <w:rPr>
                <w:rFonts w:cs="Arial"/>
                <w:szCs w:val="22"/>
              </w:rPr>
            </w:pPr>
            <w:r w:rsidRPr="00577C71">
              <w:rPr>
                <w:rFonts w:cs="Arial"/>
                <w:szCs w:val="22"/>
              </w:rPr>
              <w:t>Article 21. State sanitary</w:t>
            </w:r>
            <w:r>
              <w:rPr>
                <w:rFonts w:cs="Arial"/>
                <w:szCs w:val="22"/>
              </w:rPr>
              <w:t xml:space="preserve"> </w:t>
            </w:r>
            <w:r w:rsidRPr="00577C71">
              <w:rPr>
                <w:rFonts w:cs="Arial"/>
                <w:szCs w:val="22"/>
              </w:rPr>
              <w:t>and epidemiological</w:t>
            </w:r>
            <w:r>
              <w:rPr>
                <w:rFonts w:cs="Arial"/>
                <w:szCs w:val="22"/>
              </w:rPr>
              <w:t xml:space="preserve"> </w:t>
            </w:r>
            <w:r w:rsidRPr="00577C71">
              <w:rPr>
                <w:rFonts w:cs="Arial"/>
                <w:szCs w:val="22"/>
              </w:rPr>
              <w:t>surveillance</w:t>
            </w:r>
          </w:p>
        </w:tc>
        <w:tc>
          <w:tcPr>
            <w:tcW w:w="4111" w:type="dxa"/>
          </w:tcPr>
          <w:p w14:paraId="74A706DC" w14:textId="77777777" w:rsidR="00F32236" w:rsidRDefault="00F32236" w:rsidP="009A1254">
            <w:pPr>
              <w:rPr>
                <w:rFonts w:cs="Arial"/>
                <w:szCs w:val="22"/>
              </w:rPr>
            </w:pPr>
            <w:r w:rsidRPr="00577C71">
              <w:rPr>
                <w:rFonts w:cs="Arial"/>
                <w:szCs w:val="22"/>
              </w:rPr>
              <w:t>2. Individuals</w:t>
            </w:r>
            <w:r>
              <w:rPr>
                <w:rFonts w:cs="Arial"/>
                <w:szCs w:val="22"/>
              </w:rPr>
              <w:t xml:space="preserve">, legal persons, buildings, and </w:t>
            </w:r>
            <w:r w:rsidRPr="00577C71">
              <w:rPr>
                <w:rFonts w:cs="Arial"/>
                <w:szCs w:val="22"/>
              </w:rPr>
              <w:t>facilities are objects of state</w:t>
            </w:r>
            <w:r>
              <w:rPr>
                <w:rFonts w:cs="Arial"/>
                <w:szCs w:val="22"/>
              </w:rPr>
              <w:t xml:space="preserve"> </w:t>
            </w:r>
            <w:r w:rsidRPr="00577C71">
              <w:rPr>
                <w:rFonts w:cs="Arial"/>
                <w:szCs w:val="22"/>
              </w:rPr>
              <w:t>sanitary and epidemiological surveillance</w:t>
            </w:r>
          </w:p>
        </w:tc>
        <w:tc>
          <w:tcPr>
            <w:tcW w:w="3685" w:type="dxa"/>
          </w:tcPr>
          <w:p w14:paraId="46BF2AFF" w14:textId="77777777" w:rsidR="00F32236" w:rsidRDefault="00F32236" w:rsidP="009A1254">
            <w:pPr>
              <w:rPr>
                <w:rFonts w:cs="Arial"/>
                <w:szCs w:val="22"/>
              </w:rPr>
            </w:pPr>
          </w:p>
        </w:tc>
      </w:tr>
      <w:tr w:rsidR="00F32236" w14:paraId="505BEBCD" w14:textId="77777777" w:rsidTr="007D6892">
        <w:tc>
          <w:tcPr>
            <w:tcW w:w="629" w:type="dxa"/>
          </w:tcPr>
          <w:p w14:paraId="12CFFEE5" w14:textId="77777777" w:rsidR="00F32236" w:rsidRDefault="00F32236" w:rsidP="009A1254">
            <w:pPr>
              <w:rPr>
                <w:rFonts w:cs="Arial"/>
                <w:szCs w:val="22"/>
              </w:rPr>
            </w:pPr>
            <w:r>
              <w:rPr>
                <w:rFonts w:cs="Arial"/>
                <w:szCs w:val="22"/>
              </w:rPr>
              <w:t>2.2</w:t>
            </w:r>
          </w:p>
        </w:tc>
        <w:tc>
          <w:tcPr>
            <w:tcW w:w="2031" w:type="dxa"/>
          </w:tcPr>
          <w:p w14:paraId="50725767" w14:textId="77777777" w:rsidR="00F32236" w:rsidRPr="005E52F0" w:rsidRDefault="00F32236" w:rsidP="009A1254">
            <w:pPr>
              <w:rPr>
                <w:rFonts w:cs="Arial"/>
                <w:szCs w:val="22"/>
              </w:rPr>
            </w:pPr>
            <w:r w:rsidRPr="005E52F0">
              <w:rPr>
                <w:rFonts w:cs="Arial"/>
                <w:szCs w:val="22"/>
              </w:rPr>
              <w:t>Chapter 24. Sanitary and</w:t>
            </w:r>
            <w:r>
              <w:rPr>
                <w:rFonts w:cs="Arial"/>
                <w:szCs w:val="22"/>
              </w:rPr>
              <w:t xml:space="preserve"> </w:t>
            </w:r>
            <w:r w:rsidRPr="005E52F0">
              <w:rPr>
                <w:rFonts w:cs="Arial"/>
                <w:szCs w:val="22"/>
              </w:rPr>
              <w:t>epidemiological welfare of</w:t>
            </w:r>
            <w:r>
              <w:rPr>
                <w:rFonts w:cs="Arial"/>
                <w:szCs w:val="22"/>
              </w:rPr>
              <w:t xml:space="preserve"> </w:t>
            </w:r>
            <w:r w:rsidRPr="005E52F0">
              <w:rPr>
                <w:rFonts w:cs="Arial"/>
                <w:szCs w:val="22"/>
              </w:rPr>
              <w:t>the population</w:t>
            </w:r>
            <w:r>
              <w:rPr>
                <w:rFonts w:cs="Arial"/>
                <w:szCs w:val="22"/>
              </w:rPr>
              <w:t xml:space="preserve"> </w:t>
            </w:r>
            <w:r w:rsidRPr="005E52F0">
              <w:rPr>
                <w:rFonts w:cs="Arial"/>
                <w:szCs w:val="22"/>
              </w:rPr>
              <w:t>Article 144. State sanitary</w:t>
            </w:r>
            <w:r>
              <w:rPr>
                <w:rFonts w:cs="Arial"/>
                <w:szCs w:val="22"/>
              </w:rPr>
              <w:t xml:space="preserve"> </w:t>
            </w:r>
            <w:r w:rsidRPr="005E52F0">
              <w:rPr>
                <w:rFonts w:cs="Arial"/>
                <w:szCs w:val="22"/>
              </w:rPr>
              <w:t>and epidemiological norms</w:t>
            </w:r>
          </w:p>
          <w:p w14:paraId="4D8FFDCF" w14:textId="77777777" w:rsidR="00F32236" w:rsidRDefault="00F32236" w:rsidP="009A1254">
            <w:pPr>
              <w:rPr>
                <w:rFonts w:cs="Arial"/>
                <w:szCs w:val="22"/>
              </w:rPr>
            </w:pPr>
            <w:r w:rsidRPr="005E52F0">
              <w:rPr>
                <w:rFonts w:cs="Arial"/>
                <w:szCs w:val="22"/>
              </w:rPr>
              <w:t>Article 145. Sanitary and</w:t>
            </w:r>
            <w:r>
              <w:rPr>
                <w:rFonts w:cs="Arial"/>
                <w:szCs w:val="22"/>
              </w:rPr>
              <w:t xml:space="preserve"> </w:t>
            </w:r>
            <w:r w:rsidRPr="005E52F0">
              <w:rPr>
                <w:rFonts w:cs="Arial"/>
                <w:szCs w:val="22"/>
              </w:rPr>
              <w:t>epidemiological</w:t>
            </w:r>
            <w:r>
              <w:rPr>
                <w:rFonts w:cs="Arial"/>
                <w:szCs w:val="22"/>
              </w:rPr>
              <w:t xml:space="preserve"> </w:t>
            </w:r>
            <w:r w:rsidRPr="005E52F0">
              <w:rPr>
                <w:rFonts w:cs="Arial"/>
                <w:szCs w:val="22"/>
              </w:rPr>
              <w:t>requirements</w:t>
            </w:r>
          </w:p>
        </w:tc>
        <w:tc>
          <w:tcPr>
            <w:tcW w:w="4111" w:type="dxa"/>
          </w:tcPr>
          <w:p w14:paraId="2808BD8D" w14:textId="77777777" w:rsidR="00F32236" w:rsidRPr="005E52F0" w:rsidRDefault="00F32236" w:rsidP="009A1254">
            <w:pPr>
              <w:rPr>
                <w:rFonts w:cs="Arial"/>
                <w:szCs w:val="22"/>
              </w:rPr>
            </w:pPr>
            <w:r w:rsidRPr="005E52F0">
              <w:rPr>
                <w:rFonts w:cs="Arial"/>
                <w:szCs w:val="22"/>
              </w:rPr>
              <w:t>Sanitary rules and hygienic standards set sanitary and epidemiological</w:t>
            </w:r>
            <w:r>
              <w:rPr>
                <w:rFonts w:cs="Arial"/>
                <w:szCs w:val="22"/>
              </w:rPr>
              <w:t xml:space="preserve"> </w:t>
            </w:r>
            <w:r w:rsidRPr="005E52F0">
              <w:rPr>
                <w:rFonts w:cs="Arial"/>
                <w:szCs w:val="22"/>
              </w:rPr>
              <w:t>requirements for:</w:t>
            </w:r>
          </w:p>
          <w:p w14:paraId="725C8B68" w14:textId="77777777" w:rsidR="00F32236" w:rsidRPr="005E52F0" w:rsidRDefault="00F32236" w:rsidP="009A1254">
            <w:pPr>
              <w:rPr>
                <w:rFonts w:cs="Arial"/>
                <w:szCs w:val="22"/>
              </w:rPr>
            </w:pPr>
            <w:r w:rsidRPr="005E52F0">
              <w:rPr>
                <w:rFonts w:cs="Arial"/>
                <w:szCs w:val="22"/>
              </w:rPr>
              <w:t>1) maintenance and operation of industrial, public, residential and other</w:t>
            </w:r>
            <w:r>
              <w:rPr>
                <w:rFonts w:cs="Arial"/>
                <w:szCs w:val="22"/>
              </w:rPr>
              <w:t xml:space="preserve"> </w:t>
            </w:r>
            <w:r w:rsidRPr="005E52F0">
              <w:rPr>
                <w:rFonts w:cs="Arial"/>
                <w:szCs w:val="22"/>
              </w:rPr>
              <w:t>facilities, buildings, equipment and vehicles;</w:t>
            </w:r>
          </w:p>
          <w:p w14:paraId="635D1608" w14:textId="77777777" w:rsidR="00F32236" w:rsidRPr="005E52F0" w:rsidRDefault="00F32236" w:rsidP="009A1254">
            <w:pPr>
              <w:rPr>
                <w:rFonts w:cs="Arial"/>
                <w:szCs w:val="22"/>
              </w:rPr>
            </w:pPr>
            <w:r w:rsidRPr="005E52F0">
              <w:rPr>
                <w:rFonts w:cs="Arial"/>
                <w:szCs w:val="22"/>
              </w:rPr>
              <w:t>2) choice of land for construction;</w:t>
            </w:r>
          </w:p>
          <w:p w14:paraId="0523177D" w14:textId="77777777" w:rsidR="00F32236" w:rsidRPr="005E52F0" w:rsidRDefault="00F32236" w:rsidP="009A1254">
            <w:pPr>
              <w:rPr>
                <w:rFonts w:cs="Arial"/>
                <w:szCs w:val="22"/>
              </w:rPr>
            </w:pPr>
            <w:r w:rsidRPr="005E52F0">
              <w:rPr>
                <w:rFonts w:cs="Arial"/>
                <w:szCs w:val="22"/>
              </w:rPr>
              <w:t>3) design, constr</w:t>
            </w:r>
            <w:r>
              <w:rPr>
                <w:rFonts w:cs="Arial"/>
                <w:szCs w:val="22"/>
              </w:rPr>
              <w:t xml:space="preserve">uction, reconstruction, repair, </w:t>
            </w:r>
            <w:r w:rsidRPr="005E52F0">
              <w:rPr>
                <w:rFonts w:cs="Arial"/>
                <w:szCs w:val="22"/>
              </w:rPr>
              <w:t>commissioning and</w:t>
            </w:r>
            <w:r>
              <w:rPr>
                <w:rFonts w:cs="Arial"/>
                <w:szCs w:val="22"/>
              </w:rPr>
              <w:t xml:space="preserve"> </w:t>
            </w:r>
            <w:r w:rsidRPr="005E52F0">
              <w:rPr>
                <w:rFonts w:cs="Arial"/>
                <w:szCs w:val="22"/>
              </w:rPr>
              <w:t>maintenance of facilities;</w:t>
            </w:r>
          </w:p>
          <w:p w14:paraId="2E48BD13" w14:textId="77777777" w:rsidR="00F32236" w:rsidRDefault="00F32236" w:rsidP="009A1254">
            <w:pPr>
              <w:rPr>
                <w:rFonts w:cs="Arial"/>
                <w:szCs w:val="22"/>
              </w:rPr>
            </w:pPr>
            <w:r w:rsidRPr="005E52F0">
              <w:rPr>
                <w:rFonts w:cs="Arial"/>
                <w:szCs w:val="22"/>
              </w:rPr>
              <w:t>13) collection</w:t>
            </w:r>
            <w:r>
              <w:rPr>
                <w:rFonts w:cs="Arial"/>
                <w:szCs w:val="22"/>
              </w:rPr>
              <w:t xml:space="preserve">, utilization, use, processing, </w:t>
            </w:r>
            <w:r w:rsidRPr="005E52F0">
              <w:rPr>
                <w:rFonts w:cs="Arial"/>
                <w:szCs w:val="22"/>
              </w:rPr>
              <w:t>transportation, disposal and burial</w:t>
            </w:r>
            <w:r>
              <w:rPr>
                <w:rFonts w:cs="Arial"/>
                <w:szCs w:val="22"/>
              </w:rPr>
              <w:t xml:space="preserve"> </w:t>
            </w:r>
            <w:r w:rsidRPr="005E52F0">
              <w:rPr>
                <w:rFonts w:cs="Arial"/>
                <w:szCs w:val="22"/>
              </w:rPr>
              <w:t>of industrial and municipal waste;</w:t>
            </w:r>
          </w:p>
        </w:tc>
        <w:tc>
          <w:tcPr>
            <w:tcW w:w="3685" w:type="dxa"/>
          </w:tcPr>
          <w:p w14:paraId="378A5141" w14:textId="77777777" w:rsidR="00F32236" w:rsidRDefault="00F32236" w:rsidP="009A1254">
            <w:pPr>
              <w:rPr>
                <w:rFonts w:cs="Arial"/>
                <w:szCs w:val="22"/>
              </w:rPr>
            </w:pPr>
          </w:p>
        </w:tc>
      </w:tr>
      <w:tr w:rsidR="00F32236" w14:paraId="453D482D" w14:textId="77777777" w:rsidTr="007D6892">
        <w:tc>
          <w:tcPr>
            <w:tcW w:w="629" w:type="dxa"/>
          </w:tcPr>
          <w:p w14:paraId="7171F25C" w14:textId="77777777" w:rsidR="00F32236" w:rsidRDefault="00F32236" w:rsidP="009A1254">
            <w:pPr>
              <w:rPr>
                <w:rFonts w:cs="Arial"/>
                <w:szCs w:val="22"/>
              </w:rPr>
            </w:pPr>
            <w:r>
              <w:rPr>
                <w:rFonts w:cs="Arial"/>
                <w:szCs w:val="22"/>
              </w:rPr>
              <w:t>3.</w:t>
            </w:r>
          </w:p>
        </w:tc>
        <w:tc>
          <w:tcPr>
            <w:tcW w:w="2031" w:type="dxa"/>
          </w:tcPr>
          <w:p w14:paraId="3B6B99ED" w14:textId="77777777" w:rsidR="00F32236" w:rsidRDefault="00F32236" w:rsidP="009A1254">
            <w:pPr>
              <w:rPr>
                <w:rFonts w:cs="Arial"/>
                <w:szCs w:val="22"/>
              </w:rPr>
            </w:pPr>
            <w:r w:rsidRPr="00792DAB">
              <w:rPr>
                <w:rFonts w:cs="Arial"/>
                <w:szCs w:val="22"/>
              </w:rPr>
              <w:t>Housing and public utilities</w:t>
            </w:r>
            <w:r>
              <w:rPr>
                <w:rFonts w:cs="Arial"/>
                <w:szCs w:val="22"/>
              </w:rPr>
              <w:t xml:space="preserve"> </w:t>
            </w:r>
            <w:r w:rsidRPr="00792DAB">
              <w:rPr>
                <w:rFonts w:cs="Arial"/>
                <w:szCs w:val="22"/>
              </w:rPr>
              <w:t>modernization program</w:t>
            </w:r>
            <w:r>
              <w:rPr>
                <w:rFonts w:cs="Arial"/>
                <w:szCs w:val="22"/>
              </w:rPr>
              <w:t xml:space="preserve"> </w:t>
            </w:r>
            <w:r w:rsidRPr="00792DAB">
              <w:rPr>
                <w:rFonts w:cs="Arial"/>
                <w:szCs w:val="22"/>
              </w:rPr>
              <w:t>until 2020</w:t>
            </w:r>
            <w:r>
              <w:rPr>
                <w:rFonts w:cs="Arial"/>
                <w:szCs w:val="22"/>
              </w:rPr>
              <w:t xml:space="preserve"> dd 30 April 2011 </w:t>
            </w:r>
            <w:r w:rsidRPr="00F32236">
              <w:rPr>
                <w:rFonts w:cs="Arial"/>
                <w:szCs w:val="22"/>
              </w:rPr>
              <w:t xml:space="preserve">№ 473 </w:t>
            </w:r>
            <w:r>
              <w:rPr>
                <w:rFonts w:cs="Arial"/>
                <w:szCs w:val="22"/>
              </w:rPr>
              <w:t>(executed by the Ministry of Regional Development)</w:t>
            </w:r>
          </w:p>
        </w:tc>
        <w:tc>
          <w:tcPr>
            <w:tcW w:w="4111" w:type="dxa"/>
          </w:tcPr>
          <w:p w14:paraId="29FCDF28" w14:textId="77777777" w:rsidR="00F32236" w:rsidRDefault="00F32236" w:rsidP="009A1254">
            <w:pPr>
              <w:rPr>
                <w:rFonts w:cs="Arial"/>
                <w:szCs w:val="22"/>
              </w:rPr>
            </w:pPr>
            <w:r>
              <w:rPr>
                <w:rFonts w:cs="Arial"/>
                <w:szCs w:val="22"/>
              </w:rPr>
              <w:t>Introduction</w:t>
            </w:r>
            <w:r w:rsidRPr="00684A2E">
              <w:rPr>
                <w:rFonts w:cs="Arial"/>
                <w:szCs w:val="22"/>
              </w:rPr>
              <w:t xml:space="preserve"> of modern management methods in </w:t>
            </w:r>
            <w:r>
              <w:rPr>
                <w:rFonts w:cs="Arial"/>
                <w:szCs w:val="22"/>
              </w:rPr>
              <w:t>the housing and utility</w:t>
            </w:r>
            <w:r w:rsidRPr="00684A2E">
              <w:rPr>
                <w:rFonts w:cs="Arial"/>
                <w:szCs w:val="22"/>
              </w:rPr>
              <w:t xml:space="preserve"> sector </w:t>
            </w:r>
            <w:r>
              <w:rPr>
                <w:rFonts w:cs="Arial"/>
                <w:szCs w:val="22"/>
              </w:rPr>
              <w:t>and improvement of utility services</w:t>
            </w:r>
          </w:p>
        </w:tc>
        <w:tc>
          <w:tcPr>
            <w:tcW w:w="3685" w:type="dxa"/>
          </w:tcPr>
          <w:p w14:paraId="6509D500" w14:textId="77777777" w:rsidR="00F32236" w:rsidRDefault="00F32236" w:rsidP="009A1254">
            <w:pPr>
              <w:rPr>
                <w:rFonts w:cs="Arial"/>
                <w:szCs w:val="22"/>
              </w:rPr>
            </w:pPr>
            <w:r w:rsidRPr="00684A2E">
              <w:rPr>
                <w:rFonts w:cs="Arial"/>
                <w:szCs w:val="22"/>
              </w:rPr>
              <w:t>There are no specific actions planned for</w:t>
            </w:r>
            <w:r>
              <w:rPr>
                <w:rFonts w:cs="Arial"/>
                <w:szCs w:val="22"/>
              </w:rPr>
              <w:t xml:space="preserve"> </w:t>
            </w:r>
            <w:r w:rsidRPr="00684A2E">
              <w:rPr>
                <w:rFonts w:cs="Arial"/>
                <w:szCs w:val="22"/>
              </w:rPr>
              <w:t>MSW management, however the sited item</w:t>
            </w:r>
            <w:r>
              <w:rPr>
                <w:rFonts w:cs="Arial"/>
                <w:szCs w:val="22"/>
              </w:rPr>
              <w:t xml:space="preserve"> </w:t>
            </w:r>
            <w:r w:rsidRPr="00684A2E">
              <w:rPr>
                <w:rFonts w:cs="Arial"/>
                <w:szCs w:val="22"/>
              </w:rPr>
              <w:t>apparently implies the development of this</w:t>
            </w:r>
            <w:r>
              <w:rPr>
                <w:rFonts w:cs="Arial"/>
                <w:szCs w:val="22"/>
              </w:rPr>
              <w:t xml:space="preserve"> </w:t>
            </w:r>
            <w:r w:rsidRPr="00684A2E">
              <w:rPr>
                <w:rFonts w:cs="Arial"/>
                <w:szCs w:val="22"/>
              </w:rPr>
              <w:t>sector.</w:t>
            </w:r>
          </w:p>
        </w:tc>
      </w:tr>
      <w:tr w:rsidR="00F32236" w14:paraId="4E44E45B" w14:textId="77777777" w:rsidTr="007D6892">
        <w:tc>
          <w:tcPr>
            <w:tcW w:w="629" w:type="dxa"/>
          </w:tcPr>
          <w:p w14:paraId="5B06C4C2" w14:textId="77777777" w:rsidR="00F32236" w:rsidRDefault="00F32236" w:rsidP="009A1254">
            <w:pPr>
              <w:rPr>
                <w:rFonts w:cs="Arial"/>
                <w:szCs w:val="22"/>
              </w:rPr>
            </w:pPr>
            <w:r>
              <w:rPr>
                <w:rFonts w:cs="Arial"/>
                <w:szCs w:val="22"/>
              </w:rPr>
              <w:t>4.</w:t>
            </w:r>
          </w:p>
        </w:tc>
        <w:tc>
          <w:tcPr>
            <w:tcW w:w="2031" w:type="dxa"/>
          </w:tcPr>
          <w:p w14:paraId="2DB71B39" w14:textId="77777777" w:rsidR="00F32236" w:rsidRPr="00F32236" w:rsidRDefault="00F32236" w:rsidP="009A1254">
            <w:pPr>
              <w:rPr>
                <w:rFonts w:cs="Arial"/>
                <w:szCs w:val="22"/>
              </w:rPr>
            </w:pPr>
            <w:r w:rsidRPr="005E3145">
              <w:rPr>
                <w:rFonts w:cs="Arial"/>
                <w:szCs w:val="22"/>
              </w:rPr>
              <w:t xml:space="preserve">National Program for Solid Waster Management for 2014 </w:t>
            </w:r>
            <w:r>
              <w:rPr>
                <w:rFonts w:cs="Arial"/>
                <w:szCs w:val="22"/>
              </w:rPr>
              <w:t>–</w:t>
            </w:r>
            <w:r w:rsidRPr="005E3145">
              <w:rPr>
                <w:rFonts w:cs="Arial"/>
                <w:szCs w:val="22"/>
              </w:rPr>
              <w:t xml:space="preserve"> 2050</w:t>
            </w:r>
            <w:r>
              <w:rPr>
                <w:rFonts w:cs="Arial"/>
                <w:szCs w:val="22"/>
              </w:rPr>
              <w:t xml:space="preserve"> dd 09 June 2014 </w:t>
            </w:r>
            <w:r w:rsidRPr="0013277D">
              <w:rPr>
                <w:rFonts w:cs="Arial"/>
                <w:szCs w:val="22"/>
              </w:rPr>
              <w:t>№ 634 (executed by the Ministry of Environment and Water Resources)</w:t>
            </w:r>
          </w:p>
        </w:tc>
        <w:tc>
          <w:tcPr>
            <w:tcW w:w="4111" w:type="dxa"/>
          </w:tcPr>
          <w:p w14:paraId="649C1DE4" w14:textId="77777777" w:rsidR="00F32236" w:rsidRPr="00666C81" w:rsidRDefault="00F32236" w:rsidP="009A1254">
            <w:pPr>
              <w:rPr>
                <w:rFonts w:cs="Arial"/>
                <w:szCs w:val="22"/>
              </w:rPr>
            </w:pPr>
            <w:r>
              <w:rPr>
                <w:rFonts w:cs="Arial"/>
                <w:szCs w:val="22"/>
              </w:rPr>
              <w:t>Improve</w:t>
            </w:r>
            <w:r w:rsidRPr="00666C81">
              <w:rPr>
                <w:rFonts w:cs="Arial"/>
                <w:szCs w:val="22"/>
              </w:rPr>
              <w:t xml:space="preserve"> effectiveness and reliability, environmental and social acceptability of solid waste management services including collection, tra</w:t>
            </w:r>
            <w:r>
              <w:rPr>
                <w:rFonts w:cs="Arial"/>
                <w:szCs w:val="22"/>
              </w:rPr>
              <w:t>n</w:t>
            </w:r>
            <w:r w:rsidRPr="00666C81">
              <w:rPr>
                <w:rFonts w:cs="Arial"/>
                <w:szCs w:val="22"/>
              </w:rPr>
              <w:t>sport, recycling and disposal</w:t>
            </w:r>
            <w:r>
              <w:rPr>
                <w:rFonts w:cs="Arial"/>
                <w:szCs w:val="22"/>
              </w:rPr>
              <w:t>. In particular, the program targets the following aspects of SWM:</w:t>
            </w:r>
          </w:p>
          <w:p w14:paraId="543398E8" w14:textId="77777777" w:rsidR="00F32236" w:rsidRPr="00F32236" w:rsidRDefault="00F32236" w:rsidP="009A1254">
            <w:pPr>
              <w:rPr>
                <w:rFonts w:cs="Arial"/>
                <w:szCs w:val="22"/>
              </w:rPr>
            </w:pPr>
          </w:p>
          <w:p w14:paraId="5A7DD765" w14:textId="77777777" w:rsidR="00F32236" w:rsidRDefault="00F32236" w:rsidP="009A1254">
            <w:pPr>
              <w:rPr>
                <w:rFonts w:cs="Arial"/>
                <w:szCs w:val="22"/>
              </w:rPr>
            </w:pPr>
            <w:r>
              <w:rPr>
                <w:rFonts w:cs="Arial"/>
                <w:szCs w:val="22"/>
              </w:rPr>
              <w:t xml:space="preserve">(i) </w:t>
            </w:r>
            <w:r w:rsidRPr="00C93ACF">
              <w:rPr>
                <w:rFonts w:cs="Arial"/>
                <w:szCs w:val="22"/>
              </w:rPr>
              <w:t>Introduction and expansion of SW recycling;</w:t>
            </w:r>
            <w:r w:rsidRPr="00C93ACF">
              <w:rPr>
                <w:rFonts w:cs="Arial"/>
                <w:szCs w:val="22"/>
              </w:rPr>
              <w:br/>
            </w:r>
            <w:r>
              <w:rPr>
                <w:rFonts w:cs="Arial"/>
                <w:szCs w:val="22"/>
              </w:rPr>
              <w:t xml:space="preserve">(ii) </w:t>
            </w:r>
            <w:r w:rsidRPr="00C93ACF">
              <w:rPr>
                <w:rFonts w:cs="Arial"/>
                <w:szCs w:val="22"/>
              </w:rPr>
              <w:t>Modernization of collection and transport of SW;</w:t>
            </w:r>
            <w:r w:rsidRPr="00C93ACF">
              <w:rPr>
                <w:rFonts w:cs="Arial"/>
                <w:szCs w:val="22"/>
              </w:rPr>
              <w:br/>
            </w:r>
            <w:r>
              <w:rPr>
                <w:rFonts w:cs="Arial"/>
                <w:szCs w:val="22"/>
              </w:rPr>
              <w:t xml:space="preserve">(iii) </w:t>
            </w:r>
            <w:r w:rsidRPr="00C93ACF">
              <w:rPr>
                <w:rFonts w:cs="Arial"/>
                <w:szCs w:val="22"/>
              </w:rPr>
              <w:t>Introduction of country-wide separate collection</w:t>
            </w:r>
            <w:r>
              <w:rPr>
                <w:rFonts w:cs="Arial"/>
                <w:szCs w:val="22"/>
              </w:rPr>
              <w:t>;</w:t>
            </w:r>
            <w:r w:rsidRPr="00C93ACF">
              <w:rPr>
                <w:rFonts w:cs="Arial"/>
                <w:szCs w:val="22"/>
              </w:rPr>
              <w:br/>
            </w:r>
            <w:r>
              <w:rPr>
                <w:rFonts w:cs="Arial"/>
                <w:szCs w:val="22"/>
              </w:rPr>
              <w:t xml:space="preserve">(iv) </w:t>
            </w:r>
            <w:r w:rsidRPr="00C93ACF">
              <w:rPr>
                <w:rFonts w:cs="Arial"/>
                <w:szCs w:val="22"/>
              </w:rPr>
              <w:t>Widespread introduction of separate collection of domestic hazardous waste and improvement of waste handling system for this type of waste</w:t>
            </w:r>
            <w:r>
              <w:rPr>
                <w:rFonts w:cs="Arial"/>
                <w:szCs w:val="22"/>
              </w:rPr>
              <w:t>;</w:t>
            </w:r>
            <w:r w:rsidRPr="00C93ACF">
              <w:rPr>
                <w:rFonts w:cs="Arial"/>
                <w:szCs w:val="22"/>
              </w:rPr>
              <w:t xml:space="preserve"> </w:t>
            </w:r>
            <w:r w:rsidRPr="00C93ACF">
              <w:rPr>
                <w:rFonts w:cs="Arial"/>
                <w:szCs w:val="22"/>
              </w:rPr>
              <w:br/>
            </w:r>
            <w:r>
              <w:rPr>
                <w:rFonts w:cs="Arial"/>
                <w:szCs w:val="22"/>
              </w:rPr>
              <w:t xml:space="preserve">(v) </w:t>
            </w:r>
            <w:r w:rsidRPr="00C93ACF">
              <w:rPr>
                <w:rFonts w:cs="Arial"/>
                <w:szCs w:val="22"/>
              </w:rPr>
              <w:t>Improvement of waste handling system for other types</w:t>
            </w:r>
            <w:r>
              <w:rPr>
                <w:rFonts w:cs="Arial"/>
                <w:szCs w:val="22"/>
              </w:rPr>
              <w:t xml:space="preserve"> of domestic waste;</w:t>
            </w:r>
          </w:p>
          <w:p w14:paraId="28BD12BD" w14:textId="77777777" w:rsidR="00F32236" w:rsidRPr="00C93ACF" w:rsidRDefault="00F32236" w:rsidP="009A1254">
            <w:pPr>
              <w:rPr>
                <w:rFonts w:cs="Arial"/>
                <w:szCs w:val="22"/>
              </w:rPr>
            </w:pPr>
            <w:r>
              <w:rPr>
                <w:rFonts w:cs="Arial"/>
                <w:szCs w:val="22"/>
              </w:rPr>
              <w:t>(vi) Improvement of a system for recycling car tyres</w:t>
            </w:r>
          </w:p>
          <w:p w14:paraId="7884965A" w14:textId="77777777" w:rsidR="00F32236" w:rsidRDefault="00F32236" w:rsidP="009A1254">
            <w:pPr>
              <w:rPr>
                <w:rFonts w:cs="Arial"/>
                <w:szCs w:val="22"/>
              </w:rPr>
            </w:pPr>
          </w:p>
        </w:tc>
        <w:tc>
          <w:tcPr>
            <w:tcW w:w="3685" w:type="dxa"/>
          </w:tcPr>
          <w:p w14:paraId="1188F5A8" w14:textId="77777777" w:rsidR="00F32236" w:rsidRDefault="00F32236" w:rsidP="009A1254">
            <w:pPr>
              <w:rPr>
                <w:rFonts w:cs="Arial"/>
                <w:szCs w:val="22"/>
              </w:rPr>
            </w:pPr>
            <w:r>
              <w:rPr>
                <w:rFonts w:cs="Arial"/>
                <w:szCs w:val="22"/>
              </w:rPr>
              <w:t>The recently approved program mandates development of the National Action Plan and 16 regional action plans to start implementation of the Program.</w:t>
            </w:r>
          </w:p>
        </w:tc>
      </w:tr>
      <w:tr w:rsidR="00F32236" w14:paraId="704620CC" w14:textId="77777777" w:rsidTr="007D6892">
        <w:tc>
          <w:tcPr>
            <w:tcW w:w="629" w:type="dxa"/>
          </w:tcPr>
          <w:p w14:paraId="43F944FC" w14:textId="77777777" w:rsidR="00F32236" w:rsidRDefault="00F32236" w:rsidP="009A1254">
            <w:pPr>
              <w:rPr>
                <w:rFonts w:cs="Arial"/>
                <w:szCs w:val="22"/>
              </w:rPr>
            </w:pPr>
            <w:r>
              <w:rPr>
                <w:rFonts w:cs="Arial"/>
                <w:szCs w:val="22"/>
              </w:rPr>
              <w:t>5.</w:t>
            </w:r>
          </w:p>
        </w:tc>
        <w:tc>
          <w:tcPr>
            <w:tcW w:w="2031" w:type="dxa"/>
          </w:tcPr>
          <w:p w14:paraId="4CD84DCA" w14:textId="77777777" w:rsidR="00F32236" w:rsidRDefault="00F32236" w:rsidP="009A1254">
            <w:pPr>
              <w:rPr>
                <w:rFonts w:cs="Arial"/>
                <w:szCs w:val="22"/>
              </w:rPr>
            </w:pPr>
            <w:r w:rsidRPr="00626E0F">
              <w:rPr>
                <w:rFonts w:cs="Arial"/>
                <w:szCs w:val="22"/>
              </w:rPr>
              <w:t>The list of waste to be</w:t>
            </w:r>
            <w:r>
              <w:rPr>
                <w:rFonts w:cs="Arial"/>
                <w:szCs w:val="22"/>
              </w:rPr>
              <w:t xml:space="preserve"> </w:t>
            </w:r>
            <w:r w:rsidRPr="00626E0F">
              <w:rPr>
                <w:rFonts w:cs="Arial"/>
                <w:szCs w:val="22"/>
              </w:rPr>
              <w:t>placed in landfills of</w:t>
            </w:r>
            <w:r>
              <w:rPr>
                <w:rFonts w:cs="Arial"/>
                <w:szCs w:val="22"/>
              </w:rPr>
              <w:t xml:space="preserve"> </w:t>
            </w:r>
            <w:r w:rsidRPr="00626E0F">
              <w:rPr>
                <w:rFonts w:cs="Arial"/>
                <w:szCs w:val="22"/>
              </w:rPr>
              <w:t>various types. Order of the</w:t>
            </w:r>
            <w:r>
              <w:rPr>
                <w:rFonts w:cs="Arial"/>
                <w:szCs w:val="22"/>
              </w:rPr>
              <w:t xml:space="preserve"> </w:t>
            </w:r>
            <w:r w:rsidRPr="00626E0F">
              <w:rPr>
                <w:rFonts w:cs="Arial"/>
                <w:szCs w:val="22"/>
              </w:rPr>
              <w:t>acting Minister of</w:t>
            </w:r>
            <w:r>
              <w:rPr>
                <w:rFonts w:cs="Arial"/>
                <w:szCs w:val="22"/>
              </w:rPr>
              <w:t xml:space="preserve"> </w:t>
            </w:r>
            <w:r w:rsidRPr="00626E0F">
              <w:rPr>
                <w:rFonts w:cs="Arial"/>
                <w:szCs w:val="22"/>
              </w:rPr>
              <w:t>Environmental Protection</w:t>
            </w:r>
            <w:r>
              <w:rPr>
                <w:rFonts w:cs="Arial"/>
                <w:szCs w:val="22"/>
              </w:rPr>
              <w:t xml:space="preserve"> of </w:t>
            </w:r>
            <w:r w:rsidRPr="00626E0F">
              <w:rPr>
                <w:rFonts w:cs="Arial"/>
                <w:szCs w:val="22"/>
              </w:rPr>
              <w:t>the Republic of</w:t>
            </w:r>
            <w:r>
              <w:rPr>
                <w:rFonts w:cs="Arial"/>
                <w:szCs w:val="22"/>
              </w:rPr>
              <w:t xml:space="preserve"> Kazakhstan dated </w:t>
            </w:r>
            <w:r w:rsidRPr="00626E0F">
              <w:rPr>
                <w:rFonts w:cs="Arial"/>
                <w:szCs w:val="22"/>
              </w:rPr>
              <w:t>August 2,</w:t>
            </w:r>
            <w:r>
              <w:rPr>
                <w:rFonts w:cs="Arial"/>
                <w:szCs w:val="22"/>
              </w:rPr>
              <w:t xml:space="preserve"> </w:t>
            </w:r>
            <w:r w:rsidRPr="00626E0F">
              <w:rPr>
                <w:rFonts w:cs="Arial"/>
                <w:szCs w:val="22"/>
              </w:rPr>
              <w:t>2007 # 244-p</w:t>
            </w:r>
          </w:p>
        </w:tc>
        <w:tc>
          <w:tcPr>
            <w:tcW w:w="4111" w:type="dxa"/>
          </w:tcPr>
          <w:p w14:paraId="212D1AD9" w14:textId="77777777" w:rsidR="00F32236" w:rsidRDefault="00F32236" w:rsidP="009A1254">
            <w:pPr>
              <w:rPr>
                <w:rFonts w:cs="Arial"/>
                <w:szCs w:val="22"/>
              </w:rPr>
            </w:pPr>
            <w:r w:rsidRPr="00135D34">
              <w:rPr>
                <w:rFonts w:cs="Arial"/>
                <w:szCs w:val="22"/>
              </w:rPr>
              <w:t>Defines the wastes to be placed in landfills of various types.</w:t>
            </w:r>
          </w:p>
        </w:tc>
        <w:tc>
          <w:tcPr>
            <w:tcW w:w="3685" w:type="dxa"/>
          </w:tcPr>
          <w:p w14:paraId="5A6BAFDA" w14:textId="77777777" w:rsidR="00F32236" w:rsidRDefault="00F32236" w:rsidP="009A1254">
            <w:pPr>
              <w:rPr>
                <w:rFonts w:cs="Arial"/>
                <w:szCs w:val="22"/>
              </w:rPr>
            </w:pPr>
          </w:p>
        </w:tc>
      </w:tr>
    </w:tbl>
    <w:p w14:paraId="4D6533CF" w14:textId="77777777" w:rsidR="00F32236" w:rsidRPr="00DA6AC7" w:rsidRDefault="00F32236" w:rsidP="00F32236">
      <w:pPr>
        <w:rPr>
          <w:rFonts w:cs="Arial"/>
          <w:szCs w:val="22"/>
        </w:rPr>
      </w:pPr>
    </w:p>
    <w:p w14:paraId="3E817639" w14:textId="77777777" w:rsidR="00FF6A34" w:rsidRPr="00F32236" w:rsidRDefault="00FF6A34" w:rsidP="00C603FC"/>
    <w:p w14:paraId="07A14360" w14:textId="77777777" w:rsidR="0008719E" w:rsidRDefault="0008719E" w:rsidP="0008719E">
      <w:pPr>
        <w:pStyle w:val="Heading1"/>
        <w:numPr>
          <w:ilvl w:val="0"/>
          <w:numId w:val="0"/>
        </w:numPr>
        <w:ind w:left="432" w:hanging="432"/>
        <w:rPr>
          <w:caps/>
          <w:smallCaps w:val="0"/>
          <w:lang w:val="en-US"/>
        </w:rPr>
      </w:pPr>
      <w:bookmarkStart w:id="99" w:name="_Toc393449019"/>
      <w:r w:rsidRPr="006D5FDB">
        <w:rPr>
          <w:caps/>
          <w:smallCaps w:val="0"/>
          <w:lang w:val="en-US"/>
        </w:rPr>
        <w:t xml:space="preserve">Annex </w:t>
      </w:r>
      <w:r>
        <w:rPr>
          <w:caps/>
          <w:smallCaps w:val="0"/>
          <w:lang w:val="en-US"/>
        </w:rPr>
        <w:t>F</w:t>
      </w:r>
      <w:r w:rsidRPr="006D5FDB">
        <w:rPr>
          <w:caps/>
          <w:smallCaps w:val="0"/>
          <w:lang w:val="en-US"/>
        </w:rPr>
        <w:t xml:space="preserve">: </w:t>
      </w:r>
      <w:r w:rsidR="004A721C">
        <w:rPr>
          <w:caps/>
          <w:smallCaps w:val="0"/>
          <w:lang w:val="en-US"/>
        </w:rPr>
        <w:t>GHG</w:t>
      </w:r>
      <w:r>
        <w:rPr>
          <w:caps/>
          <w:smallCaps w:val="0"/>
          <w:lang w:val="en-US"/>
        </w:rPr>
        <w:t xml:space="preserve"> emission analsys</w:t>
      </w:r>
      <w:bookmarkEnd w:id="99"/>
      <w:r w:rsidRPr="006D5FDB">
        <w:rPr>
          <w:caps/>
          <w:smallCaps w:val="0"/>
          <w:lang w:val="en-US"/>
        </w:rPr>
        <w:t xml:space="preserve"> </w:t>
      </w:r>
    </w:p>
    <w:p w14:paraId="50A2651C" w14:textId="77777777" w:rsidR="0008719E" w:rsidRPr="0008719E" w:rsidRDefault="0008719E" w:rsidP="007D6892">
      <w:pPr>
        <w:pStyle w:val="Bodynumbered"/>
        <w:numPr>
          <w:ilvl w:val="0"/>
          <w:numId w:val="49"/>
        </w:numPr>
        <w:rPr>
          <w:lang w:val="en-US"/>
        </w:rPr>
      </w:pPr>
      <w:r w:rsidRPr="0008719E">
        <w:rPr>
          <w:lang w:val="en-US"/>
        </w:rPr>
        <w:t>Estimation of the GHG impact of the proposed UNDP/GEF project has been done using the latest available Excel model available as part of the revised GHG manual for energy efficiency projects</w:t>
      </w:r>
      <w:r>
        <w:rPr>
          <w:rStyle w:val="FootnoteReference"/>
        </w:rPr>
        <w:footnoteReference w:id="34"/>
      </w:r>
      <w:r w:rsidRPr="0008719E">
        <w:rPr>
          <w:lang w:val="en-US"/>
        </w:rPr>
        <w:t xml:space="preserve">. The narrative below provides necessary explanations on the input values used and the resultant GHG figures.   </w:t>
      </w:r>
    </w:p>
    <w:p w14:paraId="010DB599" w14:textId="77777777" w:rsidR="0008719E" w:rsidRDefault="0008719E" w:rsidP="0008719E">
      <w:pPr>
        <w:rPr>
          <w:rFonts w:cs="Arial"/>
          <w:b/>
          <w:smallCaps/>
          <w:szCs w:val="22"/>
          <w:lang w:val="en-US"/>
        </w:rPr>
      </w:pPr>
      <w:r>
        <w:rPr>
          <w:rFonts w:cs="Arial"/>
          <w:b/>
          <w:smallCaps/>
          <w:szCs w:val="22"/>
          <w:lang w:val="en-US"/>
        </w:rPr>
        <w:t xml:space="preserve">Direct emission reductions </w:t>
      </w:r>
    </w:p>
    <w:p w14:paraId="05FC5A92" w14:textId="77777777" w:rsidR="0008719E" w:rsidRDefault="0008719E" w:rsidP="0008719E">
      <w:pPr>
        <w:rPr>
          <w:rFonts w:cs="Arial"/>
          <w:b/>
          <w:smallCaps/>
          <w:szCs w:val="22"/>
          <w:lang w:val="en-US"/>
        </w:rPr>
      </w:pPr>
    </w:p>
    <w:p w14:paraId="3D2B380E" w14:textId="77777777" w:rsidR="0008719E" w:rsidRDefault="0008719E" w:rsidP="0008719E">
      <w:pPr>
        <w:pStyle w:val="Bodynumbered"/>
      </w:pPr>
      <w:r>
        <w:rPr>
          <w:lang w:val="en-US"/>
        </w:rPr>
        <w:t xml:space="preserve">Direct GHG emission reductions are expected to be generated by two project components: </w:t>
      </w:r>
      <w:r>
        <w:t xml:space="preserve">Component 4: Implementation of pilot urban NAMA, and Component 3: Financing for urban NAMAs. </w:t>
      </w:r>
      <w:r>
        <w:rPr>
          <w:lang w:val="en-US"/>
        </w:rPr>
        <w:t xml:space="preserve"> This follows the revised guidelines whereby </w:t>
      </w:r>
      <w:r>
        <w:t xml:space="preserve">impacts of investments funded through financial mechanisms put in place during project lifetime are counted toward direct emission reductions, while investments from the financial mechanism taking place after project completion count toward direct post-project impacts. </w:t>
      </w:r>
    </w:p>
    <w:p w14:paraId="3E124C15" w14:textId="77777777" w:rsidR="0008719E" w:rsidRDefault="0008719E" w:rsidP="0008719E">
      <w:pPr>
        <w:pStyle w:val="Bodynumbered"/>
      </w:pPr>
      <w:r>
        <w:rPr>
          <w:lang w:val="en-US"/>
        </w:rPr>
        <w:t xml:space="preserve">Under Component 4 the project will </w:t>
      </w:r>
      <w:r w:rsidRPr="007A3BB6">
        <w:t xml:space="preserve">demonstrate feasibility of urban emission reduction </w:t>
      </w:r>
      <w:r>
        <w:rPr>
          <w:lang w:val="en-US"/>
        </w:rPr>
        <w:t xml:space="preserve">through a pilot urban NAMA to be implemented in the Prigorodnoye district of Astana. </w:t>
      </w:r>
      <w:r w:rsidRPr="000100B4">
        <w:t xml:space="preserve">A range of </w:t>
      </w:r>
      <w:r>
        <w:t xml:space="preserve">potential GHG mitigation measures have been identified for the Prigorodnoye pilot as part of the prefeasibility study which comprehensively address mitigation measures throughout the district. </w:t>
      </w:r>
    </w:p>
    <w:p w14:paraId="5EFD97CB" w14:textId="77777777" w:rsidR="0008719E" w:rsidRPr="00CD7DB0" w:rsidRDefault="0008719E" w:rsidP="0008719E">
      <w:pPr>
        <w:pStyle w:val="Bodynumbered"/>
      </w:pPr>
      <w:r>
        <w:t xml:space="preserve">The current profile of the </w:t>
      </w:r>
      <w:r>
        <w:rPr>
          <w:lang w:val="en-US"/>
        </w:rPr>
        <w:t>Prigorodnoye district is summarized below:</w:t>
      </w:r>
    </w:p>
    <w:tbl>
      <w:tblPr>
        <w:tblStyle w:val="TableGrid"/>
        <w:tblW w:w="0" w:type="auto"/>
        <w:tblInd w:w="720" w:type="dxa"/>
        <w:tblLook w:val="04A0" w:firstRow="1" w:lastRow="0" w:firstColumn="1" w:lastColumn="0" w:noHBand="0" w:noVBand="1"/>
      </w:tblPr>
      <w:tblGrid>
        <w:gridCol w:w="5200"/>
        <w:gridCol w:w="1418"/>
      </w:tblGrid>
      <w:tr w:rsidR="0008719E" w14:paraId="74E3AB01" w14:textId="77777777" w:rsidTr="0008719E">
        <w:trPr>
          <w:trHeight w:val="283"/>
        </w:trPr>
        <w:tc>
          <w:tcPr>
            <w:tcW w:w="5200" w:type="dxa"/>
          </w:tcPr>
          <w:p w14:paraId="41B5429A" w14:textId="77777777" w:rsidR="0008719E" w:rsidRPr="00CD7DB0" w:rsidRDefault="0008719E" w:rsidP="0008719E">
            <w:pPr>
              <w:pStyle w:val="Bodynumbered"/>
              <w:numPr>
                <w:ilvl w:val="0"/>
                <w:numId w:val="0"/>
              </w:numPr>
              <w:spacing w:after="0"/>
              <w:jc w:val="center"/>
              <w:rPr>
                <w:b/>
              </w:rPr>
            </w:pPr>
            <w:r w:rsidRPr="00CD7DB0">
              <w:rPr>
                <w:b/>
              </w:rPr>
              <w:t>Feature</w:t>
            </w:r>
          </w:p>
        </w:tc>
        <w:tc>
          <w:tcPr>
            <w:tcW w:w="1418" w:type="dxa"/>
          </w:tcPr>
          <w:p w14:paraId="61C8F173" w14:textId="77777777" w:rsidR="0008719E" w:rsidRPr="00CD7DB0" w:rsidRDefault="0008719E" w:rsidP="0008719E">
            <w:pPr>
              <w:pStyle w:val="Bodynumbered"/>
              <w:numPr>
                <w:ilvl w:val="0"/>
                <w:numId w:val="0"/>
              </w:numPr>
              <w:spacing w:after="0"/>
              <w:jc w:val="center"/>
              <w:rPr>
                <w:b/>
              </w:rPr>
            </w:pPr>
            <w:r w:rsidRPr="00CD7DB0">
              <w:rPr>
                <w:b/>
              </w:rPr>
              <w:t>Value</w:t>
            </w:r>
          </w:p>
        </w:tc>
      </w:tr>
      <w:tr w:rsidR="0008719E" w14:paraId="574DAF23" w14:textId="77777777" w:rsidTr="0008719E">
        <w:trPr>
          <w:trHeight w:val="283"/>
        </w:trPr>
        <w:tc>
          <w:tcPr>
            <w:tcW w:w="5200" w:type="dxa"/>
          </w:tcPr>
          <w:p w14:paraId="5D244A96" w14:textId="77777777" w:rsidR="0008719E" w:rsidRDefault="0008719E" w:rsidP="0008719E">
            <w:pPr>
              <w:pStyle w:val="Bodynumbered"/>
              <w:numPr>
                <w:ilvl w:val="0"/>
                <w:numId w:val="0"/>
              </w:numPr>
              <w:spacing w:before="0" w:after="0"/>
            </w:pPr>
            <w:r>
              <w:t>Total heat consumption by buildings, MWh/y</w:t>
            </w:r>
          </w:p>
        </w:tc>
        <w:tc>
          <w:tcPr>
            <w:tcW w:w="1418" w:type="dxa"/>
          </w:tcPr>
          <w:p w14:paraId="544E34D5" w14:textId="77777777" w:rsidR="0008719E" w:rsidRDefault="0008719E" w:rsidP="0008719E">
            <w:pPr>
              <w:pStyle w:val="Bodynumbered"/>
              <w:numPr>
                <w:ilvl w:val="0"/>
                <w:numId w:val="0"/>
              </w:numPr>
              <w:spacing w:before="0" w:after="0"/>
            </w:pPr>
            <w:r>
              <w:t>10,330</w:t>
            </w:r>
          </w:p>
        </w:tc>
      </w:tr>
      <w:tr w:rsidR="0008719E" w14:paraId="549A09B6" w14:textId="77777777" w:rsidTr="0008719E">
        <w:trPr>
          <w:trHeight w:val="283"/>
        </w:trPr>
        <w:tc>
          <w:tcPr>
            <w:tcW w:w="5200" w:type="dxa"/>
          </w:tcPr>
          <w:p w14:paraId="5A44B0CC" w14:textId="77777777" w:rsidR="0008719E" w:rsidRDefault="0008719E" w:rsidP="0008719E">
            <w:pPr>
              <w:pStyle w:val="Bodynumbered"/>
              <w:numPr>
                <w:ilvl w:val="0"/>
                <w:numId w:val="0"/>
              </w:numPr>
              <w:spacing w:before="0" w:after="0"/>
            </w:pPr>
            <w:r>
              <w:t>Total fuel input in district heating system, GJ/y</w:t>
            </w:r>
          </w:p>
        </w:tc>
        <w:tc>
          <w:tcPr>
            <w:tcW w:w="1418" w:type="dxa"/>
          </w:tcPr>
          <w:p w14:paraId="183F6F35" w14:textId="77777777" w:rsidR="0008719E" w:rsidRDefault="0008719E" w:rsidP="0008719E">
            <w:pPr>
              <w:pStyle w:val="Bodynumbered"/>
              <w:numPr>
                <w:ilvl w:val="0"/>
                <w:numId w:val="0"/>
              </w:numPr>
              <w:spacing w:before="0" w:after="0"/>
            </w:pPr>
            <w:r>
              <w:t>59.5</w:t>
            </w:r>
          </w:p>
        </w:tc>
      </w:tr>
      <w:tr w:rsidR="0008719E" w14:paraId="51655AEA" w14:textId="77777777" w:rsidTr="0008719E">
        <w:trPr>
          <w:trHeight w:val="283"/>
        </w:trPr>
        <w:tc>
          <w:tcPr>
            <w:tcW w:w="5200" w:type="dxa"/>
          </w:tcPr>
          <w:p w14:paraId="34737391" w14:textId="77777777" w:rsidR="0008719E" w:rsidRDefault="0008719E" w:rsidP="0008719E">
            <w:pPr>
              <w:pStyle w:val="Bodynumbered"/>
              <w:numPr>
                <w:ilvl w:val="0"/>
                <w:numId w:val="0"/>
              </w:numPr>
              <w:spacing w:before="0" w:after="0"/>
            </w:pPr>
            <w:r>
              <w:t>Fuel (coal) emission factor, kgCO2/GJ</w:t>
            </w:r>
          </w:p>
        </w:tc>
        <w:tc>
          <w:tcPr>
            <w:tcW w:w="1418" w:type="dxa"/>
          </w:tcPr>
          <w:p w14:paraId="4C256375" w14:textId="77777777" w:rsidR="0008719E" w:rsidRDefault="0008719E" w:rsidP="0008719E">
            <w:pPr>
              <w:pStyle w:val="Bodynumbered"/>
              <w:numPr>
                <w:ilvl w:val="0"/>
                <w:numId w:val="0"/>
              </w:numPr>
              <w:spacing w:before="0" w:after="0"/>
            </w:pPr>
            <w:r>
              <w:t>94.6</w:t>
            </w:r>
          </w:p>
        </w:tc>
      </w:tr>
      <w:tr w:rsidR="0008719E" w14:paraId="23BF4E94" w14:textId="77777777" w:rsidTr="0008719E">
        <w:trPr>
          <w:trHeight w:val="283"/>
        </w:trPr>
        <w:tc>
          <w:tcPr>
            <w:tcW w:w="5200" w:type="dxa"/>
          </w:tcPr>
          <w:p w14:paraId="385DB3ED" w14:textId="77777777" w:rsidR="0008719E" w:rsidRDefault="0008719E" w:rsidP="0008719E">
            <w:pPr>
              <w:pStyle w:val="Bodynumbered"/>
              <w:numPr>
                <w:ilvl w:val="0"/>
                <w:numId w:val="0"/>
              </w:numPr>
              <w:spacing w:before="0" w:after="0"/>
              <w:jc w:val="right"/>
            </w:pPr>
            <w:r>
              <w:t>District heating related GHG emissions, tCO2/y</w:t>
            </w:r>
          </w:p>
        </w:tc>
        <w:tc>
          <w:tcPr>
            <w:tcW w:w="1418" w:type="dxa"/>
          </w:tcPr>
          <w:p w14:paraId="7DCC5AAB" w14:textId="77777777" w:rsidR="0008719E" w:rsidRDefault="0008719E" w:rsidP="0008719E">
            <w:pPr>
              <w:pStyle w:val="Bodynumbered"/>
              <w:numPr>
                <w:ilvl w:val="0"/>
                <w:numId w:val="0"/>
              </w:numPr>
              <w:spacing w:before="0" w:after="0"/>
            </w:pPr>
            <w:r>
              <w:t>5,625</w:t>
            </w:r>
          </w:p>
        </w:tc>
      </w:tr>
      <w:tr w:rsidR="0008719E" w14:paraId="09026EFA" w14:textId="77777777" w:rsidTr="0008719E">
        <w:trPr>
          <w:trHeight w:val="283"/>
        </w:trPr>
        <w:tc>
          <w:tcPr>
            <w:tcW w:w="5200" w:type="dxa"/>
          </w:tcPr>
          <w:p w14:paraId="7D36525D" w14:textId="77777777" w:rsidR="0008719E" w:rsidRDefault="0008719E" w:rsidP="0008719E">
            <w:pPr>
              <w:pStyle w:val="Bodynumbered"/>
              <w:numPr>
                <w:ilvl w:val="0"/>
                <w:numId w:val="0"/>
              </w:numPr>
              <w:spacing w:before="0" w:after="0"/>
            </w:pPr>
            <w:r>
              <w:t>Total electricity consumption, MWh/y</w:t>
            </w:r>
          </w:p>
        </w:tc>
        <w:tc>
          <w:tcPr>
            <w:tcW w:w="1418" w:type="dxa"/>
          </w:tcPr>
          <w:p w14:paraId="2802A862" w14:textId="77777777" w:rsidR="0008719E" w:rsidRDefault="0008719E" w:rsidP="0008719E">
            <w:pPr>
              <w:pStyle w:val="Bodynumbered"/>
              <w:numPr>
                <w:ilvl w:val="0"/>
                <w:numId w:val="0"/>
              </w:numPr>
              <w:spacing w:before="0" w:after="0"/>
            </w:pPr>
            <w:r>
              <w:t>3,357</w:t>
            </w:r>
          </w:p>
        </w:tc>
      </w:tr>
      <w:tr w:rsidR="0008719E" w14:paraId="43DD3D89" w14:textId="77777777" w:rsidTr="0008719E">
        <w:trPr>
          <w:trHeight w:val="283"/>
        </w:trPr>
        <w:tc>
          <w:tcPr>
            <w:tcW w:w="5200" w:type="dxa"/>
          </w:tcPr>
          <w:p w14:paraId="3D682937" w14:textId="77777777" w:rsidR="0008719E" w:rsidRDefault="0008719E" w:rsidP="0008719E">
            <w:pPr>
              <w:pStyle w:val="Bodynumbered"/>
              <w:numPr>
                <w:ilvl w:val="0"/>
                <w:numId w:val="0"/>
              </w:numPr>
              <w:spacing w:before="0" w:after="0"/>
            </w:pPr>
            <w:r>
              <w:t>Grid emission factor, tCO2/MWh</w:t>
            </w:r>
          </w:p>
        </w:tc>
        <w:tc>
          <w:tcPr>
            <w:tcW w:w="1418" w:type="dxa"/>
          </w:tcPr>
          <w:p w14:paraId="6001E5E4" w14:textId="77777777" w:rsidR="0008719E" w:rsidRDefault="0008719E" w:rsidP="0008719E">
            <w:pPr>
              <w:pStyle w:val="Bodynumbered"/>
              <w:numPr>
                <w:ilvl w:val="0"/>
                <w:numId w:val="0"/>
              </w:numPr>
              <w:spacing w:before="0" w:after="0"/>
            </w:pPr>
            <w:r>
              <w:t>1.002</w:t>
            </w:r>
          </w:p>
        </w:tc>
      </w:tr>
      <w:tr w:rsidR="0008719E" w14:paraId="15AAC53C" w14:textId="77777777" w:rsidTr="0008719E">
        <w:trPr>
          <w:trHeight w:val="283"/>
        </w:trPr>
        <w:tc>
          <w:tcPr>
            <w:tcW w:w="5200" w:type="dxa"/>
          </w:tcPr>
          <w:p w14:paraId="198E8537" w14:textId="77777777" w:rsidR="0008719E" w:rsidRDefault="0008719E" w:rsidP="0008719E">
            <w:pPr>
              <w:pStyle w:val="Bodynumbered"/>
              <w:numPr>
                <w:ilvl w:val="0"/>
                <w:numId w:val="0"/>
              </w:numPr>
              <w:spacing w:before="0" w:after="0"/>
              <w:jc w:val="right"/>
            </w:pPr>
            <w:r>
              <w:t>Electricity related GHG emissions, tCO2/y</w:t>
            </w:r>
          </w:p>
        </w:tc>
        <w:tc>
          <w:tcPr>
            <w:tcW w:w="1418" w:type="dxa"/>
          </w:tcPr>
          <w:p w14:paraId="0B995DA9" w14:textId="77777777" w:rsidR="0008719E" w:rsidRDefault="0008719E" w:rsidP="0008719E">
            <w:pPr>
              <w:pStyle w:val="Bodynumbered"/>
              <w:numPr>
                <w:ilvl w:val="0"/>
                <w:numId w:val="0"/>
              </w:numPr>
              <w:spacing w:before="0" w:after="0"/>
            </w:pPr>
            <w:r>
              <w:t>3,364</w:t>
            </w:r>
          </w:p>
        </w:tc>
      </w:tr>
      <w:tr w:rsidR="0008719E" w14:paraId="2962062A" w14:textId="77777777" w:rsidTr="0008719E">
        <w:trPr>
          <w:trHeight w:val="283"/>
        </w:trPr>
        <w:tc>
          <w:tcPr>
            <w:tcW w:w="5200" w:type="dxa"/>
          </w:tcPr>
          <w:p w14:paraId="535D420C" w14:textId="77777777" w:rsidR="0008719E" w:rsidRDefault="0008719E" w:rsidP="0008719E">
            <w:pPr>
              <w:pStyle w:val="Bodynumbered"/>
              <w:numPr>
                <w:ilvl w:val="0"/>
                <w:numId w:val="0"/>
              </w:numPr>
              <w:spacing w:before="0" w:after="0"/>
            </w:pPr>
            <w:r>
              <w:t>Current annual GHG emissions, tCO2/y</w:t>
            </w:r>
          </w:p>
        </w:tc>
        <w:tc>
          <w:tcPr>
            <w:tcW w:w="1418" w:type="dxa"/>
          </w:tcPr>
          <w:p w14:paraId="3BBBA97D" w14:textId="77777777" w:rsidR="0008719E" w:rsidRPr="00204AFE" w:rsidRDefault="0008719E" w:rsidP="0008719E">
            <w:pPr>
              <w:pStyle w:val="Bodynumbered"/>
              <w:numPr>
                <w:ilvl w:val="0"/>
                <w:numId w:val="0"/>
              </w:numPr>
              <w:spacing w:before="0" w:after="0"/>
            </w:pPr>
            <w:r w:rsidRPr="00204AFE">
              <w:t>8,988</w:t>
            </w:r>
          </w:p>
        </w:tc>
      </w:tr>
    </w:tbl>
    <w:p w14:paraId="3093465C" w14:textId="77777777" w:rsidR="0008719E" w:rsidRDefault="0008719E" w:rsidP="0008719E">
      <w:pPr>
        <w:pStyle w:val="Bodynumbered"/>
      </w:pPr>
      <w:r>
        <w:t xml:space="preserve">As part of the baseline activities, the district is likely see some limited improvements through government efforts, including a new efficient coal-fired boiler and limited thermal renovation of residential buildings (roof, entrance halls repair, hallway windows replacement).These measures are expected to reduce primary energy inputs, and associated GHG emissions, by around 27%. However, these actions are not going to change the electricity use profile, as residents will continue to use individual electric boilers for hot water. Thus, the annual GHG emissions for the district under baseline are estimated at </w:t>
      </w:r>
      <w:r w:rsidRPr="00C9683B">
        <w:t>7,443 tCO2/year</w:t>
      </w:r>
      <w:r>
        <w:t>.</w:t>
      </w:r>
    </w:p>
    <w:p w14:paraId="1CFF0DBE" w14:textId="77777777" w:rsidR="0008719E" w:rsidRDefault="0008719E" w:rsidP="0008719E">
      <w:pPr>
        <w:pStyle w:val="Bodynumbered"/>
      </w:pPr>
      <w:r>
        <w:t>As part of the project, the Prigorodnoye district will undergo a comprehensive rehabilitation that will include its heat distribution system, in-building heat delivery systems, building envelope and renewable heat generation. These measures, as elaborated during a PPG pre-feasibility study, are detailed below:</w:t>
      </w:r>
    </w:p>
    <w:p w14:paraId="7FBEEF16" w14:textId="77777777" w:rsidR="00414E78" w:rsidRDefault="0008719E" w:rsidP="00E53B67">
      <w:pPr>
        <w:pStyle w:val="Bodynumbered"/>
        <w:numPr>
          <w:ilvl w:val="0"/>
          <w:numId w:val="0"/>
        </w:numPr>
        <w:ind w:left="720"/>
      </w:pPr>
      <w:r>
        <w:t xml:space="preserve"> </w:t>
      </w:r>
    </w:p>
    <w:tbl>
      <w:tblPr>
        <w:tblStyle w:val="TableGrid"/>
        <w:tblW w:w="0" w:type="auto"/>
        <w:tblInd w:w="720" w:type="dxa"/>
        <w:tblLook w:val="04A0" w:firstRow="1" w:lastRow="0" w:firstColumn="1" w:lastColumn="0" w:noHBand="0" w:noVBand="1"/>
      </w:tblPr>
      <w:tblGrid>
        <w:gridCol w:w="5625"/>
        <w:gridCol w:w="1418"/>
        <w:gridCol w:w="1813"/>
      </w:tblGrid>
      <w:tr w:rsidR="0008719E" w:rsidRPr="0079226E" w14:paraId="567CAF5C" w14:textId="77777777" w:rsidTr="0008719E">
        <w:trPr>
          <w:trHeight w:val="340"/>
        </w:trPr>
        <w:tc>
          <w:tcPr>
            <w:tcW w:w="5625" w:type="dxa"/>
          </w:tcPr>
          <w:p w14:paraId="5AE7209E" w14:textId="77777777" w:rsidR="0008719E" w:rsidRPr="0079226E" w:rsidRDefault="0008719E" w:rsidP="0008719E">
            <w:pPr>
              <w:pStyle w:val="Bodynumbered"/>
              <w:numPr>
                <w:ilvl w:val="0"/>
                <w:numId w:val="0"/>
              </w:numPr>
              <w:spacing w:before="0" w:after="0"/>
              <w:jc w:val="center"/>
              <w:rPr>
                <w:b/>
                <w:sz w:val="20"/>
                <w:szCs w:val="20"/>
              </w:rPr>
            </w:pPr>
            <w:r w:rsidRPr="0079226E">
              <w:rPr>
                <w:b/>
                <w:sz w:val="20"/>
                <w:szCs w:val="20"/>
              </w:rPr>
              <w:t>Measures</w:t>
            </w:r>
          </w:p>
        </w:tc>
        <w:tc>
          <w:tcPr>
            <w:tcW w:w="1418" w:type="dxa"/>
          </w:tcPr>
          <w:p w14:paraId="6FDB3087" w14:textId="77777777" w:rsidR="0008719E" w:rsidRPr="0079226E" w:rsidRDefault="0008719E" w:rsidP="0008719E">
            <w:pPr>
              <w:pStyle w:val="Bodynumbered"/>
              <w:numPr>
                <w:ilvl w:val="0"/>
                <w:numId w:val="0"/>
              </w:numPr>
              <w:spacing w:before="0" w:after="0"/>
              <w:jc w:val="center"/>
              <w:rPr>
                <w:b/>
                <w:sz w:val="20"/>
                <w:szCs w:val="20"/>
              </w:rPr>
            </w:pPr>
            <w:r w:rsidRPr="0079226E">
              <w:rPr>
                <w:b/>
                <w:sz w:val="20"/>
                <w:szCs w:val="20"/>
              </w:rPr>
              <w:t>Investment cost, $</w:t>
            </w:r>
          </w:p>
        </w:tc>
        <w:tc>
          <w:tcPr>
            <w:tcW w:w="1813" w:type="dxa"/>
          </w:tcPr>
          <w:p w14:paraId="46E190CC" w14:textId="77777777" w:rsidR="0008719E" w:rsidRPr="0079226E" w:rsidRDefault="0008719E" w:rsidP="0008719E">
            <w:pPr>
              <w:pStyle w:val="Bodynumbered"/>
              <w:numPr>
                <w:ilvl w:val="0"/>
                <w:numId w:val="0"/>
              </w:numPr>
              <w:spacing w:before="0" w:after="0"/>
              <w:jc w:val="center"/>
              <w:rPr>
                <w:b/>
                <w:sz w:val="20"/>
                <w:szCs w:val="20"/>
              </w:rPr>
            </w:pPr>
            <w:r>
              <w:rPr>
                <w:b/>
                <w:sz w:val="20"/>
                <w:szCs w:val="20"/>
              </w:rPr>
              <w:t xml:space="preserve">Lifetime </w:t>
            </w:r>
            <w:r w:rsidRPr="0079226E">
              <w:rPr>
                <w:b/>
                <w:sz w:val="20"/>
                <w:szCs w:val="20"/>
              </w:rPr>
              <w:t>GHG savings, tCO2</w:t>
            </w:r>
          </w:p>
        </w:tc>
      </w:tr>
      <w:tr w:rsidR="0008719E" w:rsidRPr="0079226E" w14:paraId="6F9E0808" w14:textId="77777777" w:rsidTr="0008719E">
        <w:trPr>
          <w:trHeight w:val="340"/>
        </w:trPr>
        <w:tc>
          <w:tcPr>
            <w:tcW w:w="8856" w:type="dxa"/>
            <w:gridSpan w:val="3"/>
          </w:tcPr>
          <w:p w14:paraId="086040AE" w14:textId="77777777" w:rsidR="0008719E" w:rsidRPr="0079226E" w:rsidRDefault="0008719E" w:rsidP="0008719E">
            <w:pPr>
              <w:pStyle w:val="Bodynumbered"/>
              <w:numPr>
                <w:ilvl w:val="0"/>
                <w:numId w:val="0"/>
              </w:numPr>
              <w:spacing w:before="0" w:after="0"/>
              <w:rPr>
                <w:sz w:val="20"/>
                <w:szCs w:val="20"/>
              </w:rPr>
            </w:pPr>
            <w:r w:rsidRPr="0079226E">
              <w:rPr>
                <w:b/>
                <w:sz w:val="20"/>
                <w:szCs w:val="20"/>
              </w:rPr>
              <w:t xml:space="preserve">Improvement of </w:t>
            </w:r>
            <w:r>
              <w:rPr>
                <w:b/>
                <w:sz w:val="20"/>
                <w:szCs w:val="20"/>
              </w:rPr>
              <w:t xml:space="preserve">district </w:t>
            </w:r>
            <w:r w:rsidRPr="0079226E">
              <w:rPr>
                <w:b/>
                <w:sz w:val="20"/>
                <w:szCs w:val="20"/>
              </w:rPr>
              <w:t>heat distribution system</w:t>
            </w:r>
          </w:p>
        </w:tc>
      </w:tr>
      <w:tr w:rsidR="0008719E" w:rsidRPr="0079226E" w14:paraId="035A7C39" w14:textId="77777777" w:rsidTr="0008719E">
        <w:trPr>
          <w:trHeight w:val="340"/>
        </w:trPr>
        <w:tc>
          <w:tcPr>
            <w:tcW w:w="5625" w:type="dxa"/>
          </w:tcPr>
          <w:p w14:paraId="1CA71D49" w14:textId="77777777" w:rsidR="0008719E" w:rsidRDefault="0008719E" w:rsidP="007D6892">
            <w:pPr>
              <w:pStyle w:val="Bodynumbered"/>
              <w:numPr>
                <w:ilvl w:val="0"/>
                <w:numId w:val="28"/>
              </w:numPr>
              <w:spacing w:before="0" w:after="0"/>
              <w:ind w:left="414"/>
              <w:rPr>
                <w:sz w:val="20"/>
                <w:szCs w:val="20"/>
              </w:rPr>
            </w:pPr>
            <w:r w:rsidRPr="0079226E">
              <w:rPr>
                <w:sz w:val="20"/>
                <w:szCs w:val="20"/>
              </w:rPr>
              <w:t>Variable speed drive at main pumps</w:t>
            </w:r>
          </w:p>
          <w:p w14:paraId="521B2F18" w14:textId="77777777" w:rsidR="0008719E" w:rsidRDefault="0008719E" w:rsidP="007D6892">
            <w:pPr>
              <w:pStyle w:val="Bodynumbered"/>
              <w:numPr>
                <w:ilvl w:val="0"/>
                <w:numId w:val="28"/>
              </w:numPr>
              <w:spacing w:before="0" w:after="0"/>
              <w:ind w:left="414"/>
              <w:rPr>
                <w:sz w:val="20"/>
                <w:szCs w:val="20"/>
              </w:rPr>
            </w:pPr>
            <w:r w:rsidRPr="0079226E">
              <w:rPr>
                <w:sz w:val="20"/>
                <w:szCs w:val="20"/>
              </w:rPr>
              <w:t>Water treatment plant</w:t>
            </w:r>
          </w:p>
          <w:p w14:paraId="77EA80AF" w14:textId="77777777" w:rsidR="0008719E" w:rsidRDefault="0008719E" w:rsidP="007D6892">
            <w:pPr>
              <w:pStyle w:val="Bodynumbered"/>
              <w:numPr>
                <w:ilvl w:val="0"/>
                <w:numId w:val="28"/>
              </w:numPr>
              <w:spacing w:before="0" w:after="0"/>
              <w:ind w:left="414"/>
              <w:rPr>
                <w:sz w:val="20"/>
                <w:szCs w:val="20"/>
              </w:rPr>
            </w:pPr>
            <w:r w:rsidRPr="0079226E">
              <w:rPr>
                <w:sz w:val="20"/>
                <w:szCs w:val="20"/>
              </w:rPr>
              <w:t>SCADA system</w:t>
            </w:r>
          </w:p>
          <w:p w14:paraId="7A57B906" w14:textId="77777777" w:rsidR="0008719E" w:rsidRPr="0079226E" w:rsidRDefault="0008719E" w:rsidP="007D6892">
            <w:pPr>
              <w:pStyle w:val="Bodynumbered"/>
              <w:numPr>
                <w:ilvl w:val="0"/>
                <w:numId w:val="28"/>
              </w:numPr>
              <w:spacing w:before="0" w:after="0"/>
              <w:ind w:left="414"/>
              <w:rPr>
                <w:b/>
                <w:sz w:val="20"/>
                <w:szCs w:val="20"/>
              </w:rPr>
            </w:pPr>
            <w:r w:rsidRPr="0079226E">
              <w:rPr>
                <w:sz w:val="20"/>
                <w:szCs w:val="20"/>
              </w:rPr>
              <w:t>New pre-insulated pipes</w:t>
            </w:r>
          </w:p>
        </w:tc>
        <w:tc>
          <w:tcPr>
            <w:tcW w:w="1418" w:type="dxa"/>
          </w:tcPr>
          <w:p w14:paraId="12621A56" w14:textId="77777777" w:rsidR="0008719E" w:rsidRPr="00323029" w:rsidRDefault="0008719E" w:rsidP="0008719E">
            <w:pPr>
              <w:pStyle w:val="Bodynumbered"/>
              <w:numPr>
                <w:ilvl w:val="0"/>
                <w:numId w:val="0"/>
              </w:numPr>
              <w:spacing w:before="0" w:after="0"/>
              <w:rPr>
                <w:sz w:val="20"/>
                <w:szCs w:val="20"/>
              </w:rPr>
            </w:pPr>
            <w:r w:rsidRPr="00323029">
              <w:rPr>
                <w:sz w:val="20"/>
                <w:szCs w:val="20"/>
              </w:rPr>
              <w:t>650,000</w:t>
            </w:r>
          </w:p>
        </w:tc>
        <w:tc>
          <w:tcPr>
            <w:tcW w:w="1813" w:type="dxa"/>
          </w:tcPr>
          <w:p w14:paraId="58991228" w14:textId="77777777" w:rsidR="0008719E" w:rsidRPr="0079226E" w:rsidRDefault="0008719E" w:rsidP="0008719E">
            <w:pPr>
              <w:pStyle w:val="Bodynumbered"/>
              <w:numPr>
                <w:ilvl w:val="0"/>
                <w:numId w:val="0"/>
              </w:numPr>
              <w:spacing w:before="0" w:after="0"/>
              <w:rPr>
                <w:sz w:val="20"/>
                <w:szCs w:val="20"/>
              </w:rPr>
            </w:pPr>
            <w:r>
              <w:rPr>
                <w:sz w:val="20"/>
                <w:szCs w:val="20"/>
              </w:rPr>
              <w:t>11,741</w:t>
            </w:r>
          </w:p>
        </w:tc>
      </w:tr>
      <w:tr w:rsidR="0008719E" w:rsidRPr="0079226E" w14:paraId="0F31A0BF" w14:textId="77777777" w:rsidTr="0008719E">
        <w:trPr>
          <w:trHeight w:val="340"/>
        </w:trPr>
        <w:tc>
          <w:tcPr>
            <w:tcW w:w="8856" w:type="dxa"/>
            <w:gridSpan w:val="3"/>
          </w:tcPr>
          <w:p w14:paraId="415C5B91" w14:textId="77777777" w:rsidR="0008719E" w:rsidRPr="0079226E" w:rsidRDefault="0008719E" w:rsidP="0008719E">
            <w:pPr>
              <w:pStyle w:val="Bodynumbered"/>
              <w:numPr>
                <w:ilvl w:val="0"/>
                <w:numId w:val="0"/>
              </w:numPr>
              <w:spacing w:before="0" w:after="0"/>
              <w:rPr>
                <w:sz w:val="20"/>
                <w:szCs w:val="20"/>
              </w:rPr>
            </w:pPr>
            <w:r w:rsidRPr="0079226E">
              <w:rPr>
                <w:b/>
                <w:sz w:val="20"/>
                <w:szCs w:val="20"/>
              </w:rPr>
              <w:t>Upgrade of the in-house heat delivery system</w:t>
            </w:r>
            <w:r>
              <w:rPr>
                <w:b/>
                <w:sz w:val="20"/>
                <w:szCs w:val="20"/>
              </w:rPr>
              <w:t>:</w:t>
            </w:r>
          </w:p>
        </w:tc>
      </w:tr>
      <w:tr w:rsidR="0008719E" w:rsidRPr="0079226E" w14:paraId="77345513" w14:textId="77777777" w:rsidTr="0008719E">
        <w:trPr>
          <w:trHeight w:val="340"/>
        </w:trPr>
        <w:tc>
          <w:tcPr>
            <w:tcW w:w="5625" w:type="dxa"/>
          </w:tcPr>
          <w:p w14:paraId="7DF07568" w14:textId="77777777" w:rsidR="0008719E" w:rsidRDefault="0008719E" w:rsidP="007D6892">
            <w:pPr>
              <w:pStyle w:val="Bodynumbered"/>
              <w:numPr>
                <w:ilvl w:val="0"/>
                <w:numId w:val="28"/>
              </w:numPr>
              <w:spacing w:before="0" w:after="0"/>
              <w:ind w:left="414"/>
              <w:rPr>
                <w:sz w:val="20"/>
                <w:szCs w:val="20"/>
              </w:rPr>
            </w:pPr>
            <w:r w:rsidRPr="0079226E">
              <w:rPr>
                <w:sz w:val="20"/>
                <w:szCs w:val="20"/>
              </w:rPr>
              <w:t>Modern building heat substations with HTW</w:t>
            </w:r>
          </w:p>
          <w:p w14:paraId="0CD51590" w14:textId="77777777" w:rsidR="0008719E" w:rsidRDefault="0008719E" w:rsidP="007D6892">
            <w:pPr>
              <w:pStyle w:val="Bodynumbered"/>
              <w:numPr>
                <w:ilvl w:val="0"/>
                <w:numId w:val="28"/>
              </w:numPr>
              <w:spacing w:before="0" w:after="0"/>
              <w:ind w:left="414"/>
              <w:rPr>
                <w:sz w:val="20"/>
                <w:szCs w:val="20"/>
              </w:rPr>
            </w:pPr>
            <w:r w:rsidRPr="0079226E">
              <w:rPr>
                <w:sz w:val="20"/>
                <w:szCs w:val="20"/>
              </w:rPr>
              <w:t>Radiator system modernization w/meters</w:t>
            </w:r>
          </w:p>
          <w:p w14:paraId="65A8F5AD" w14:textId="77777777" w:rsidR="0008719E" w:rsidRPr="0079226E" w:rsidRDefault="0008719E" w:rsidP="007D6892">
            <w:pPr>
              <w:pStyle w:val="Bodynumbered"/>
              <w:numPr>
                <w:ilvl w:val="0"/>
                <w:numId w:val="28"/>
              </w:numPr>
              <w:spacing w:before="0" w:after="0"/>
              <w:ind w:left="414"/>
              <w:rPr>
                <w:sz w:val="20"/>
                <w:szCs w:val="20"/>
              </w:rPr>
            </w:pPr>
            <w:r w:rsidRPr="0079226E">
              <w:rPr>
                <w:sz w:val="20"/>
                <w:szCs w:val="20"/>
              </w:rPr>
              <w:t>Integration of HTW into the DH System</w:t>
            </w:r>
          </w:p>
        </w:tc>
        <w:tc>
          <w:tcPr>
            <w:tcW w:w="1418" w:type="dxa"/>
          </w:tcPr>
          <w:p w14:paraId="1DE5C8D0" w14:textId="77777777" w:rsidR="0008719E" w:rsidRPr="00323029" w:rsidRDefault="0008719E" w:rsidP="0008719E">
            <w:pPr>
              <w:pStyle w:val="Bodynumbered"/>
              <w:numPr>
                <w:ilvl w:val="0"/>
                <w:numId w:val="0"/>
              </w:numPr>
              <w:spacing w:before="0" w:after="0"/>
              <w:rPr>
                <w:sz w:val="20"/>
                <w:szCs w:val="20"/>
              </w:rPr>
            </w:pPr>
            <w:r w:rsidRPr="00323029">
              <w:rPr>
                <w:sz w:val="20"/>
                <w:szCs w:val="20"/>
              </w:rPr>
              <w:t>9</w:t>
            </w:r>
            <w:r>
              <w:rPr>
                <w:sz w:val="20"/>
                <w:szCs w:val="20"/>
              </w:rPr>
              <w:t>90</w:t>
            </w:r>
            <w:r w:rsidRPr="00323029">
              <w:rPr>
                <w:sz w:val="20"/>
                <w:szCs w:val="20"/>
              </w:rPr>
              <w:t>,000</w:t>
            </w:r>
          </w:p>
        </w:tc>
        <w:tc>
          <w:tcPr>
            <w:tcW w:w="1813" w:type="dxa"/>
          </w:tcPr>
          <w:p w14:paraId="13559AAC" w14:textId="77777777" w:rsidR="0008719E" w:rsidRDefault="0008719E" w:rsidP="0008719E">
            <w:pPr>
              <w:pStyle w:val="Bodynumbered"/>
              <w:numPr>
                <w:ilvl w:val="0"/>
                <w:numId w:val="0"/>
              </w:numPr>
              <w:spacing w:before="0" w:after="0"/>
              <w:rPr>
                <w:sz w:val="20"/>
                <w:szCs w:val="20"/>
              </w:rPr>
            </w:pPr>
            <w:r>
              <w:rPr>
                <w:sz w:val="20"/>
                <w:szCs w:val="20"/>
              </w:rPr>
              <w:t>36,427 +</w:t>
            </w:r>
          </w:p>
          <w:p w14:paraId="561B7A6C" w14:textId="77777777" w:rsidR="0008719E" w:rsidRPr="0079226E" w:rsidRDefault="0008719E" w:rsidP="0008719E">
            <w:pPr>
              <w:pStyle w:val="Bodynumbered"/>
              <w:numPr>
                <w:ilvl w:val="0"/>
                <w:numId w:val="0"/>
              </w:numPr>
              <w:spacing w:before="0" w:after="0"/>
              <w:rPr>
                <w:sz w:val="20"/>
                <w:szCs w:val="20"/>
              </w:rPr>
            </w:pPr>
            <w:r>
              <w:rPr>
                <w:sz w:val="20"/>
                <w:szCs w:val="20"/>
              </w:rPr>
              <w:t>20,104 (from reduced electricity use)</w:t>
            </w:r>
          </w:p>
        </w:tc>
      </w:tr>
      <w:tr w:rsidR="0008719E" w:rsidRPr="0079226E" w14:paraId="7158FEB0" w14:textId="77777777" w:rsidTr="0008719E">
        <w:trPr>
          <w:trHeight w:val="340"/>
        </w:trPr>
        <w:tc>
          <w:tcPr>
            <w:tcW w:w="8856" w:type="dxa"/>
            <w:gridSpan w:val="3"/>
          </w:tcPr>
          <w:p w14:paraId="2DB0C3EC" w14:textId="77777777" w:rsidR="0008719E" w:rsidRPr="0079226E" w:rsidRDefault="0008719E" w:rsidP="0008719E">
            <w:pPr>
              <w:pStyle w:val="Bodynumbered"/>
              <w:numPr>
                <w:ilvl w:val="0"/>
                <w:numId w:val="0"/>
              </w:numPr>
              <w:spacing w:before="0" w:after="0"/>
              <w:rPr>
                <w:b/>
                <w:sz w:val="20"/>
                <w:szCs w:val="20"/>
              </w:rPr>
            </w:pPr>
            <w:r>
              <w:rPr>
                <w:b/>
                <w:sz w:val="20"/>
                <w:szCs w:val="20"/>
              </w:rPr>
              <w:t xml:space="preserve">Building envelope improvements </w:t>
            </w:r>
          </w:p>
        </w:tc>
      </w:tr>
      <w:tr w:rsidR="0008719E" w:rsidRPr="0079226E" w14:paraId="4223B323" w14:textId="77777777" w:rsidTr="0008719E">
        <w:trPr>
          <w:trHeight w:val="340"/>
        </w:trPr>
        <w:tc>
          <w:tcPr>
            <w:tcW w:w="5625" w:type="dxa"/>
          </w:tcPr>
          <w:p w14:paraId="7E2F8A7D" w14:textId="77777777" w:rsidR="0008719E" w:rsidRPr="0079226E" w:rsidRDefault="0008719E" w:rsidP="0008719E">
            <w:pPr>
              <w:pStyle w:val="Bodynumbered"/>
              <w:numPr>
                <w:ilvl w:val="0"/>
                <w:numId w:val="0"/>
              </w:numPr>
              <w:spacing w:before="0" w:after="0"/>
              <w:rPr>
                <w:sz w:val="20"/>
                <w:szCs w:val="20"/>
              </w:rPr>
            </w:pPr>
            <w:r>
              <w:rPr>
                <w:sz w:val="20"/>
                <w:szCs w:val="20"/>
              </w:rPr>
              <w:t xml:space="preserve">Full thermal renovation of residential and public buildings </w:t>
            </w:r>
          </w:p>
        </w:tc>
        <w:tc>
          <w:tcPr>
            <w:tcW w:w="1418" w:type="dxa"/>
          </w:tcPr>
          <w:p w14:paraId="00E0D4A0" w14:textId="77777777" w:rsidR="0008719E" w:rsidRPr="0079226E" w:rsidRDefault="0008719E" w:rsidP="0008719E">
            <w:pPr>
              <w:pStyle w:val="Bodynumbered"/>
              <w:numPr>
                <w:ilvl w:val="0"/>
                <w:numId w:val="0"/>
              </w:numPr>
              <w:spacing w:before="0" w:after="0"/>
              <w:rPr>
                <w:sz w:val="20"/>
                <w:szCs w:val="20"/>
              </w:rPr>
            </w:pPr>
            <w:r>
              <w:rPr>
                <w:sz w:val="20"/>
                <w:szCs w:val="20"/>
              </w:rPr>
              <w:t>3,200</w:t>
            </w:r>
            <w:r w:rsidRPr="0079226E">
              <w:rPr>
                <w:sz w:val="20"/>
                <w:szCs w:val="20"/>
              </w:rPr>
              <w:t>,000</w:t>
            </w:r>
          </w:p>
        </w:tc>
        <w:tc>
          <w:tcPr>
            <w:tcW w:w="1813" w:type="dxa"/>
          </w:tcPr>
          <w:p w14:paraId="4C49B14D" w14:textId="77777777" w:rsidR="0008719E" w:rsidRPr="0079226E" w:rsidRDefault="0008719E" w:rsidP="0008719E">
            <w:pPr>
              <w:pStyle w:val="Bodynumbered"/>
              <w:numPr>
                <w:ilvl w:val="0"/>
                <w:numId w:val="0"/>
              </w:numPr>
              <w:spacing w:before="0" w:after="0"/>
              <w:rPr>
                <w:sz w:val="20"/>
                <w:szCs w:val="20"/>
              </w:rPr>
            </w:pPr>
            <w:r>
              <w:rPr>
                <w:sz w:val="20"/>
                <w:szCs w:val="20"/>
              </w:rPr>
              <w:t>23,575</w:t>
            </w:r>
          </w:p>
        </w:tc>
      </w:tr>
      <w:tr w:rsidR="0008719E" w:rsidRPr="0079226E" w14:paraId="74D28F02" w14:textId="77777777" w:rsidTr="0008719E">
        <w:trPr>
          <w:trHeight w:val="340"/>
        </w:trPr>
        <w:tc>
          <w:tcPr>
            <w:tcW w:w="8856" w:type="dxa"/>
            <w:gridSpan w:val="3"/>
          </w:tcPr>
          <w:p w14:paraId="6E9C14B0" w14:textId="77777777" w:rsidR="0008719E" w:rsidRPr="0079226E" w:rsidRDefault="0008719E" w:rsidP="0008719E">
            <w:pPr>
              <w:pStyle w:val="Bodynumbered"/>
              <w:numPr>
                <w:ilvl w:val="0"/>
                <w:numId w:val="0"/>
              </w:numPr>
              <w:spacing w:before="0" w:after="0"/>
              <w:rPr>
                <w:b/>
                <w:sz w:val="20"/>
                <w:szCs w:val="20"/>
              </w:rPr>
            </w:pPr>
            <w:r>
              <w:rPr>
                <w:b/>
                <w:sz w:val="20"/>
                <w:szCs w:val="20"/>
              </w:rPr>
              <w:t xml:space="preserve">Renewable energy generation </w:t>
            </w:r>
          </w:p>
        </w:tc>
      </w:tr>
      <w:tr w:rsidR="0008719E" w:rsidRPr="0079226E" w14:paraId="5B3C4820" w14:textId="77777777" w:rsidTr="0008719E">
        <w:trPr>
          <w:trHeight w:val="340"/>
        </w:trPr>
        <w:tc>
          <w:tcPr>
            <w:tcW w:w="5625" w:type="dxa"/>
          </w:tcPr>
          <w:p w14:paraId="4CC52F4B" w14:textId="77777777" w:rsidR="0008719E" w:rsidRPr="0079226E" w:rsidRDefault="0008719E" w:rsidP="0008719E">
            <w:pPr>
              <w:pStyle w:val="Bodynumbered"/>
              <w:numPr>
                <w:ilvl w:val="0"/>
                <w:numId w:val="0"/>
              </w:numPr>
              <w:spacing w:before="0" w:after="0"/>
              <w:rPr>
                <w:sz w:val="20"/>
                <w:szCs w:val="20"/>
              </w:rPr>
            </w:pPr>
            <w:r>
              <w:rPr>
                <w:sz w:val="20"/>
                <w:szCs w:val="20"/>
              </w:rPr>
              <w:t>Rooftop solar water heaters (covering up to 10% of heat load)</w:t>
            </w:r>
          </w:p>
        </w:tc>
        <w:tc>
          <w:tcPr>
            <w:tcW w:w="1418" w:type="dxa"/>
          </w:tcPr>
          <w:p w14:paraId="43B43BEB" w14:textId="77777777" w:rsidR="0008719E" w:rsidRPr="0079226E" w:rsidRDefault="0008719E" w:rsidP="0008719E">
            <w:pPr>
              <w:pStyle w:val="Bodynumbered"/>
              <w:numPr>
                <w:ilvl w:val="0"/>
                <w:numId w:val="0"/>
              </w:numPr>
              <w:spacing w:before="0" w:after="0"/>
              <w:rPr>
                <w:sz w:val="20"/>
                <w:szCs w:val="20"/>
              </w:rPr>
            </w:pPr>
            <w:r>
              <w:rPr>
                <w:sz w:val="20"/>
                <w:szCs w:val="20"/>
              </w:rPr>
              <w:t>1,600,000</w:t>
            </w:r>
          </w:p>
        </w:tc>
        <w:tc>
          <w:tcPr>
            <w:tcW w:w="1813" w:type="dxa"/>
          </w:tcPr>
          <w:p w14:paraId="746B80E2" w14:textId="77777777" w:rsidR="0008719E" w:rsidRPr="0079226E" w:rsidRDefault="0008719E" w:rsidP="0008719E">
            <w:pPr>
              <w:pStyle w:val="Bodynumbered"/>
              <w:numPr>
                <w:ilvl w:val="0"/>
                <w:numId w:val="0"/>
              </w:numPr>
              <w:spacing w:before="0" w:after="0"/>
              <w:rPr>
                <w:sz w:val="20"/>
                <w:szCs w:val="20"/>
              </w:rPr>
            </w:pPr>
            <w:r>
              <w:rPr>
                <w:sz w:val="20"/>
                <w:szCs w:val="20"/>
              </w:rPr>
              <w:t>2,927</w:t>
            </w:r>
          </w:p>
        </w:tc>
      </w:tr>
      <w:tr w:rsidR="0008719E" w:rsidRPr="0079226E" w14:paraId="00A1F95D" w14:textId="77777777" w:rsidTr="0008719E">
        <w:trPr>
          <w:trHeight w:val="340"/>
        </w:trPr>
        <w:tc>
          <w:tcPr>
            <w:tcW w:w="5625" w:type="dxa"/>
          </w:tcPr>
          <w:p w14:paraId="32A7CE5D" w14:textId="77777777" w:rsidR="0008719E" w:rsidRPr="00751CA7" w:rsidRDefault="0008719E" w:rsidP="0008719E">
            <w:pPr>
              <w:pStyle w:val="Bodynumbered"/>
              <w:numPr>
                <w:ilvl w:val="0"/>
                <w:numId w:val="0"/>
              </w:numPr>
              <w:spacing w:before="0" w:after="0"/>
              <w:rPr>
                <w:b/>
                <w:sz w:val="20"/>
                <w:szCs w:val="20"/>
              </w:rPr>
            </w:pPr>
            <w:r w:rsidRPr="00751CA7">
              <w:rPr>
                <w:b/>
                <w:sz w:val="20"/>
                <w:szCs w:val="20"/>
              </w:rPr>
              <w:t>Total</w:t>
            </w:r>
          </w:p>
        </w:tc>
        <w:tc>
          <w:tcPr>
            <w:tcW w:w="1418" w:type="dxa"/>
          </w:tcPr>
          <w:p w14:paraId="6AA49E59" w14:textId="77777777" w:rsidR="0008719E" w:rsidRPr="00751CA7" w:rsidRDefault="0008719E" w:rsidP="0008719E">
            <w:pPr>
              <w:pStyle w:val="Bodynumbered"/>
              <w:numPr>
                <w:ilvl w:val="0"/>
                <w:numId w:val="0"/>
              </w:numPr>
              <w:spacing w:before="0" w:after="0"/>
              <w:rPr>
                <w:b/>
                <w:sz w:val="20"/>
                <w:szCs w:val="20"/>
              </w:rPr>
            </w:pPr>
            <w:r w:rsidRPr="00751CA7">
              <w:rPr>
                <w:b/>
                <w:sz w:val="20"/>
                <w:szCs w:val="20"/>
              </w:rPr>
              <w:t>6,440,000</w:t>
            </w:r>
          </w:p>
        </w:tc>
        <w:tc>
          <w:tcPr>
            <w:tcW w:w="1813" w:type="dxa"/>
          </w:tcPr>
          <w:p w14:paraId="485BB0FF" w14:textId="77777777" w:rsidR="0008719E" w:rsidRPr="00751CA7" w:rsidRDefault="0008719E" w:rsidP="0008719E">
            <w:pPr>
              <w:pStyle w:val="Bodynumbered"/>
              <w:numPr>
                <w:ilvl w:val="0"/>
                <w:numId w:val="0"/>
              </w:numPr>
              <w:spacing w:before="0" w:after="0"/>
              <w:rPr>
                <w:b/>
                <w:sz w:val="20"/>
                <w:szCs w:val="20"/>
              </w:rPr>
            </w:pPr>
            <w:r w:rsidRPr="00751CA7">
              <w:rPr>
                <w:b/>
                <w:sz w:val="20"/>
                <w:szCs w:val="20"/>
              </w:rPr>
              <w:t>9</w:t>
            </w:r>
            <w:r>
              <w:rPr>
                <w:b/>
                <w:sz w:val="20"/>
                <w:szCs w:val="20"/>
              </w:rPr>
              <w:t>5</w:t>
            </w:r>
            <w:r w:rsidRPr="00751CA7">
              <w:rPr>
                <w:b/>
                <w:sz w:val="20"/>
                <w:szCs w:val="20"/>
              </w:rPr>
              <w:t>,</w:t>
            </w:r>
            <w:r>
              <w:rPr>
                <w:b/>
                <w:sz w:val="20"/>
                <w:szCs w:val="20"/>
              </w:rPr>
              <w:t>000 (rounded)</w:t>
            </w:r>
          </w:p>
        </w:tc>
      </w:tr>
    </w:tbl>
    <w:p w14:paraId="60E80647" w14:textId="77777777" w:rsidR="0008719E" w:rsidRDefault="0008719E" w:rsidP="0008719E">
      <w:pPr>
        <w:pStyle w:val="Bodynumbered"/>
      </w:pPr>
      <w:r>
        <w:t>The annual primary energy from the above measures combined have been estimated at 39,163 GJ in coal and 1,041 MWh in electricity. Using a default IPCC emission factor for coal of 94.6 tCO2/TJ and Kazakh grid emission factor of 1.002 tCO2/MWh</w:t>
      </w:r>
      <w:r>
        <w:rPr>
          <w:rStyle w:val="FootnoteReference"/>
        </w:rPr>
        <w:footnoteReference w:id="35"/>
      </w:r>
      <w:r>
        <w:t xml:space="preserve">, the above energy savings are translated into (39.163*94.6+1,041*1.002) </w:t>
      </w:r>
      <w:r w:rsidRPr="00917C70">
        <w:rPr>
          <w:b/>
        </w:rPr>
        <w:t>4,748 tCO2</w:t>
      </w:r>
      <w:r>
        <w:t xml:space="preserve"> in annual GHG emission savings. When totalled over 20 years of investment lifetime, the resultant direct GHG emissions reductions attributable to Outcome 4 are estimated at </w:t>
      </w:r>
      <w:r w:rsidRPr="000D0135">
        <w:rPr>
          <w:b/>
        </w:rPr>
        <w:t>95,000 tCO2</w:t>
      </w:r>
      <w:r>
        <w:t xml:space="preserve"> (rounded from 94,956 tCO2). </w:t>
      </w:r>
    </w:p>
    <w:p w14:paraId="4045B30D" w14:textId="77777777" w:rsidR="0008719E" w:rsidRPr="00D30CDC" w:rsidRDefault="0008719E" w:rsidP="0008719E">
      <w:pPr>
        <w:pStyle w:val="Bodynumbered"/>
      </w:pPr>
      <w:r>
        <w:rPr>
          <w:lang w:val="en-US"/>
        </w:rPr>
        <w:t>A NAMA funding mechanism to be set up as part of Component 3 is expected to be capitalized with $3 million in GEF funding and $41 million in contributions from government, multilateral and private sources. It is expected that up to 60% (or $26.4 million) of the initial capitalization will be used for actual investments into NAMAs across Kazakhstan. Considering the complexity of the envisaged arrangement and the time requirement to legalize and institutionalize the fund structure, it is assumed that only 50% of the investment fund (i.e. $13.2 million) is going to be disbursed before the end of the project, thereby contributing toward direct GHG emission reductions</w:t>
      </w:r>
      <w:r>
        <w:rPr>
          <w:rStyle w:val="FootnoteReference"/>
          <w:lang w:val="en-US"/>
        </w:rPr>
        <w:footnoteReference w:id="36"/>
      </w:r>
      <w:r>
        <w:rPr>
          <w:lang w:val="en-US"/>
        </w:rPr>
        <w:t xml:space="preserve">. </w:t>
      </w:r>
    </w:p>
    <w:p w14:paraId="4CF2D62F" w14:textId="77777777" w:rsidR="0008719E" w:rsidRDefault="0008719E" w:rsidP="0008719E">
      <w:pPr>
        <w:pStyle w:val="Bodynumbered"/>
      </w:pPr>
      <w:r>
        <w:t xml:space="preserve">Based on the analysis of the Prigorodnoye pilot measures, the investment threshold has been estimated at around 220 GJ in lifetime energy (coal-based heat) savings per $1,000 invested, thus generating (13.2*220*94.6) around </w:t>
      </w:r>
      <w:r w:rsidRPr="00213BD9">
        <w:rPr>
          <w:b/>
        </w:rPr>
        <w:t>275,000 tCO2</w:t>
      </w:r>
      <w:r>
        <w:t xml:space="preserve"> (rounded from 274,718 tCO2) in lifetime direct GHG emission reductions from Component 3. </w:t>
      </w:r>
    </w:p>
    <w:p w14:paraId="1B0FA876" w14:textId="77777777" w:rsidR="0008719E" w:rsidRDefault="0008719E" w:rsidP="0008719E">
      <w:pPr>
        <w:pStyle w:val="Bodynumbered"/>
      </w:pPr>
      <w:r>
        <w:t xml:space="preserve">Thus, total direct lifetime GHG emissions attributable to the project are estimated at 95,000 + 275,000 = </w:t>
      </w:r>
      <w:r w:rsidRPr="00213A18">
        <w:rPr>
          <w:b/>
        </w:rPr>
        <w:t>370,000 tCO2</w:t>
      </w:r>
      <w:r>
        <w:t xml:space="preserve">. </w:t>
      </w:r>
    </w:p>
    <w:p w14:paraId="42BE731C" w14:textId="77777777" w:rsidR="0008719E" w:rsidRDefault="0008719E" w:rsidP="0008719E">
      <w:pPr>
        <w:rPr>
          <w:rFonts w:cs="Arial"/>
          <w:b/>
          <w:smallCaps/>
          <w:szCs w:val="22"/>
          <w:lang w:val="en-US"/>
        </w:rPr>
      </w:pPr>
      <w:r>
        <w:rPr>
          <w:rFonts w:cs="Arial"/>
          <w:b/>
          <w:smallCaps/>
          <w:szCs w:val="22"/>
          <w:lang w:val="en-US"/>
        </w:rPr>
        <w:t xml:space="preserve">Direct post-project emission reductions </w:t>
      </w:r>
    </w:p>
    <w:p w14:paraId="1F52D483" w14:textId="77777777" w:rsidR="0008719E" w:rsidDel="003A5248" w:rsidRDefault="0008719E" w:rsidP="0008719E">
      <w:pPr>
        <w:pStyle w:val="Bodynumbered"/>
      </w:pPr>
      <w:r>
        <w:t xml:space="preserve">With post-project investment in further NAMAs of the balance $13.2 million of the initial investment share (based on the assumptions elaborated in the previous sub-section, i.e.), the NAMA fund is projected to generate an additional </w:t>
      </w:r>
      <w:r w:rsidRPr="00224B34">
        <w:rPr>
          <w:b/>
        </w:rPr>
        <w:t>275,000 tCO2</w:t>
      </w:r>
      <w:r>
        <w:t xml:space="preserve"> in direct post-project GHG emission reductions over the 20-year lifetime of those investments. </w:t>
      </w:r>
    </w:p>
    <w:p w14:paraId="47AF692D" w14:textId="77777777" w:rsidR="0008719E" w:rsidRDefault="0008719E" w:rsidP="0008719E">
      <w:pPr>
        <w:pStyle w:val="Bodynumbered"/>
        <w:numPr>
          <w:ilvl w:val="0"/>
          <w:numId w:val="0"/>
        </w:numPr>
        <w:ind w:left="720"/>
      </w:pPr>
    </w:p>
    <w:p w14:paraId="2F62B70B" w14:textId="77777777" w:rsidR="0008719E" w:rsidRDefault="0008719E" w:rsidP="0008719E">
      <w:pPr>
        <w:rPr>
          <w:rFonts w:cs="Arial"/>
          <w:b/>
          <w:smallCaps/>
          <w:szCs w:val="22"/>
          <w:lang w:val="en-US"/>
        </w:rPr>
      </w:pPr>
      <w:r>
        <w:rPr>
          <w:rFonts w:cs="Arial"/>
          <w:b/>
          <w:smallCaps/>
          <w:szCs w:val="22"/>
          <w:lang w:val="en-US"/>
        </w:rPr>
        <w:t xml:space="preserve">Indirect emission reductions </w:t>
      </w:r>
    </w:p>
    <w:p w14:paraId="7914F6B6" w14:textId="77777777" w:rsidR="0008719E" w:rsidRPr="00824968" w:rsidRDefault="0008719E" w:rsidP="0008719E">
      <w:pPr>
        <w:rPr>
          <w:rFonts w:cs="Arial"/>
          <w:i/>
          <w:smallCaps/>
          <w:szCs w:val="22"/>
          <w:lang w:val="en-US"/>
        </w:rPr>
      </w:pPr>
      <w:r w:rsidRPr="00824968">
        <w:rPr>
          <w:rFonts w:cs="Arial"/>
          <w:i/>
          <w:smallCaps/>
          <w:szCs w:val="22"/>
          <w:lang w:val="en-US"/>
        </w:rPr>
        <w:t>Bottom-up estimate</w:t>
      </w:r>
    </w:p>
    <w:p w14:paraId="34499C87" w14:textId="77777777" w:rsidR="0008719E" w:rsidRPr="001E5072" w:rsidRDefault="0008719E" w:rsidP="0008719E">
      <w:pPr>
        <w:pStyle w:val="Bodynumbered"/>
        <w:rPr>
          <w:lang w:val="en-US"/>
        </w:rPr>
      </w:pPr>
      <w:r w:rsidRPr="001E5072">
        <w:rPr>
          <w:lang w:val="en-US"/>
        </w:rPr>
        <w:t xml:space="preserve">The GEF </w:t>
      </w:r>
      <w:r w:rsidRPr="007C5AE7">
        <w:rPr>
          <w:i/>
          <w:lang w:val="en-US"/>
        </w:rPr>
        <w:t>bottom–up</w:t>
      </w:r>
      <w:r w:rsidRPr="001E5072">
        <w:rPr>
          <w:lang w:val="en-US"/>
        </w:rPr>
        <w:t xml:space="preserve"> approach implies the replication of the project investments </w:t>
      </w:r>
      <w:r>
        <w:rPr>
          <w:lang w:val="en-US"/>
        </w:rPr>
        <w:t xml:space="preserve">beyond the demonstration area within 10 years after the project closure, and is calculated </w:t>
      </w:r>
      <w:r w:rsidRPr="001E5072">
        <w:rPr>
          <w:lang w:val="en-US"/>
        </w:rPr>
        <w:t>based on following formula:</w:t>
      </w:r>
    </w:p>
    <w:p w14:paraId="0706BCFD" w14:textId="77777777" w:rsidR="0008719E" w:rsidRPr="001E5072" w:rsidRDefault="0008719E" w:rsidP="0008719E">
      <w:pPr>
        <w:rPr>
          <w:lang w:val="en-US"/>
        </w:rPr>
      </w:pPr>
    </w:p>
    <w:p w14:paraId="288CF680" w14:textId="77777777" w:rsidR="0008719E" w:rsidRPr="00E20210" w:rsidRDefault="0008719E" w:rsidP="0008719E">
      <w:pPr>
        <w:ind w:firstLine="720"/>
        <w:rPr>
          <w:lang w:val="en-US"/>
        </w:rPr>
      </w:pPr>
      <w:r w:rsidRPr="00E20210">
        <w:rPr>
          <w:i/>
          <w:lang w:val="en-US"/>
        </w:rPr>
        <w:t>CO</w:t>
      </w:r>
      <w:r w:rsidRPr="00E20210">
        <w:rPr>
          <w:i/>
          <w:vertAlign w:val="subscript"/>
          <w:lang w:val="en-US"/>
        </w:rPr>
        <w:t>2</w:t>
      </w:r>
      <w:r w:rsidRPr="00E20210">
        <w:rPr>
          <w:i/>
          <w:lang w:val="en-US"/>
        </w:rPr>
        <w:t xml:space="preserve"> indirect BU = CO</w:t>
      </w:r>
      <w:r w:rsidRPr="00E20210">
        <w:rPr>
          <w:i/>
          <w:vertAlign w:val="subscript"/>
          <w:lang w:val="en-US"/>
        </w:rPr>
        <w:t>2</w:t>
      </w:r>
      <w:r w:rsidRPr="00E20210">
        <w:rPr>
          <w:i/>
          <w:lang w:val="en-US"/>
        </w:rPr>
        <w:t xml:space="preserve"> direct * RF</w:t>
      </w:r>
      <w:r w:rsidRPr="00E20210">
        <w:rPr>
          <w:lang w:val="en-US"/>
        </w:rPr>
        <w:t>, where</w:t>
      </w:r>
    </w:p>
    <w:p w14:paraId="42D95601" w14:textId="77777777" w:rsidR="0008719E" w:rsidRPr="00E20210" w:rsidRDefault="0008719E" w:rsidP="007D6892">
      <w:pPr>
        <w:numPr>
          <w:ilvl w:val="0"/>
          <w:numId w:val="37"/>
        </w:numPr>
        <w:spacing w:after="100" w:afterAutospacing="1"/>
        <w:jc w:val="left"/>
        <w:rPr>
          <w:lang w:val="en-US"/>
        </w:rPr>
      </w:pPr>
      <w:r w:rsidRPr="00E20210">
        <w:rPr>
          <w:lang w:val="en-US"/>
        </w:rPr>
        <w:t>CO</w:t>
      </w:r>
      <w:r w:rsidRPr="00E20210">
        <w:rPr>
          <w:vertAlign w:val="subscript"/>
          <w:lang w:val="en-US"/>
        </w:rPr>
        <w:t>2</w:t>
      </w:r>
      <w:r w:rsidRPr="00E20210">
        <w:rPr>
          <w:lang w:val="en-US"/>
        </w:rPr>
        <w:t xml:space="preserve"> direct – direct emission reductions calculated at the previous step</w:t>
      </w:r>
    </w:p>
    <w:p w14:paraId="26C54579" w14:textId="77777777" w:rsidR="0008719E" w:rsidRPr="00E20210" w:rsidRDefault="0008719E" w:rsidP="007D6892">
      <w:pPr>
        <w:numPr>
          <w:ilvl w:val="0"/>
          <w:numId w:val="37"/>
        </w:numPr>
        <w:spacing w:after="100" w:afterAutospacing="1"/>
        <w:jc w:val="left"/>
        <w:rPr>
          <w:lang w:val="en-US"/>
        </w:rPr>
      </w:pPr>
      <w:r w:rsidRPr="00E20210">
        <w:rPr>
          <w:lang w:val="en-US"/>
        </w:rPr>
        <w:t>RF – replication factor</w:t>
      </w:r>
    </w:p>
    <w:p w14:paraId="7906F604" w14:textId="77777777" w:rsidR="0008719E" w:rsidRDefault="0008719E" w:rsidP="0008719E">
      <w:pPr>
        <w:pStyle w:val="Bodynumbered"/>
        <w:rPr>
          <w:lang w:val="en-US"/>
        </w:rPr>
      </w:pPr>
      <w:r>
        <w:rPr>
          <w:lang w:val="en-US"/>
        </w:rPr>
        <w:t xml:space="preserve">Since the direct emission reductions are composed of impacts from two project components, these are analyzed separately here. </w:t>
      </w:r>
      <w:r w:rsidRPr="001E5072">
        <w:rPr>
          <w:lang w:val="en-US"/>
        </w:rPr>
        <w:t xml:space="preserve">The direct emission reductions </w:t>
      </w:r>
      <w:r>
        <w:rPr>
          <w:lang w:val="en-US"/>
        </w:rPr>
        <w:t xml:space="preserve">attributable to implementation of the pilot NAMA in Prigorodnoye (Component 4) have been estimated </w:t>
      </w:r>
      <w:r w:rsidRPr="007C5AE7" w:rsidDel="003A5248">
        <w:rPr>
          <w:b/>
          <w:lang w:val="en-US"/>
        </w:rPr>
        <w:t xml:space="preserve"> </w:t>
      </w:r>
      <w:r>
        <w:rPr>
          <w:lang w:val="en-US"/>
        </w:rPr>
        <w:t xml:space="preserve"> 95,000 </w:t>
      </w:r>
      <w:r w:rsidRPr="001E5072">
        <w:rPr>
          <w:lang w:val="en-US"/>
        </w:rPr>
        <w:t>tCO</w:t>
      </w:r>
      <w:r w:rsidRPr="001E5072">
        <w:rPr>
          <w:vertAlign w:val="subscript"/>
          <w:lang w:val="en-US"/>
        </w:rPr>
        <w:t>2</w:t>
      </w:r>
      <w:r w:rsidRPr="001E5072">
        <w:rPr>
          <w:lang w:val="en-US"/>
        </w:rPr>
        <w:t xml:space="preserve">eq. </w:t>
      </w:r>
      <w:r>
        <w:rPr>
          <w:lang w:val="en-US"/>
        </w:rPr>
        <w:t xml:space="preserve">Provided that at least 5 districts similar to Prigorodnoye manage to renovate their district heating systems, enhance their residential building stock and utilize renewable energy in a similar fashion, the bottom-up </w:t>
      </w:r>
      <w:r w:rsidRPr="00A3207A">
        <w:t>indirect</w:t>
      </w:r>
      <w:r>
        <w:rPr>
          <w:lang w:val="en-US"/>
        </w:rPr>
        <w:t xml:space="preserve"> emission reductions attributable to Component 4 have been estimated at </w:t>
      </w:r>
      <w:r w:rsidDel="003A5248">
        <w:rPr>
          <w:lang w:val="en-US"/>
        </w:rPr>
        <w:t xml:space="preserve"> </w:t>
      </w:r>
      <w:r>
        <w:rPr>
          <w:lang w:val="en-US"/>
        </w:rPr>
        <w:t xml:space="preserve"> 95,000 * 5 = </w:t>
      </w:r>
      <w:r w:rsidRPr="003A5248">
        <w:rPr>
          <w:b/>
          <w:lang w:val="en-US"/>
        </w:rPr>
        <w:t>475,000</w:t>
      </w:r>
      <w:r>
        <w:rPr>
          <w:lang w:val="en-US"/>
        </w:rPr>
        <w:t xml:space="preserve"> tCO2 calculated over the 20-year lifetime of investments. </w:t>
      </w:r>
    </w:p>
    <w:p w14:paraId="1B18E719" w14:textId="77777777" w:rsidR="0008719E" w:rsidRDefault="0008719E" w:rsidP="0008719E">
      <w:pPr>
        <w:pStyle w:val="Bodynumbered"/>
        <w:rPr>
          <w:lang w:val="en-US"/>
        </w:rPr>
      </w:pPr>
      <w:r>
        <w:rPr>
          <w:lang w:val="en-US"/>
        </w:rPr>
        <w:t>Similarly, with the direct emission reductions attributable to the NAMA Fund implementation (Compo</w:t>
      </w:r>
      <w:r w:rsidR="00405975">
        <w:rPr>
          <w:lang w:val="en-US"/>
        </w:rPr>
        <w:t>n</w:t>
      </w:r>
      <w:r>
        <w:rPr>
          <w:lang w:val="en-US"/>
        </w:rPr>
        <w:t xml:space="preserve">ent 3) having been estimated at 275,000 tCO2 and assuming that the NAMA Fund is capitalized with at least an additional $26.4 million (i.e. or double the investment funds disbursed during the project lifetime) within 10 years after the project closure, resultant bottom-up indirect emission reductions attributable to Component 3 have been estimated at 275,000 * 2 = </w:t>
      </w:r>
      <w:r w:rsidRPr="00824968">
        <w:rPr>
          <w:b/>
          <w:lang w:val="en-US"/>
        </w:rPr>
        <w:t>550,000 tCO2.</w:t>
      </w:r>
    </w:p>
    <w:p w14:paraId="25667670" w14:textId="77777777" w:rsidR="0008719E" w:rsidRDefault="0008719E" w:rsidP="0008719E">
      <w:pPr>
        <w:pStyle w:val="Bodynumbered"/>
        <w:rPr>
          <w:lang w:val="en-US"/>
        </w:rPr>
      </w:pPr>
      <w:r>
        <w:rPr>
          <w:lang w:val="en-US"/>
        </w:rPr>
        <w:t xml:space="preserve">Thus, the total bottom-up estimate of indirect GHG emission reductions stands at 475,000 + 550,000 = </w:t>
      </w:r>
      <w:r w:rsidRPr="00824968">
        <w:rPr>
          <w:b/>
          <w:lang w:val="en-US"/>
        </w:rPr>
        <w:t>1,025,000 tCO2</w:t>
      </w:r>
      <w:r>
        <w:rPr>
          <w:lang w:val="en-US"/>
        </w:rPr>
        <w:t>.</w:t>
      </w:r>
    </w:p>
    <w:p w14:paraId="66DA5DAF" w14:textId="77777777" w:rsidR="0008719E" w:rsidRPr="00824968" w:rsidRDefault="0008719E" w:rsidP="0008719E">
      <w:pPr>
        <w:rPr>
          <w:rFonts w:cs="Arial"/>
          <w:i/>
          <w:smallCaps/>
          <w:szCs w:val="22"/>
          <w:lang w:val="en-US"/>
        </w:rPr>
      </w:pPr>
      <w:r>
        <w:rPr>
          <w:rFonts w:cs="Arial"/>
          <w:i/>
          <w:smallCaps/>
          <w:szCs w:val="22"/>
          <w:lang w:val="en-US"/>
        </w:rPr>
        <w:t xml:space="preserve">Top-down </w:t>
      </w:r>
      <w:r w:rsidRPr="00824968">
        <w:rPr>
          <w:rFonts w:cs="Arial"/>
          <w:i/>
          <w:smallCaps/>
          <w:szCs w:val="22"/>
          <w:lang w:val="en-US"/>
        </w:rPr>
        <w:t>estimate</w:t>
      </w:r>
    </w:p>
    <w:p w14:paraId="6248E8D9" w14:textId="77777777" w:rsidR="0008719E" w:rsidRPr="001E5072" w:rsidRDefault="0008719E" w:rsidP="0008719E">
      <w:pPr>
        <w:pStyle w:val="Bodynumbered"/>
      </w:pPr>
      <w:r w:rsidRPr="001E5072">
        <w:t xml:space="preserve">The GEF </w:t>
      </w:r>
      <w:r w:rsidRPr="00824968">
        <w:rPr>
          <w:i/>
        </w:rPr>
        <w:t>top-down</w:t>
      </w:r>
      <w:r w:rsidRPr="001E5072">
        <w:t xml:space="preserve"> assesses indirect GHG impacts by estimating the combined market potential for the proposed approach or technology within </w:t>
      </w:r>
      <w:r>
        <w:t xml:space="preserve">10 years after the project closure </w:t>
      </w:r>
      <w:r w:rsidRPr="001E5072">
        <w:t xml:space="preserve">and is calculated per following formula: </w:t>
      </w:r>
    </w:p>
    <w:p w14:paraId="2219CAB7" w14:textId="77777777" w:rsidR="0008719E" w:rsidRPr="001E5072" w:rsidRDefault="0008719E" w:rsidP="0008719E">
      <w:pPr>
        <w:ind w:firstLine="720"/>
      </w:pPr>
      <w:r w:rsidRPr="001E5072">
        <w:rPr>
          <w:i/>
          <w:iCs/>
        </w:rPr>
        <w:t>CO</w:t>
      </w:r>
      <w:r w:rsidRPr="001E5072">
        <w:rPr>
          <w:i/>
          <w:iCs/>
          <w:vertAlign w:val="subscript"/>
        </w:rPr>
        <w:t>2</w:t>
      </w:r>
      <w:r w:rsidRPr="001E5072">
        <w:rPr>
          <w:i/>
          <w:iCs/>
        </w:rPr>
        <w:t xml:space="preserve"> indirect TD = P</w:t>
      </w:r>
      <w:r>
        <w:rPr>
          <w:i/>
          <w:iCs/>
        </w:rPr>
        <w:t>1</w:t>
      </w:r>
      <w:r w:rsidRPr="001E5072">
        <w:rPr>
          <w:i/>
          <w:iCs/>
        </w:rPr>
        <w:t xml:space="preserve">0 * CF, where </w:t>
      </w:r>
    </w:p>
    <w:p w14:paraId="528287F3" w14:textId="77777777" w:rsidR="0008719E" w:rsidRPr="001E5072" w:rsidRDefault="0008719E" w:rsidP="007D6892">
      <w:pPr>
        <w:numPr>
          <w:ilvl w:val="0"/>
          <w:numId w:val="37"/>
        </w:numPr>
        <w:spacing w:after="100" w:afterAutospacing="1"/>
        <w:jc w:val="left"/>
        <w:rPr>
          <w:lang w:val="en-US"/>
        </w:rPr>
      </w:pPr>
      <w:r w:rsidRPr="001E5072">
        <w:rPr>
          <w:lang w:val="en-US"/>
        </w:rPr>
        <w:t>P</w:t>
      </w:r>
      <w:r>
        <w:rPr>
          <w:lang w:val="en-US"/>
        </w:rPr>
        <w:t>1</w:t>
      </w:r>
      <w:r w:rsidRPr="001E5072">
        <w:rPr>
          <w:lang w:val="en-US"/>
        </w:rPr>
        <w:t xml:space="preserve">0 = technical and economic potential for GHG savings with the respective application within </w:t>
      </w:r>
      <w:r>
        <w:rPr>
          <w:lang w:val="en-US"/>
        </w:rPr>
        <w:t>1</w:t>
      </w:r>
      <w:r w:rsidRPr="001E5072">
        <w:rPr>
          <w:lang w:val="en-US"/>
        </w:rPr>
        <w:t xml:space="preserve">0 years of GEF project influence period; </w:t>
      </w:r>
    </w:p>
    <w:p w14:paraId="74A65B54" w14:textId="77777777" w:rsidR="0008719E" w:rsidRDefault="0008719E" w:rsidP="007D6892">
      <w:pPr>
        <w:numPr>
          <w:ilvl w:val="0"/>
          <w:numId w:val="37"/>
        </w:numPr>
        <w:spacing w:before="100" w:beforeAutospacing="1" w:after="100" w:afterAutospacing="1"/>
        <w:jc w:val="left"/>
      </w:pPr>
      <w:r w:rsidRPr="001E5072">
        <w:t xml:space="preserve">CF = GEF causality factor. </w:t>
      </w:r>
    </w:p>
    <w:p w14:paraId="2D0A8E7E" w14:textId="77777777" w:rsidR="0008719E" w:rsidRDefault="0008719E" w:rsidP="0008719E">
      <w:pPr>
        <w:pStyle w:val="Bodynumbered"/>
      </w:pPr>
      <w:r>
        <w:t>The technical and economic potential for GHG savings in the urban sector has been estimated on the basis of GHG forecasts made for different scenarios as part of the 3</w:t>
      </w:r>
      <w:r w:rsidRPr="00265AF7">
        <w:rPr>
          <w:vertAlign w:val="superscript"/>
        </w:rPr>
        <w:t>rd</w:t>
      </w:r>
      <w:r>
        <w:t xml:space="preserve"> National Communication of Kazakhstan under UNFCCC. It is estimated that a total of 115 MtCO</w:t>
      </w:r>
      <w:r w:rsidRPr="00BA034F">
        <w:rPr>
          <w:vertAlign w:val="subscript"/>
        </w:rPr>
        <w:t>2</w:t>
      </w:r>
      <w:r>
        <w:t xml:space="preserve"> in GHG savings could be realized under a "with additional measures" scenario, as compared to the "with current measures" scenario by 2030. With urban emissions projected to account for 43% of the total emissions by 2030, the potential for GHG savings in this sector could be estimated at some </w:t>
      </w:r>
      <w:r w:rsidRPr="00B555DA">
        <w:rPr>
          <w:b/>
        </w:rPr>
        <w:t>50 MtCO</w:t>
      </w:r>
      <w:r w:rsidRPr="00B555DA">
        <w:rPr>
          <w:b/>
          <w:vertAlign w:val="subscript"/>
        </w:rPr>
        <w:t>2</w:t>
      </w:r>
      <w:r>
        <w:t xml:space="preserve">. </w:t>
      </w:r>
    </w:p>
    <w:p w14:paraId="09093DAF" w14:textId="77777777" w:rsidR="0008719E" w:rsidRDefault="0008719E" w:rsidP="0008719E">
      <w:pPr>
        <w:pStyle w:val="Bodynumbered"/>
        <w:rPr>
          <w:lang w:val="en-US"/>
        </w:rPr>
      </w:pPr>
      <w:r>
        <w:t xml:space="preserve">Considering the broad spectrum of potential mitigation measures in the urban sector, as well as vast financial resources required in order to unlock its mitigation potential (particularly in view of the dire state of the obsolete building stock and district heating systems constructed during the Soviet times), the share of GHG emission reductions potentially attributable to the GEF intervention has been conservatively estimated at </w:t>
      </w:r>
      <w:r w:rsidRPr="00B555DA">
        <w:rPr>
          <w:b/>
        </w:rPr>
        <w:t>10%</w:t>
      </w:r>
      <w:r>
        <w:t xml:space="preserve">, thus yielding the </w:t>
      </w:r>
      <w:r w:rsidRPr="00824968">
        <w:rPr>
          <w:i/>
        </w:rPr>
        <w:t>top-down</w:t>
      </w:r>
      <w:r>
        <w:t xml:space="preserve"> estimate of indirect emission reductions of </w:t>
      </w:r>
      <w:r w:rsidRPr="00B555DA">
        <w:rPr>
          <w:b/>
        </w:rPr>
        <w:t>5 MtCO</w:t>
      </w:r>
      <w:r w:rsidRPr="00B555DA">
        <w:rPr>
          <w:b/>
          <w:vertAlign w:val="subscript"/>
        </w:rPr>
        <w:t>2</w:t>
      </w:r>
      <w:r>
        <w:t>.</w:t>
      </w:r>
    </w:p>
    <w:p w14:paraId="4290281C" w14:textId="77777777" w:rsidR="00FF6A34" w:rsidRDefault="00FF6A34" w:rsidP="00C603FC">
      <w:pPr>
        <w:rPr>
          <w:lang w:val="en-US"/>
        </w:rPr>
      </w:pPr>
    </w:p>
    <w:p w14:paraId="2F5F833A" w14:textId="47BDE39C" w:rsidR="00C35DA9" w:rsidRDefault="00C35DA9">
      <w:pPr>
        <w:spacing w:after="0"/>
        <w:jc w:val="left"/>
        <w:rPr>
          <w:lang w:val="en-US"/>
        </w:rPr>
      </w:pPr>
      <w:r>
        <w:rPr>
          <w:lang w:val="en-US"/>
        </w:rPr>
        <w:br w:type="page"/>
      </w:r>
    </w:p>
    <w:p w14:paraId="37E77388" w14:textId="7E20366D" w:rsidR="00C35DA9" w:rsidRPr="00C35DA9" w:rsidRDefault="00C35DA9" w:rsidP="00C35DA9">
      <w:pPr>
        <w:pStyle w:val="Heading1"/>
        <w:numPr>
          <w:ilvl w:val="0"/>
          <w:numId w:val="0"/>
        </w:numPr>
        <w:ind w:left="432" w:hanging="432"/>
        <w:rPr>
          <w:caps/>
          <w:smallCaps w:val="0"/>
          <w:lang w:val="en-US"/>
        </w:rPr>
      </w:pPr>
      <w:bookmarkStart w:id="100" w:name="_Toc352255224"/>
      <w:bookmarkStart w:id="101" w:name="_Toc358223141"/>
      <w:bookmarkStart w:id="102" w:name="_Toc358331332"/>
      <w:bookmarkStart w:id="103" w:name="_Toc393449020"/>
      <w:r w:rsidRPr="00C35DA9">
        <w:rPr>
          <w:caps/>
          <w:smallCaps w:val="0"/>
          <w:lang w:val="en-US"/>
        </w:rPr>
        <w:t>Anne</w:t>
      </w:r>
      <w:bookmarkEnd w:id="100"/>
      <w:r w:rsidRPr="00C35DA9">
        <w:rPr>
          <w:caps/>
          <w:smallCaps w:val="0"/>
          <w:lang w:val="en-US"/>
        </w:rPr>
        <w:t xml:space="preserve">x </w:t>
      </w:r>
      <w:r w:rsidR="003678B2">
        <w:rPr>
          <w:caps/>
          <w:smallCaps w:val="0"/>
          <w:lang w:val="en-US"/>
        </w:rPr>
        <w:t>G</w:t>
      </w:r>
      <w:r w:rsidRPr="00C35DA9">
        <w:rPr>
          <w:caps/>
          <w:smallCaps w:val="0"/>
          <w:lang w:val="en-US"/>
        </w:rPr>
        <w:t xml:space="preserve">. Standard Letter of Agreement between UNDP and the Government of </w:t>
      </w:r>
      <w:r>
        <w:rPr>
          <w:caps/>
          <w:smallCaps w:val="0"/>
          <w:lang w:val="en-US"/>
        </w:rPr>
        <w:t xml:space="preserve">KAZAKHSTAN </w:t>
      </w:r>
      <w:r w:rsidRPr="00C35DA9">
        <w:rPr>
          <w:caps/>
          <w:smallCaps w:val="0"/>
          <w:lang w:val="en-US"/>
        </w:rPr>
        <w:t>for the Provision of Support Services</w:t>
      </w:r>
      <w:bookmarkEnd w:id="101"/>
      <w:bookmarkEnd w:id="102"/>
      <w:bookmarkEnd w:id="103"/>
    </w:p>
    <w:p w14:paraId="45480205" w14:textId="77777777" w:rsidR="00C35DA9" w:rsidRPr="00E02E86" w:rsidRDefault="00C35DA9" w:rsidP="00C35DA9">
      <w:pPr>
        <w:tabs>
          <w:tab w:val="left" w:pos="0"/>
          <w:tab w:val="left" w:pos="282"/>
          <w:tab w:val="left" w:pos="1440"/>
          <w:tab w:val="left" w:pos="2880"/>
        </w:tabs>
        <w:suppressAutoHyphens/>
        <w:rPr>
          <w:rFonts w:ascii="Times New Roman" w:hAnsi="Times New Roman"/>
          <w:szCs w:val="20"/>
        </w:rPr>
      </w:pPr>
    </w:p>
    <w:p w14:paraId="76825CF2" w14:textId="77777777" w:rsidR="00C35DA9" w:rsidRPr="00E02E86" w:rsidRDefault="00C35DA9" w:rsidP="00C35DA9">
      <w:pPr>
        <w:tabs>
          <w:tab w:val="left" w:pos="0"/>
          <w:tab w:val="left" w:pos="282"/>
          <w:tab w:val="left" w:pos="1440"/>
          <w:tab w:val="left" w:pos="2880"/>
        </w:tabs>
        <w:suppressAutoHyphens/>
        <w:rPr>
          <w:rFonts w:ascii="Times New Roman" w:hAnsi="Times New Roman"/>
          <w:szCs w:val="20"/>
        </w:rPr>
      </w:pPr>
    </w:p>
    <w:p w14:paraId="023495AC" w14:textId="078B3920" w:rsidR="00C35DA9" w:rsidRPr="00E02E86" w:rsidRDefault="004A2786" w:rsidP="00C35DA9">
      <w:pPr>
        <w:tabs>
          <w:tab w:val="left" w:pos="0"/>
          <w:tab w:val="left" w:pos="282"/>
          <w:tab w:val="left" w:pos="1440"/>
          <w:tab w:val="left" w:pos="2880"/>
        </w:tabs>
        <w:suppressAutoHyphens/>
        <w:rPr>
          <w:rFonts w:ascii="Times New Roman" w:hAnsi="Times New Roman"/>
          <w:spacing w:val="-2"/>
          <w:szCs w:val="20"/>
        </w:rPr>
      </w:pPr>
      <w:r>
        <w:rPr>
          <w:rFonts w:ascii="Times New Roman" w:hAnsi="Times New Roman"/>
          <w:spacing w:val="-3"/>
          <w:szCs w:val="20"/>
          <w:lang w:val="en-US"/>
        </w:rPr>
        <w:t>Excellency</w:t>
      </w:r>
      <w:r w:rsidR="00C35DA9" w:rsidRPr="00E02E86">
        <w:rPr>
          <w:rFonts w:ascii="Times New Roman" w:hAnsi="Times New Roman"/>
          <w:spacing w:val="-2"/>
          <w:szCs w:val="20"/>
        </w:rPr>
        <w:t xml:space="preserve">, </w:t>
      </w:r>
    </w:p>
    <w:p w14:paraId="365E8E39"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p>
    <w:p w14:paraId="6482F706" w14:textId="21F9367B" w:rsidR="00C35DA9" w:rsidRPr="00E02E86" w:rsidRDefault="00C35DA9" w:rsidP="00C35DA9">
      <w:pPr>
        <w:numPr>
          <w:ilvl w:val="12"/>
          <w:numId w:val="0"/>
        </w:numPr>
        <w:tabs>
          <w:tab w:val="left" w:pos="0"/>
        </w:tabs>
        <w:suppressAutoHyphens/>
        <w:rPr>
          <w:rFonts w:ascii="Times New Roman" w:hAnsi="Times New Roman"/>
          <w:spacing w:val="-2"/>
          <w:szCs w:val="20"/>
        </w:rPr>
      </w:pPr>
      <w:r w:rsidRPr="00E02E86">
        <w:rPr>
          <w:rFonts w:ascii="Times New Roman" w:hAnsi="Times New Roman"/>
          <w:spacing w:val="-2"/>
          <w:szCs w:val="20"/>
        </w:rPr>
        <w:t>1.</w:t>
      </w:r>
      <w:r w:rsidRPr="00E02E86">
        <w:rPr>
          <w:rFonts w:ascii="Times New Roman" w:hAnsi="Times New Roman"/>
          <w:spacing w:val="-2"/>
          <w:szCs w:val="20"/>
        </w:rPr>
        <w:tab/>
        <w:t xml:space="preserve">Reference is made to consultations between officials </w:t>
      </w:r>
      <w:r w:rsidR="0091355A" w:rsidRPr="0091355A">
        <w:rPr>
          <w:rFonts w:ascii="Times New Roman" w:hAnsi="Times New Roman"/>
          <w:spacing w:val="-2"/>
          <w:szCs w:val="20"/>
          <w:lang w:val="en-US"/>
        </w:rPr>
        <w:t>of</w:t>
      </w:r>
      <w:r w:rsidR="0091355A" w:rsidRPr="0091355A">
        <w:rPr>
          <w:rFonts w:ascii="Times New Roman" w:hAnsi="Times New Roman"/>
          <w:i/>
          <w:spacing w:val="-2"/>
          <w:szCs w:val="20"/>
          <w:lang w:val="en-US"/>
        </w:rPr>
        <w:t xml:space="preserve"> </w:t>
      </w:r>
      <w:r w:rsidR="0091355A" w:rsidRPr="0091355A">
        <w:rPr>
          <w:rFonts w:ascii="Times New Roman" w:hAnsi="Times New Roman"/>
          <w:spacing w:val="-2"/>
          <w:szCs w:val="20"/>
          <w:lang w:val="en-US"/>
        </w:rPr>
        <w:t>the Ministry of Regional Development of the Republic of Kazakhstan (hereinafter referred to as “the Ministry”) and officials of UNDP Kazakhstan with respect to the provision of support services by the UNDP Kazakhstan country office for nationally managed project “</w:t>
      </w:r>
      <w:r w:rsidR="0091355A" w:rsidRPr="0091355A">
        <w:rPr>
          <w:rFonts w:ascii="Times New Roman" w:hAnsi="Times New Roman"/>
          <w:bCs/>
          <w:spacing w:val="-2"/>
          <w:szCs w:val="20"/>
          <w:lang w:val="en-US"/>
        </w:rPr>
        <w:t>Nationally Appropriate Mitigation Actions for Low-carbon Urban Development”</w:t>
      </w:r>
      <w:r w:rsidR="0091355A" w:rsidRPr="0091355A">
        <w:rPr>
          <w:rFonts w:ascii="Times New Roman" w:hAnsi="Times New Roman"/>
          <w:spacing w:val="-2"/>
          <w:szCs w:val="20"/>
          <w:lang w:val="en-US"/>
        </w:rPr>
        <w:t>.</w:t>
      </w:r>
      <w:r w:rsidRPr="00E02E86">
        <w:rPr>
          <w:rFonts w:ascii="Times New Roman" w:hAnsi="Times New Roman"/>
          <w:spacing w:val="-2"/>
          <w:szCs w:val="20"/>
        </w:rPr>
        <w:t xml:space="preserve">  UNDP and the Government hereby agree that the UNDP country office may provide such support services at the request of the Government through its institution designated in the relevant programme support document or project document, as described below.</w:t>
      </w:r>
    </w:p>
    <w:p w14:paraId="0F4B9B9E"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p>
    <w:p w14:paraId="629DA83B"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r w:rsidRPr="00E02E86">
        <w:rPr>
          <w:rFonts w:ascii="Times New Roman" w:hAnsi="Times New Roman"/>
          <w:spacing w:val="-2"/>
          <w:szCs w:val="20"/>
        </w:rPr>
        <w:t>2.</w:t>
      </w:r>
      <w:r w:rsidRPr="00E02E86">
        <w:rPr>
          <w:rFonts w:ascii="Times New Roman" w:hAnsi="Times New Roman"/>
          <w:spacing w:val="-2"/>
          <w:szCs w:val="20"/>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554BC33D"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p>
    <w:p w14:paraId="568DD2E6"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r w:rsidRPr="00E02E86">
        <w:rPr>
          <w:rFonts w:ascii="Times New Roman" w:hAnsi="Times New Roman"/>
          <w:spacing w:val="-2"/>
          <w:szCs w:val="20"/>
        </w:rPr>
        <w:t>3.</w:t>
      </w:r>
      <w:r w:rsidRPr="00E02E86">
        <w:rPr>
          <w:rFonts w:ascii="Times New Roman" w:hAnsi="Times New Roman"/>
          <w:spacing w:val="-2"/>
          <w:szCs w:val="20"/>
        </w:rPr>
        <w:tab/>
        <w:t>The UNDP country office may provide, at the request of the designated institution, the following support services for the activities of the programme/project:</w:t>
      </w:r>
    </w:p>
    <w:p w14:paraId="19E0B64C" w14:textId="77777777" w:rsidR="00C35DA9" w:rsidRPr="00E02E86" w:rsidRDefault="00C35DA9" w:rsidP="00C35DA9">
      <w:pPr>
        <w:numPr>
          <w:ilvl w:val="12"/>
          <w:numId w:val="0"/>
        </w:numPr>
        <w:suppressAutoHyphens/>
        <w:ind w:left="720" w:hanging="720"/>
        <w:rPr>
          <w:rFonts w:ascii="Times New Roman" w:hAnsi="Times New Roman"/>
          <w:spacing w:val="-2"/>
          <w:szCs w:val="20"/>
        </w:rPr>
      </w:pPr>
      <w:r w:rsidRPr="00E02E86">
        <w:rPr>
          <w:rFonts w:ascii="Times New Roman" w:hAnsi="Times New Roman"/>
          <w:spacing w:val="-2"/>
          <w:szCs w:val="20"/>
        </w:rPr>
        <w:t>(a)</w:t>
      </w:r>
      <w:r w:rsidRPr="00E02E86">
        <w:rPr>
          <w:rFonts w:ascii="Times New Roman" w:hAnsi="Times New Roman"/>
          <w:spacing w:val="-2"/>
          <w:szCs w:val="20"/>
        </w:rPr>
        <w:tab/>
        <w:t>Identification and/or</w:t>
      </w:r>
      <w:r w:rsidRPr="00E02E86">
        <w:rPr>
          <w:rFonts w:ascii="Times New Roman" w:hAnsi="Times New Roman"/>
          <w:b/>
          <w:spacing w:val="-2"/>
          <w:szCs w:val="20"/>
        </w:rPr>
        <w:t xml:space="preserve"> </w:t>
      </w:r>
      <w:r w:rsidRPr="00E02E86">
        <w:rPr>
          <w:rFonts w:ascii="Times New Roman" w:hAnsi="Times New Roman"/>
          <w:spacing w:val="-2"/>
          <w:szCs w:val="20"/>
        </w:rPr>
        <w:t>recruitment of project and programme personnel;</w:t>
      </w:r>
    </w:p>
    <w:p w14:paraId="5CBE34EF" w14:textId="77777777" w:rsidR="00C35DA9" w:rsidRPr="00E02E86" w:rsidRDefault="00C35DA9" w:rsidP="00C35DA9">
      <w:pPr>
        <w:numPr>
          <w:ilvl w:val="12"/>
          <w:numId w:val="0"/>
        </w:numPr>
        <w:tabs>
          <w:tab w:val="left" w:pos="0"/>
          <w:tab w:val="left" w:pos="720"/>
        </w:tabs>
        <w:suppressAutoHyphens/>
        <w:ind w:left="720" w:hanging="720"/>
        <w:rPr>
          <w:rFonts w:ascii="Times New Roman" w:hAnsi="Times New Roman"/>
          <w:spacing w:val="-2"/>
          <w:szCs w:val="20"/>
        </w:rPr>
      </w:pPr>
      <w:r w:rsidRPr="00E02E86">
        <w:rPr>
          <w:rFonts w:ascii="Times New Roman" w:hAnsi="Times New Roman"/>
          <w:spacing w:val="-2"/>
          <w:szCs w:val="20"/>
        </w:rPr>
        <w:t>(b)</w:t>
      </w:r>
      <w:r w:rsidRPr="00E02E86">
        <w:rPr>
          <w:rFonts w:ascii="Times New Roman" w:hAnsi="Times New Roman"/>
          <w:spacing w:val="-2"/>
          <w:szCs w:val="20"/>
        </w:rPr>
        <w:tab/>
        <w:t>Identification and facilitation of training activities;</w:t>
      </w:r>
    </w:p>
    <w:p w14:paraId="08019EED" w14:textId="77777777" w:rsidR="00C35DA9" w:rsidRPr="00E02E86" w:rsidRDefault="00C35DA9" w:rsidP="007D6892">
      <w:pPr>
        <w:numPr>
          <w:ilvl w:val="0"/>
          <w:numId w:val="51"/>
        </w:numPr>
        <w:tabs>
          <w:tab w:val="clear" w:pos="795"/>
          <w:tab w:val="left" w:pos="720"/>
        </w:tabs>
        <w:suppressAutoHyphens/>
        <w:spacing w:after="0"/>
        <w:ind w:left="1155" w:hanging="1155"/>
        <w:rPr>
          <w:rFonts w:ascii="Times New Roman" w:hAnsi="Times New Roman"/>
          <w:spacing w:val="-2"/>
          <w:szCs w:val="20"/>
        </w:rPr>
      </w:pPr>
      <w:r w:rsidRPr="00E02E86">
        <w:rPr>
          <w:rFonts w:ascii="Times New Roman" w:hAnsi="Times New Roman"/>
          <w:spacing w:val="-2"/>
          <w:szCs w:val="20"/>
        </w:rPr>
        <w:t>Procurement of goods and services;</w:t>
      </w:r>
    </w:p>
    <w:p w14:paraId="413AA55E" w14:textId="77777777" w:rsidR="00C35DA9" w:rsidRPr="00E02E86" w:rsidRDefault="00C35DA9" w:rsidP="00C35DA9">
      <w:pPr>
        <w:tabs>
          <w:tab w:val="left" w:pos="720"/>
        </w:tabs>
        <w:suppressAutoHyphens/>
        <w:rPr>
          <w:rFonts w:ascii="Times New Roman" w:hAnsi="Times New Roman"/>
          <w:spacing w:val="-2"/>
          <w:szCs w:val="20"/>
        </w:rPr>
      </w:pPr>
    </w:p>
    <w:p w14:paraId="01E6D4A1"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r w:rsidRPr="00E02E86">
        <w:rPr>
          <w:rFonts w:ascii="Times New Roman" w:hAnsi="Times New Roman"/>
          <w:spacing w:val="-2"/>
          <w:szCs w:val="20"/>
        </w:rPr>
        <w:t>4.</w:t>
      </w:r>
      <w:r w:rsidRPr="00E02E86">
        <w:rPr>
          <w:rFonts w:ascii="Times New Roman" w:hAnsi="Times New Roman"/>
          <w:spacing w:val="-2"/>
          <w:szCs w:val="20"/>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14:paraId="0F77D0ED"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p>
    <w:p w14:paraId="0296BC91" w14:textId="2079C8B6" w:rsidR="00C35DA9" w:rsidRPr="00E02E86" w:rsidRDefault="00C35DA9" w:rsidP="00C35DA9">
      <w:pPr>
        <w:numPr>
          <w:ilvl w:val="12"/>
          <w:numId w:val="0"/>
        </w:numPr>
        <w:tabs>
          <w:tab w:val="left" w:pos="0"/>
        </w:tabs>
        <w:suppressAutoHyphens/>
        <w:rPr>
          <w:rFonts w:ascii="Times New Roman" w:hAnsi="Times New Roman"/>
          <w:spacing w:val="-2"/>
          <w:szCs w:val="20"/>
        </w:rPr>
      </w:pPr>
      <w:r w:rsidRPr="00EA5E3E">
        <w:rPr>
          <w:rFonts w:ascii="Times New Roman" w:hAnsi="Times New Roman"/>
          <w:spacing w:val="-2"/>
          <w:szCs w:val="20"/>
        </w:rPr>
        <w:t>5.</w:t>
      </w:r>
      <w:r w:rsidRPr="00EA5E3E">
        <w:rPr>
          <w:rFonts w:ascii="Times New Roman" w:hAnsi="Times New Roman"/>
          <w:spacing w:val="-2"/>
          <w:szCs w:val="20"/>
        </w:rPr>
        <w:tab/>
        <w:t xml:space="preserve">The relevant provisions of the Standard Basic Assistance Agreement (SBAA) between the Authorities of the Government of </w:t>
      </w:r>
      <w:r w:rsidR="002F3236">
        <w:rPr>
          <w:rFonts w:ascii="Times New Roman" w:hAnsi="Times New Roman"/>
          <w:spacing w:val="-2"/>
          <w:szCs w:val="20"/>
        </w:rPr>
        <w:t xml:space="preserve">Kazakhstan </w:t>
      </w:r>
      <w:r w:rsidRPr="00EA5E3E">
        <w:rPr>
          <w:rFonts w:ascii="Times New Roman" w:hAnsi="Times New Roman"/>
          <w:spacing w:val="-2"/>
          <w:szCs w:val="20"/>
        </w:rPr>
        <w:t xml:space="preserve">and the United Nations Development Programme (UNDP), </w:t>
      </w:r>
      <w:r w:rsidRPr="0091355A">
        <w:rPr>
          <w:rFonts w:ascii="Times New Roman" w:hAnsi="Times New Roman"/>
          <w:spacing w:val="-2"/>
          <w:szCs w:val="20"/>
        </w:rPr>
        <w:t xml:space="preserve">signed by the Parties on </w:t>
      </w:r>
      <w:r w:rsidR="0091355A" w:rsidRPr="0091355A">
        <w:rPr>
          <w:rFonts w:ascii="Times New Roman" w:hAnsi="Times New Roman"/>
          <w:spacing w:val="-2"/>
          <w:szCs w:val="20"/>
          <w:lang w:val="en-US"/>
        </w:rPr>
        <w:t>October 4, 1993</w:t>
      </w:r>
      <w:r w:rsidR="0091355A" w:rsidRPr="0091355A">
        <w:rPr>
          <w:rFonts w:ascii="Times New Roman" w:hAnsi="Times New Roman"/>
          <w:spacing w:val="-2"/>
          <w:szCs w:val="20"/>
        </w:rPr>
        <w:t xml:space="preserve"> </w:t>
      </w:r>
      <w:r w:rsidRPr="0091355A">
        <w:rPr>
          <w:rFonts w:ascii="Times New Roman" w:hAnsi="Times New Roman"/>
          <w:spacing w:val="-2"/>
          <w:szCs w:val="20"/>
        </w:rPr>
        <w:t>(the "SBAA")</w:t>
      </w:r>
      <w:r w:rsidRPr="00EA5E3E">
        <w:rPr>
          <w:rFonts w:ascii="Times New Roman" w:hAnsi="Times New Roman"/>
          <w:spacing w:val="-2"/>
          <w:szCs w:val="20"/>
        </w:rPr>
        <w:t xml:space="preserve">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w:t>
      </w:r>
      <w:r w:rsidRPr="00E02E86">
        <w:rPr>
          <w:rFonts w:ascii="Times New Roman" w:hAnsi="Times New Roman"/>
          <w:spacing w:val="-2"/>
          <w:szCs w:val="20"/>
        </w:rPr>
        <w:t xml:space="preserve"> of the support services described herein shall be limited to the provision of such su</w:t>
      </w:r>
      <w:r w:rsidR="0091355A">
        <w:rPr>
          <w:rFonts w:ascii="Times New Roman" w:hAnsi="Times New Roman"/>
          <w:spacing w:val="-2"/>
          <w:szCs w:val="20"/>
        </w:rPr>
        <w:t xml:space="preserve">pport services detailed in the </w:t>
      </w:r>
      <w:r w:rsidRPr="00E02E86">
        <w:rPr>
          <w:rFonts w:ascii="Times New Roman" w:hAnsi="Times New Roman"/>
          <w:spacing w:val="-2"/>
          <w:szCs w:val="20"/>
        </w:rPr>
        <w:t>project document.</w:t>
      </w:r>
    </w:p>
    <w:p w14:paraId="6BCCAE16"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p>
    <w:p w14:paraId="263F70AA"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r w:rsidRPr="00E02E86">
        <w:rPr>
          <w:rFonts w:ascii="Times New Roman" w:hAnsi="Times New Roman"/>
          <w:spacing w:val="-2"/>
          <w:szCs w:val="20"/>
        </w:rPr>
        <w:t>6.</w:t>
      </w:r>
      <w:r w:rsidRPr="00E02E86">
        <w:rPr>
          <w:rFonts w:ascii="Times New Roman" w:hAnsi="Times New Roman"/>
          <w:spacing w:val="-2"/>
          <w:szCs w:val="20"/>
        </w:rPr>
        <w:tab/>
        <w:t>Any claim or dispute arising under or in connection with the provision of support services by the UNDP country office in accordance with this letter shall be handled pursuant to the relevant provisions of the SBAA.</w:t>
      </w:r>
    </w:p>
    <w:p w14:paraId="6AD1FF19" w14:textId="77777777" w:rsidR="00C35DA9" w:rsidRPr="00E02E86" w:rsidRDefault="00C35DA9" w:rsidP="00C35DA9">
      <w:pPr>
        <w:rPr>
          <w:rFonts w:ascii="Times New Roman" w:hAnsi="Times New Roman"/>
          <w:b/>
          <w:szCs w:val="20"/>
          <w:lang w:val="en-US"/>
        </w:rPr>
      </w:pPr>
    </w:p>
    <w:p w14:paraId="15345E04"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r w:rsidRPr="00E02E86">
        <w:rPr>
          <w:rFonts w:ascii="Times New Roman" w:hAnsi="Times New Roman"/>
          <w:spacing w:val="-2"/>
          <w:szCs w:val="20"/>
        </w:rPr>
        <w:t>7.</w:t>
      </w:r>
      <w:r w:rsidRPr="00E02E86">
        <w:rPr>
          <w:rFonts w:ascii="Times New Roman" w:hAnsi="Times New Roman"/>
          <w:spacing w:val="-2"/>
          <w:szCs w:val="20"/>
        </w:rPr>
        <w:tab/>
        <w:t>The manner and method of cost-recovery by the UNDP country office in providing the support services described in paragraph 3 above shall be specified in the annex to the project document.</w:t>
      </w:r>
    </w:p>
    <w:p w14:paraId="15078391"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p>
    <w:p w14:paraId="5C4F096C"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r w:rsidRPr="00E02E86">
        <w:rPr>
          <w:rFonts w:ascii="Times New Roman" w:hAnsi="Times New Roman"/>
          <w:spacing w:val="-2"/>
          <w:szCs w:val="20"/>
        </w:rPr>
        <w:t>8.</w:t>
      </w:r>
      <w:r w:rsidRPr="00E02E86">
        <w:rPr>
          <w:rFonts w:ascii="Times New Roman" w:hAnsi="Times New Roman"/>
          <w:spacing w:val="-2"/>
          <w:szCs w:val="20"/>
        </w:rPr>
        <w:tab/>
        <w:t>The UNDP country office shall submit progress reports on the support services provided and shall report on the costs reimbursed in providing such services, as may be required.</w:t>
      </w:r>
    </w:p>
    <w:p w14:paraId="5F295377"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p>
    <w:p w14:paraId="4F73F743" w14:textId="77777777" w:rsidR="00C35DA9" w:rsidRDefault="00C35DA9" w:rsidP="00C35DA9">
      <w:pPr>
        <w:numPr>
          <w:ilvl w:val="12"/>
          <w:numId w:val="0"/>
        </w:numPr>
        <w:tabs>
          <w:tab w:val="left" w:pos="0"/>
        </w:tabs>
        <w:suppressAutoHyphens/>
        <w:rPr>
          <w:rFonts w:ascii="Times New Roman" w:hAnsi="Times New Roman"/>
          <w:spacing w:val="-2"/>
          <w:szCs w:val="20"/>
        </w:rPr>
      </w:pPr>
      <w:r w:rsidRPr="00E02E86">
        <w:rPr>
          <w:rFonts w:ascii="Times New Roman" w:hAnsi="Times New Roman"/>
          <w:spacing w:val="-2"/>
          <w:szCs w:val="20"/>
        </w:rPr>
        <w:t>9.</w:t>
      </w:r>
      <w:r w:rsidRPr="00E02E86">
        <w:rPr>
          <w:rFonts w:ascii="Times New Roman" w:hAnsi="Times New Roman"/>
          <w:spacing w:val="-2"/>
          <w:szCs w:val="20"/>
        </w:rPr>
        <w:tab/>
        <w:t>Any modification of the present arrangements shall be effected by mutual written agreement of the parties hereto.</w:t>
      </w:r>
    </w:p>
    <w:p w14:paraId="2EE1A8EC" w14:textId="77777777" w:rsidR="00C35DA9" w:rsidRDefault="00C35DA9" w:rsidP="00C35DA9">
      <w:pPr>
        <w:numPr>
          <w:ilvl w:val="12"/>
          <w:numId w:val="0"/>
        </w:numPr>
        <w:tabs>
          <w:tab w:val="left" w:pos="0"/>
        </w:tabs>
        <w:suppressAutoHyphens/>
        <w:rPr>
          <w:rFonts w:ascii="Times New Roman" w:hAnsi="Times New Roman"/>
          <w:spacing w:val="-2"/>
          <w:szCs w:val="20"/>
        </w:rPr>
      </w:pPr>
    </w:p>
    <w:p w14:paraId="221A2893" w14:textId="77777777" w:rsidR="00C35DA9" w:rsidRPr="00E02E86" w:rsidRDefault="00C35DA9" w:rsidP="00C35DA9">
      <w:pPr>
        <w:numPr>
          <w:ilvl w:val="12"/>
          <w:numId w:val="0"/>
        </w:numPr>
        <w:tabs>
          <w:tab w:val="left" w:pos="0"/>
        </w:tabs>
        <w:suppressAutoHyphens/>
        <w:rPr>
          <w:rFonts w:ascii="Times New Roman" w:hAnsi="Times New Roman"/>
          <w:spacing w:val="-2"/>
          <w:szCs w:val="20"/>
        </w:rPr>
      </w:pPr>
    </w:p>
    <w:tbl>
      <w:tblPr>
        <w:tblW w:w="0" w:type="auto"/>
        <w:tblLook w:val="04A0" w:firstRow="1" w:lastRow="0" w:firstColumn="1" w:lastColumn="0" w:noHBand="0" w:noVBand="1"/>
      </w:tblPr>
      <w:tblGrid>
        <w:gridCol w:w="5094"/>
        <w:gridCol w:w="5094"/>
      </w:tblGrid>
      <w:tr w:rsidR="00C35DA9" w:rsidRPr="00E02E86" w14:paraId="6F1FA13B" w14:textId="77777777" w:rsidTr="001317A1">
        <w:tc>
          <w:tcPr>
            <w:tcW w:w="5094" w:type="dxa"/>
          </w:tcPr>
          <w:p w14:paraId="609343C7" w14:textId="78FCF884" w:rsidR="00C35DA9" w:rsidRPr="00EA5E3E" w:rsidRDefault="00C35DA9" w:rsidP="001317A1">
            <w:pPr>
              <w:numPr>
                <w:ilvl w:val="12"/>
                <w:numId w:val="0"/>
              </w:numPr>
              <w:tabs>
                <w:tab w:val="left" w:pos="0"/>
              </w:tabs>
              <w:suppressAutoHyphens/>
              <w:rPr>
                <w:rFonts w:ascii="Times New Roman" w:hAnsi="Times New Roman"/>
                <w:i/>
                <w:spacing w:val="-2"/>
                <w:szCs w:val="20"/>
                <w:u w:val="single"/>
              </w:rPr>
            </w:pPr>
            <w:r w:rsidRPr="00EA5E3E">
              <w:rPr>
                <w:rFonts w:ascii="Times New Roman" w:hAnsi="Times New Roman"/>
                <w:i/>
                <w:spacing w:val="-2"/>
                <w:szCs w:val="20"/>
                <w:u w:val="single"/>
              </w:rPr>
              <w:t>For the Government</w:t>
            </w:r>
          </w:p>
          <w:p w14:paraId="0C9C01DD" w14:textId="77777777" w:rsidR="00C35DA9" w:rsidRPr="00EA5E3E" w:rsidRDefault="00C35DA9" w:rsidP="001317A1">
            <w:pPr>
              <w:numPr>
                <w:ilvl w:val="12"/>
                <w:numId w:val="0"/>
              </w:numPr>
              <w:tabs>
                <w:tab w:val="left" w:pos="0"/>
              </w:tabs>
              <w:suppressAutoHyphens/>
              <w:rPr>
                <w:rFonts w:ascii="Times New Roman" w:hAnsi="Times New Roman"/>
                <w:szCs w:val="20"/>
              </w:rPr>
            </w:pPr>
          </w:p>
          <w:p w14:paraId="58002339" w14:textId="77777777" w:rsidR="00C35DA9" w:rsidRPr="00EA5E3E" w:rsidRDefault="00C35DA9" w:rsidP="001317A1">
            <w:pPr>
              <w:numPr>
                <w:ilvl w:val="12"/>
                <w:numId w:val="0"/>
              </w:numPr>
              <w:tabs>
                <w:tab w:val="left" w:pos="0"/>
              </w:tabs>
              <w:suppressAutoHyphens/>
              <w:rPr>
                <w:rFonts w:ascii="Times New Roman" w:hAnsi="Times New Roman"/>
                <w:szCs w:val="20"/>
              </w:rPr>
            </w:pPr>
          </w:p>
          <w:p w14:paraId="65873E2E" w14:textId="0552789F" w:rsidR="00C35DA9" w:rsidRDefault="002F3236" w:rsidP="001317A1">
            <w:pPr>
              <w:numPr>
                <w:ilvl w:val="12"/>
                <w:numId w:val="0"/>
              </w:numPr>
              <w:tabs>
                <w:tab w:val="left" w:pos="0"/>
              </w:tabs>
              <w:suppressAutoHyphens/>
              <w:rPr>
                <w:rFonts w:ascii="Times New Roman" w:hAnsi="Times New Roman"/>
                <w:szCs w:val="20"/>
              </w:rPr>
            </w:pPr>
            <w:r>
              <w:rPr>
                <w:rFonts w:ascii="Times New Roman" w:hAnsi="Times New Roman"/>
                <w:szCs w:val="20"/>
              </w:rPr>
              <w:t>Name</w:t>
            </w:r>
          </w:p>
          <w:p w14:paraId="47EA0CE1" w14:textId="1BD6C58F" w:rsidR="002F3236" w:rsidRPr="00EA5E3E" w:rsidRDefault="002F3236" w:rsidP="001317A1">
            <w:pPr>
              <w:numPr>
                <w:ilvl w:val="12"/>
                <w:numId w:val="0"/>
              </w:numPr>
              <w:tabs>
                <w:tab w:val="left" w:pos="0"/>
              </w:tabs>
              <w:suppressAutoHyphens/>
              <w:rPr>
                <w:rFonts w:ascii="Times New Roman" w:hAnsi="Times New Roman"/>
                <w:szCs w:val="20"/>
              </w:rPr>
            </w:pPr>
            <w:r>
              <w:rPr>
                <w:rFonts w:ascii="Times New Roman" w:hAnsi="Times New Roman"/>
                <w:szCs w:val="20"/>
              </w:rPr>
              <w:t>Position</w:t>
            </w:r>
          </w:p>
          <w:p w14:paraId="10696213" w14:textId="77777777" w:rsidR="00C35DA9" w:rsidRDefault="00C35DA9" w:rsidP="001317A1">
            <w:pPr>
              <w:tabs>
                <w:tab w:val="left" w:pos="0"/>
                <w:tab w:val="left" w:pos="360"/>
                <w:tab w:val="left" w:pos="720"/>
              </w:tabs>
              <w:suppressAutoHyphens/>
              <w:rPr>
                <w:rFonts w:ascii="Times New Roman" w:hAnsi="Times New Roman"/>
                <w:szCs w:val="20"/>
              </w:rPr>
            </w:pPr>
          </w:p>
          <w:p w14:paraId="35E433F1" w14:textId="77777777" w:rsidR="00C35DA9" w:rsidRDefault="00C35DA9" w:rsidP="001317A1">
            <w:pPr>
              <w:tabs>
                <w:tab w:val="left" w:pos="0"/>
                <w:tab w:val="left" w:pos="360"/>
                <w:tab w:val="left" w:pos="720"/>
              </w:tabs>
              <w:suppressAutoHyphens/>
              <w:rPr>
                <w:rFonts w:ascii="Times New Roman" w:hAnsi="Times New Roman"/>
                <w:szCs w:val="20"/>
              </w:rPr>
            </w:pPr>
          </w:p>
          <w:p w14:paraId="0EA97181" w14:textId="77777777" w:rsidR="00C35DA9" w:rsidRPr="00EA5E3E" w:rsidRDefault="00C35DA9" w:rsidP="001317A1">
            <w:pPr>
              <w:tabs>
                <w:tab w:val="left" w:pos="0"/>
                <w:tab w:val="left" w:pos="360"/>
                <w:tab w:val="left" w:pos="720"/>
              </w:tabs>
              <w:suppressAutoHyphens/>
              <w:rPr>
                <w:rFonts w:ascii="Times New Roman" w:hAnsi="Times New Roman"/>
                <w:spacing w:val="-2"/>
                <w:szCs w:val="20"/>
              </w:rPr>
            </w:pPr>
            <w:r w:rsidRPr="00EA5E3E">
              <w:rPr>
                <w:rFonts w:ascii="Times New Roman" w:hAnsi="Times New Roman"/>
                <w:szCs w:val="20"/>
              </w:rPr>
              <w:t>Date:</w:t>
            </w:r>
            <w:r>
              <w:rPr>
                <w:rFonts w:ascii="Times New Roman" w:hAnsi="Times New Roman"/>
                <w:szCs w:val="20"/>
              </w:rPr>
              <w:t>.................................</w:t>
            </w:r>
          </w:p>
          <w:p w14:paraId="15742A3F" w14:textId="77777777" w:rsidR="00C35DA9" w:rsidRPr="00EA5E3E" w:rsidRDefault="00C35DA9" w:rsidP="001317A1">
            <w:pPr>
              <w:numPr>
                <w:ilvl w:val="12"/>
                <w:numId w:val="0"/>
              </w:numPr>
              <w:tabs>
                <w:tab w:val="left" w:pos="0"/>
              </w:tabs>
              <w:suppressAutoHyphens/>
              <w:jc w:val="center"/>
              <w:rPr>
                <w:rFonts w:ascii="Times New Roman" w:hAnsi="Times New Roman"/>
                <w:szCs w:val="20"/>
              </w:rPr>
            </w:pPr>
          </w:p>
        </w:tc>
        <w:tc>
          <w:tcPr>
            <w:tcW w:w="5094" w:type="dxa"/>
          </w:tcPr>
          <w:p w14:paraId="24857833" w14:textId="77777777" w:rsidR="00C35DA9" w:rsidRPr="00EA5E3E" w:rsidRDefault="00C35DA9" w:rsidP="001317A1">
            <w:pPr>
              <w:numPr>
                <w:ilvl w:val="12"/>
                <w:numId w:val="0"/>
              </w:numPr>
              <w:tabs>
                <w:tab w:val="left" w:pos="0"/>
              </w:tabs>
              <w:suppressAutoHyphens/>
              <w:jc w:val="left"/>
              <w:rPr>
                <w:rFonts w:ascii="Times New Roman" w:hAnsi="Times New Roman"/>
                <w:i/>
                <w:szCs w:val="20"/>
                <w:u w:val="single"/>
              </w:rPr>
            </w:pPr>
            <w:r w:rsidRPr="00EA5E3E">
              <w:rPr>
                <w:rFonts w:ascii="Times New Roman" w:hAnsi="Times New Roman"/>
                <w:i/>
                <w:szCs w:val="20"/>
                <w:u w:val="single"/>
              </w:rPr>
              <w:t>Signed on behalf of UNDP</w:t>
            </w:r>
          </w:p>
          <w:p w14:paraId="2F60F0AE" w14:textId="77777777" w:rsidR="00C35DA9" w:rsidRPr="00EA5E3E" w:rsidRDefault="00C35DA9" w:rsidP="001317A1">
            <w:pPr>
              <w:numPr>
                <w:ilvl w:val="12"/>
                <w:numId w:val="0"/>
              </w:numPr>
              <w:tabs>
                <w:tab w:val="left" w:pos="0"/>
              </w:tabs>
              <w:suppressAutoHyphens/>
              <w:jc w:val="left"/>
              <w:rPr>
                <w:rFonts w:ascii="Times New Roman" w:hAnsi="Times New Roman"/>
                <w:szCs w:val="20"/>
                <w:highlight w:val="yellow"/>
              </w:rPr>
            </w:pPr>
          </w:p>
          <w:p w14:paraId="34FE06DF" w14:textId="77777777" w:rsidR="00C35DA9" w:rsidRPr="00EA5E3E" w:rsidRDefault="00C35DA9" w:rsidP="001317A1">
            <w:pPr>
              <w:numPr>
                <w:ilvl w:val="12"/>
                <w:numId w:val="0"/>
              </w:numPr>
              <w:tabs>
                <w:tab w:val="left" w:pos="0"/>
              </w:tabs>
              <w:suppressAutoHyphens/>
              <w:jc w:val="left"/>
              <w:rPr>
                <w:rFonts w:ascii="Times New Roman" w:hAnsi="Times New Roman"/>
                <w:szCs w:val="20"/>
                <w:highlight w:val="yellow"/>
              </w:rPr>
            </w:pPr>
          </w:p>
          <w:p w14:paraId="1965BE1E" w14:textId="77777777" w:rsidR="002F3236" w:rsidRDefault="002F3236" w:rsidP="001317A1">
            <w:pPr>
              <w:numPr>
                <w:ilvl w:val="12"/>
                <w:numId w:val="0"/>
              </w:numPr>
              <w:tabs>
                <w:tab w:val="left" w:pos="0"/>
              </w:tabs>
              <w:suppressAutoHyphens/>
              <w:jc w:val="left"/>
              <w:rPr>
                <w:rFonts w:ascii="Times New Roman" w:hAnsi="Times New Roman"/>
                <w:szCs w:val="20"/>
              </w:rPr>
            </w:pPr>
            <w:r>
              <w:rPr>
                <w:rFonts w:ascii="Times New Roman" w:hAnsi="Times New Roman"/>
                <w:szCs w:val="20"/>
              </w:rPr>
              <w:t>Name</w:t>
            </w:r>
          </w:p>
          <w:p w14:paraId="79148571" w14:textId="0D4AF220" w:rsidR="00C35DA9" w:rsidRPr="00EA5E3E" w:rsidRDefault="00C35DA9" w:rsidP="001317A1">
            <w:pPr>
              <w:numPr>
                <w:ilvl w:val="12"/>
                <w:numId w:val="0"/>
              </w:numPr>
              <w:tabs>
                <w:tab w:val="left" w:pos="0"/>
              </w:tabs>
              <w:suppressAutoHyphens/>
              <w:jc w:val="left"/>
              <w:rPr>
                <w:rFonts w:ascii="Times New Roman" w:hAnsi="Times New Roman"/>
                <w:szCs w:val="20"/>
              </w:rPr>
            </w:pPr>
            <w:r w:rsidRPr="00EA5E3E">
              <w:rPr>
                <w:rFonts w:ascii="Times New Roman" w:hAnsi="Times New Roman"/>
                <w:szCs w:val="20"/>
              </w:rPr>
              <w:t xml:space="preserve">UNDP Resident Representative in </w:t>
            </w:r>
            <w:r w:rsidR="002F3236">
              <w:rPr>
                <w:rFonts w:ascii="Times New Roman" w:hAnsi="Times New Roman"/>
                <w:szCs w:val="20"/>
              </w:rPr>
              <w:t>Kazakhstan</w:t>
            </w:r>
          </w:p>
          <w:p w14:paraId="235038D6" w14:textId="77777777" w:rsidR="00C35DA9" w:rsidRPr="00EA5E3E" w:rsidRDefault="00C35DA9" w:rsidP="001317A1">
            <w:pPr>
              <w:numPr>
                <w:ilvl w:val="12"/>
                <w:numId w:val="0"/>
              </w:numPr>
              <w:tabs>
                <w:tab w:val="left" w:pos="0"/>
              </w:tabs>
              <w:suppressAutoHyphens/>
              <w:jc w:val="center"/>
              <w:rPr>
                <w:rFonts w:ascii="Times New Roman" w:hAnsi="Times New Roman"/>
                <w:szCs w:val="20"/>
              </w:rPr>
            </w:pPr>
          </w:p>
          <w:p w14:paraId="5F8B09BB" w14:textId="77777777" w:rsidR="00C35DA9" w:rsidRPr="00EA5E3E" w:rsidRDefault="00C35DA9" w:rsidP="001317A1">
            <w:pPr>
              <w:numPr>
                <w:ilvl w:val="12"/>
                <w:numId w:val="0"/>
              </w:numPr>
              <w:tabs>
                <w:tab w:val="left" w:pos="0"/>
              </w:tabs>
              <w:suppressAutoHyphens/>
              <w:jc w:val="center"/>
              <w:rPr>
                <w:rFonts w:ascii="Times New Roman" w:hAnsi="Times New Roman"/>
                <w:szCs w:val="20"/>
              </w:rPr>
            </w:pPr>
          </w:p>
          <w:p w14:paraId="740140CB" w14:textId="77777777" w:rsidR="00C35DA9" w:rsidRPr="00EA5E3E" w:rsidRDefault="00C35DA9" w:rsidP="001317A1">
            <w:pPr>
              <w:numPr>
                <w:ilvl w:val="12"/>
                <w:numId w:val="0"/>
              </w:numPr>
              <w:tabs>
                <w:tab w:val="left" w:pos="0"/>
              </w:tabs>
              <w:suppressAutoHyphens/>
              <w:jc w:val="left"/>
              <w:rPr>
                <w:rFonts w:ascii="Times New Roman" w:hAnsi="Times New Roman"/>
                <w:szCs w:val="20"/>
              </w:rPr>
            </w:pPr>
            <w:r w:rsidRPr="00EA5E3E">
              <w:rPr>
                <w:rFonts w:ascii="Times New Roman" w:hAnsi="Times New Roman"/>
                <w:szCs w:val="20"/>
              </w:rPr>
              <w:t>Date:</w:t>
            </w:r>
            <w:r>
              <w:rPr>
                <w:rFonts w:ascii="Times New Roman" w:hAnsi="Times New Roman"/>
                <w:szCs w:val="20"/>
              </w:rPr>
              <w:t>...................................</w:t>
            </w:r>
          </w:p>
        </w:tc>
      </w:tr>
    </w:tbl>
    <w:p w14:paraId="2B794D72" w14:textId="6F3B3D18" w:rsidR="00C35DA9" w:rsidRPr="005500CF" w:rsidRDefault="00C35DA9" w:rsidP="00C35DA9">
      <w:pPr>
        <w:numPr>
          <w:ilvl w:val="12"/>
          <w:numId w:val="0"/>
        </w:numPr>
        <w:tabs>
          <w:tab w:val="left" w:pos="0"/>
        </w:tabs>
        <w:suppressAutoHyphens/>
        <w:rPr>
          <w:rFonts w:ascii="Times New Roman" w:hAnsi="Times New Roman"/>
          <w:spacing w:val="-2"/>
          <w:sz w:val="20"/>
          <w:szCs w:val="20"/>
        </w:rPr>
      </w:pPr>
    </w:p>
    <w:p w14:paraId="679CCF60" w14:textId="77777777" w:rsidR="00C35DA9" w:rsidRPr="005500CF" w:rsidDel="009E4A71" w:rsidRDefault="00C35DA9" w:rsidP="00C35DA9">
      <w:pPr>
        <w:tabs>
          <w:tab w:val="left" w:pos="0"/>
          <w:tab w:val="left" w:pos="360"/>
          <w:tab w:val="left" w:pos="720"/>
        </w:tabs>
        <w:suppressAutoHyphens/>
        <w:rPr>
          <w:rFonts w:ascii="Times New Roman" w:hAnsi="Times New Roman"/>
          <w:spacing w:val="-2"/>
          <w:sz w:val="20"/>
          <w:szCs w:val="20"/>
        </w:rPr>
      </w:pPr>
    </w:p>
    <w:p w14:paraId="05CC823A" w14:textId="77777777" w:rsidR="00C35DA9" w:rsidRPr="005500CF" w:rsidRDefault="00C35DA9" w:rsidP="00C35DA9">
      <w:pPr>
        <w:tabs>
          <w:tab w:val="left" w:pos="0"/>
          <w:tab w:val="left" w:pos="360"/>
          <w:tab w:val="left" w:pos="720"/>
        </w:tabs>
        <w:suppressAutoHyphens/>
        <w:rPr>
          <w:rFonts w:ascii="Times New Roman" w:hAnsi="Times New Roman"/>
          <w:spacing w:val="-2"/>
          <w:sz w:val="20"/>
          <w:szCs w:val="20"/>
        </w:rPr>
        <w:sectPr w:rsidR="00C35DA9" w:rsidRPr="005500CF" w:rsidSect="001317A1">
          <w:pgSz w:w="12240" w:h="15840" w:code="1"/>
          <w:pgMar w:top="1134" w:right="1134" w:bottom="1418" w:left="1134" w:header="720" w:footer="720" w:gutter="0"/>
          <w:cols w:space="720"/>
          <w:docGrid w:linePitch="360"/>
        </w:sectPr>
      </w:pPr>
    </w:p>
    <w:p w14:paraId="11AC9136" w14:textId="77777777" w:rsidR="00C35DA9" w:rsidRPr="005500CF" w:rsidRDefault="00C35DA9" w:rsidP="00C35DA9">
      <w:pPr>
        <w:numPr>
          <w:ilvl w:val="12"/>
          <w:numId w:val="0"/>
        </w:numPr>
        <w:tabs>
          <w:tab w:val="left" w:pos="0"/>
        </w:tabs>
        <w:suppressAutoHyphens/>
        <w:jc w:val="right"/>
        <w:rPr>
          <w:rFonts w:ascii="Times New Roman" w:hAnsi="Times New Roman"/>
          <w:sz w:val="20"/>
          <w:szCs w:val="20"/>
        </w:rPr>
      </w:pPr>
      <w:r w:rsidRPr="005500CF">
        <w:rPr>
          <w:rFonts w:ascii="Times New Roman" w:hAnsi="Times New Roman"/>
          <w:sz w:val="20"/>
          <w:szCs w:val="20"/>
          <w:u w:val="single"/>
        </w:rPr>
        <w:t>Attachment</w:t>
      </w:r>
    </w:p>
    <w:p w14:paraId="244B898E" w14:textId="77777777" w:rsidR="00C35DA9" w:rsidRPr="00E02E86" w:rsidRDefault="00C35DA9" w:rsidP="00C35DA9">
      <w:pPr>
        <w:pBdr>
          <w:top w:val="single" w:sz="4" w:space="1" w:color="auto"/>
        </w:pBdr>
        <w:jc w:val="center"/>
        <w:rPr>
          <w:rFonts w:ascii="Times New Roman" w:hAnsi="Times New Roman"/>
          <w:b/>
          <w:sz w:val="24"/>
        </w:rPr>
      </w:pPr>
      <w:r w:rsidRPr="00E02E86">
        <w:rPr>
          <w:rFonts w:ascii="Times New Roman" w:hAnsi="Times New Roman"/>
          <w:b/>
          <w:sz w:val="24"/>
        </w:rPr>
        <w:t>DESCRIPTION OF UNDP COUNTRY OFFICE SUPPORT SERVICES</w:t>
      </w:r>
    </w:p>
    <w:p w14:paraId="00E8C443" w14:textId="77777777" w:rsidR="00C35DA9" w:rsidRPr="00E02E86" w:rsidRDefault="00C35DA9" w:rsidP="00C35DA9">
      <w:pPr>
        <w:numPr>
          <w:ilvl w:val="12"/>
          <w:numId w:val="0"/>
        </w:numPr>
        <w:tabs>
          <w:tab w:val="left" w:pos="0"/>
        </w:tabs>
        <w:suppressAutoHyphens/>
        <w:rPr>
          <w:rFonts w:ascii="Times New Roman" w:hAnsi="Times New Roman"/>
          <w:spacing w:val="-2"/>
          <w:sz w:val="12"/>
          <w:szCs w:val="12"/>
        </w:rPr>
      </w:pPr>
    </w:p>
    <w:p w14:paraId="7CBDF03D" w14:textId="7D91746D" w:rsidR="00C35DA9" w:rsidRPr="00D443D1" w:rsidRDefault="00C35DA9" w:rsidP="00C35DA9">
      <w:pPr>
        <w:spacing w:after="0"/>
        <w:rPr>
          <w:rFonts w:ascii="Times New Roman" w:hAnsi="Times New Roman"/>
          <w:spacing w:val="-2"/>
          <w:szCs w:val="22"/>
        </w:rPr>
      </w:pPr>
      <w:r w:rsidRPr="00EA1886">
        <w:rPr>
          <w:rFonts w:ascii="Times New Roman" w:hAnsi="Times New Roman"/>
          <w:spacing w:val="-2"/>
          <w:szCs w:val="22"/>
        </w:rPr>
        <w:t>1.</w:t>
      </w:r>
      <w:r w:rsidRPr="00EA1886">
        <w:rPr>
          <w:rFonts w:ascii="Times New Roman" w:hAnsi="Times New Roman"/>
          <w:spacing w:val="-2"/>
          <w:szCs w:val="22"/>
        </w:rPr>
        <w:tab/>
        <w:t xml:space="preserve">Reference is made to consultations between the Ministry of </w:t>
      </w:r>
      <w:r w:rsidR="004A2786">
        <w:rPr>
          <w:rFonts w:ascii="Times New Roman" w:hAnsi="Times New Roman"/>
          <w:spacing w:val="-2"/>
          <w:szCs w:val="22"/>
        </w:rPr>
        <w:t>Regional Development of the Republic of Kazakhstan</w:t>
      </w:r>
      <w:r w:rsidRPr="00EA1886">
        <w:rPr>
          <w:rFonts w:ascii="Times New Roman" w:hAnsi="Times New Roman"/>
          <w:spacing w:val="-2"/>
          <w:szCs w:val="22"/>
        </w:rPr>
        <w:t xml:space="preserve">, the institution designated by the Government of </w:t>
      </w:r>
      <w:r w:rsidR="002F3236">
        <w:rPr>
          <w:rFonts w:ascii="Times New Roman" w:hAnsi="Times New Roman"/>
          <w:spacing w:val="-2"/>
          <w:szCs w:val="22"/>
        </w:rPr>
        <w:t>Kazakhstan</w:t>
      </w:r>
      <w:r w:rsidRPr="00EA1886">
        <w:rPr>
          <w:rFonts w:ascii="Times New Roman" w:hAnsi="Times New Roman"/>
          <w:spacing w:val="-2"/>
          <w:szCs w:val="22"/>
        </w:rPr>
        <w:t xml:space="preserve"> and officials of UNDP with respect to the provision of support services by the UNDP country office for the nationally managed project</w:t>
      </w:r>
      <w:r w:rsidRPr="00D443D1">
        <w:rPr>
          <w:rFonts w:ascii="Times New Roman" w:hAnsi="Times New Roman"/>
          <w:spacing w:val="-2"/>
          <w:szCs w:val="22"/>
        </w:rPr>
        <w:t xml:space="preserve"> </w:t>
      </w:r>
      <w:r w:rsidR="004A2786" w:rsidRPr="004A2786">
        <w:rPr>
          <w:rFonts w:ascii="Times New Roman" w:hAnsi="Times New Roman"/>
          <w:spacing w:val="-2"/>
          <w:szCs w:val="22"/>
          <w:lang w:val="en-US"/>
        </w:rPr>
        <w:t>“</w:t>
      </w:r>
      <w:r w:rsidR="004A2786" w:rsidRPr="004A2786">
        <w:rPr>
          <w:rFonts w:ascii="Times New Roman" w:hAnsi="Times New Roman"/>
          <w:bCs/>
          <w:spacing w:val="-2"/>
          <w:szCs w:val="22"/>
          <w:lang w:val="en-US"/>
        </w:rPr>
        <w:t>Nationally Appropriate Mitigation Actions for Low-carbon Urban Development”</w:t>
      </w:r>
    </w:p>
    <w:p w14:paraId="1DB65351" w14:textId="77777777" w:rsidR="00C35DA9" w:rsidRPr="00EA1886" w:rsidRDefault="00C35DA9" w:rsidP="00C35DA9">
      <w:pPr>
        <w:numPr>
          <w:ilvl w:val="12"/>
          <w:numId w:val="0"/>
        </w:numPr>
        <w:tabs>
          <w:tab w:val="left" w:pos="0"/>
        </w:tabs>
        <w:suppressAutoHyphens/>
        <w:rPr>
          <w:rFonts w:ascii="Times New Roman" w:hAnsi="Times New Roman"/>
          <w:spacing w:val="-2"/>
          <w:szCs w:val="22"/>
        </w:rPr>
      </w:pPr>
      <w:r w:rsidRPr="00EA1886">
        <w:rPr>
          <w:rFonts w:ascii="Times New Roman" w:hAnsi="Times New Roman"/>
          <w:spacing w:val="-2"/>
          <w:szCs w:val="22"/>
        </w:rPr>
        <w:t>2.</w:t>
      </w:r>
      <w:r w:rsidRPr="00EA1886">
        <w:rPr>
          <w:rFonts w:ascii="Times New Roman" w:hAnsi="Times New Roman"/>
          <w:spacing w:val="-2"/>
          <w:szCs w:val="22"/>
        </w:rPr>
        <w:tab/>
        <w:t>In accordance with the provisions of the letter of agreement signed and the project document, the UNDP country office shall provide support services for the Project as described below.</w:t>
      </w:r>
    </w:p>
    <w:p w14:paraId="76A712BB" w14:textId="38B7138B" w:rsidR="00C35DA9" w:rsidRPr="00EA1886" w:rsidRDefault="00C35DA9" w:rsidP="00C35DA9">
      <w:pPr>
        <w:numPr>
          <w:ilvl w:val="12"/>
          <w:numId w:val="0"/>
        </w:numPr>
        <w:tabs>
          <w:tab w:val="left" w:pos="0"/>
        </w:tabs>
        <w:suppressAutoHyphens/>
        <w:rPr>
          <w:rFonts w:ascii="Times New Roman" w:hAnsi="Times New Roman"/>
          <w:spacing w:val="-2"/>
          <w:szCs w:val="22"/>
        </w:rPr>
      </w:pPr>
      <w:r w:rsidRPr="00EA1886">
        <w:rPr>
          <w:rFonts w:ascii="Times New Roman" w:hAnsi="Times New Roman"/>
          <w:spacing w:val="-2"/>
          <w:szCs w:val="22"/>
        </w:rPr>
        <w:t>3.</w:t>
      </w:r>
      <w:r w:rsidRPr="00EA1886">
        <w:rPr>
          <w:rFonts w:ascii="Times New Roman" w:hAnsi="Times New Roman"/>
          <w:spacing w:val="-2"/>
          <w:szCs w:val="22"/>
        </w:rPr>
        <w:tab/>
        <w:t>Support services to be provided</w:t>
      </w:r>
      <w:r w:rsidR="00F977ED">
        <w:rPr>
          <w:rFonts w:ascii="Times New Roman" w:hAnsi="Times New Roman"/>
          <w:spacing w:val="-2"/>
          <w:szCs w:val="22"/>
        </w:rPr>
        <w:t>, including</w:t>
      </w:r>
      <w:r w:rsidRPr="00EA1886">
        <w:rPr>
          <w:rFonts w:ascii="Times New Roman" w:hAnsi="Times New Roman"/>
          <w:spacing w:val="-2"/>
          <w:szCs w:val="22"/>
        </w:rPr>
        <w:t>:</w:t>
      </w:r>
    </w:p>
    <w:tbl>
      <w:tblPr>
        <w:tblW w:w="10080" w:type="dxa"/>
        <w:tblInd w:w="108" w:type="dxa"/>
        <w:tblLayout w:type="fixed"/>
        <w:tblLook w:val="0000" w:firstRow="0" w:lastRow="0" w:firstColumn="0" w:lastColumn="0" w:noHBand="0" w:noVBand="0"/>
      </w:tblPr>
      <w:tblGrid>
        <w:gridCol w:w="3060"/>
        <w:gridCol w:w="2250"/>
        <w:gridCol w:w="2340"/>
        <w:gridCol w:w="2430"/>
      </w:tblGrid>
      <w:tr w:rsidR="00C35DA9" w:rsidRPr="00897D34" w14:paraId="6623C149" w14:textId="77777777" w:rsidTr="001317A1">
        <w:tc>
          <w:tcPr>
            <w:tcW w:w="3060" w:type="dxa"/>
            <w:tcBorders>
              <w:top w:val="single" w:sz="6" w:space="0" w:color="auto"/>
              <w:left w:val="single" w:sz="6" w:space="0" w:color="auto"/>
              <w:bottom w:val="single" w:sz="4" w:space="0" w:color="auto"/>
            </w:tcBorders>
          </w:tcPr>
          <w:p w14:paraId="028674A4" w14:textId="77777777" w:rsidR="00C35DA9" w:rsidRPr="00D443D1" w:rsidRDefault="00C35DA9" w:rsidP="001317A1">
            <w:pPr>
              <w:numPr>
                <w:ilvl w:val="12"/>
                <w:numId w:val="0"/>
              </w:numPr>
              <w:tabs>
                <w:tab w:val="left" w:pos="0"/>
              </w:tabs>
              <w:suppressAutoHyphens/>
              <w:jc w:val="left"/>
              <w:rPr>
                <w:rFonts w:ascii="Times New Roman" w:hAnsi="Times New Roman"/>
                <w:b/>
                <w:spacing w:val="-2"/>
                <w:szCs w:val="22"/>
              </w:rPr>
            </w:pPr>
            <w:r w:rsidRPr="00D443D1">
              <w:rPr>
                <w:rFonts w:ascii="Times New Roman" w:hAnsi="Times New Roman"/>
                <w:b/>
                <w:spacing w:val="-2"/>
                <w:szCs w:val="22"/>
              </w:rPr>
              <w:fldChar w:fldCharType="begin"/>
            </w:r>
            <w:r w:rsidRPr="00D443D1">
              <w:rPr>
                <w:rFonts w:ascii="Times New Roman" w:hAnsi="Times New Roman"/>
                <w:b/>
                <w:spacing w:val="-2"/>
                <w:szCs w:val="22"/>
              </w:rPr>
              <w:instrText xml:space="preserve">PRIVATE </w:instrText>
            </w:r>
            <w:r w:rsidRPr="00D443D1">
              <w:rPr>
                <w:rFonts w:ascii="Times New Roman" w:hAnsi="Times New Roman"/>
                <w:b/>
                <w:spacing w:val="-2"/>
                <w:szCs w:val="22"/>
              </w:rPr>
              <w:fldChar w:fldCharType="end"/>
            </w:r>
            <w:r w:rsidRPr="00D443D1">
              <w:rPr>
                <w:rFonts w:ascii="Times New Roman" w:hAnsi="Times New Roman"/>
                <w:b/>
                <w:spacing w:val="-2"/>
                <w:szCs w:val="22"/>
              </w:rPr>
              <w:t>Support services</w:t>
            </w:r>
          </w:p>
          <w:p w14:paraId="7B356FD9" w14:textId="77777777" w:rsidR="00C35DA9" w:rsidRPr="00D443D1" w:rsidRDefault="00C35DA9" w:rsidP="001317A1">
            <w:pPr>
              <w:numPr>
                <w:ilvl w:val="12"/>
                <w:numId w:val="0"/>
              </w:numPr>
              <w:tabs>
                <w:tab w:val="left" w:pos="0"/>
              </w:tabs>
              <w:suppressAutoHyphens/>
              <w:jc w:val="left"/>
              <w:rPr>
                <w:rFonts w:ascii="Times New Roman" w:hAnsi="Times New Roman"/>
                <w:b/>
                <w:spacing w:val="-2"/>
                <w:szCs w:val="22"/>
              </w:rPr>
            </w:pPr>
          </w:p>
        </w:tc>
        <w:tc>
          <w:tcPr>
            <w:tcW w:w="2250" w:type="dxa"/>
            <w:tcBorders>
              <w:top w:val="single" w:sz="6" w:space="0" w:color="auto"/>
              <w:left w:val="single" w:sz="6" w:space="0" w:color="auto"/>
              <w:bottom w:val="single" w:sz="4" w:space="0" w:color="auto"/>
            </w:tcBorders>
          </w:tcPr>
          <w:p w14:paraId="4C10C17C" w14:textId="77777777" w:rsidR="00C35DA9" w:rsidRPr="00D443D1" w:rsidRDefault="00C35DA9" w:rsidP="001317A1">
            <w:pPr>
              <w:numPr>
                <w:ilvl w:val="12"/>
                <w:numId w:val="0"/>
              </w:numPr>
              <w:tabs>
                <w:tab w:val="left" w:pos="0"/>
              </w:tabs>
              <w:suppressAutoHyphens/>
              <w:jc w:val="left"/>
              <w:rPr>
                <w:rFonts w:ascii="Times New Roman" w:hAnsi="Times New Roman"/>
                <w:b/>
                <w:spacing w:val="-2"/>
                <w:szCs w:val="22"/>
              </w:rPr>
            </w:pPr>
            <w:r w:rsidRPr="00D443D1">
              <w:rPr>
                <w:rFonts w:ascii="Times New Roman" w:hAnsi="Times New Roman"/>
                <w:b/>
                <w:spacing w:val="-2"/>
                <w:szCs w:val="22"/>
              </w:rPr>
              <w:t>Schedule for the provision of the  support  services</w:t>
            </w:r>
          </w:p>
        </w:tc>
        <w:tc>
          <w:tcPr>
            <w:tcW w:w="2340" w:type="dxa"/>
            <w:tcBorders>
              <w:top w:val="single" w:sz="6" w:space="0" w:color="auto"/>
              <w:left w:val="single" w:sz="6" w:space="0" w:color="auto"/>
              <w:bottom w:val="single" w:sz="4" w:space="0" w:color="auto"/>
            </w:tcBorders>
          </w:tcPr>
          <w:p w14:paraId="39DB80CC" w14:textId="77777777" w:rsidR="00C35DA9" w:rsidRPr="00D443D1" w:rsidRDefault="00C35DA9" w:rsidP="001317A1">
            <w:pPr>
              <w:numPr>
                <w:ilvl w:val="12"/>
                <w:numId w:val="0"/>
              </w:numPr>
              <w:tabs>
                <w:tab w:val="left" w:pos="0"/>
              </w:tabs>
              <w:suppressAutoHyphens/>
              <w:jc w:val="left"/>
              <w:rPr>
                <w:rFonts w:ascii="Times New Roman" w:hAnsi="Times New Roman"/>
                <w:b/>
                <w:spacing w:val="-2"/>
                <w:szCs w:val="22"/>
              </w:rPr>
            </w:pPr>
            <w:r w:rsidRPr="00D443D1">
              <w:rPr>
                <w:rFonts w:ascii="Times New Roman" w:hAnsi="Times New Roman"/>
                <w:b/>
                <w:spacing w:val="-2"/>
                <w:szCs w:val="22"/>
              </w:rPr>
              <w:t>Cost to UNDP of providing such support services (where appropriate)</w:t>
            </w:r>
          </w:p>
        </w:tc>
        <w:tc>
          <w:tcPr>
            <w:tcW w:w="2430" w:type="dxa"/>
            <w:tcBorders>
              <w:top w:val="single" w:sz="6" w:space="0" w:color="auto"/>
              <w:left w:val="single" w:sz="6" w:space="0" w:color="auto"/>
              <w:bottom w:val="single" w:sz="4" w:space="0" w:color="auto"/>
              <w:right w:val="single" w:sz="6" w:space="0" w:color="auto"/>
            </w:tcBorders>
          </w:tcPr>
          <w:p w14:paraId="34E8E847" w14:textId="77777777" w:rsidR="00C35DA9" w:rsidRPr="00D443D1" w:rsidRDefault="00C35DA9" w:rsidP="001317A1">
            <w:pPr>
              <w:numPr>
                <w:ilvl w:val="12"/>
                <w:numId w:val="0"/>
              </w:numPr>
              <w:tabs>
                <w:tab w:val="left" w:pos="0"/>
              </w:tabs>
              <w:suppressAutoHyphens/>
              <w:jc w:val="left"/>
              <w:rPr>
                <w:rFonts w:ascii="Times New Roman" w:hAnsi="Times New Roman"/>
                <w:b/>
                <w:spacing w:val="-2"/>
                <w:szCs w:val="22"/>
              </w:rPr>
            </w:pPr>
            <w:r w:rsidRPr="00D443D1">
              <w:rPr>
                <w:rFonts w:ascii="Times New Roman" w:hAnsi="Times New Roman"/>
                <w:b/>
                <w:spacing w:val="-2"/>
                <w:szCs w:val="22"/>
              </w:rPr>
              <w:t>Amount and method of reimbursement of UNDP (where appropriate)</w:t>
            </w:r>
          </w:p>
        </w:tc>
      </w:tr>
      <w:tr w:rsidR="00C35DA9" w:rsidRPr="00897D34" w14:paraId="408DBB68" w14:textId="77777777" w:rsidTr="001317A1">
        <w:tc>
          <w:tcPr>
            <w:tcW w:w="3060" w:type="dxa"/>
            <w:tcBorders>
              <w:top w:val="single" w:sz="4" w:space="0" w:color="auto"/>
              <w:left w:val="single" w:sz="4" w:space="0" w:color="auto"/>
              <w:bottom w:val="single" w:sz="4" w:space="0" w:color="auto"/>
              <w:right w:val="single" w:sz="4" w:space="0" w:color="auto"/>
            </w:tcBorders>
          </w:tcPr>
          <w:p w14:paraId="04BAF107"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Payment Process</w:t>
            </w:r>
          </w:p>
        </w:tc>
        <w:tc>
          <w:tcPr>
            <w:tcW w:w="2250" w:type="dxa"/>
            <w:tcBorders>
              <w:top w:val="single" w:sz="4" w:space="0" w:color="auto"/>
              <w:left w:val="single" w:sz="4" w:space="0" w:color="auto"/>
              <w:bottom w:val="single" w:sz="4" w:space="0" w:color="auto"/>
              <w:right w:val="single" w:sz="4" w:space="0" w:color="auto"/>
            </w:tcBorders>
          </w:tcPr>
          <w:p w14:paraId="12BD556A"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Ongoing throughout implementation when applicable</w:t>
            </w:r>
          </w:p>
        </w:tc>
        <w:tc>
          <w:tcPr>
            <w:tcW w:w="2340" w:type="dxa"/>
            <w:tcBorders>
              <w:top w:val="single" w:sz="4" w:space="0" w:color="auto"/>
              <w:left w:val="single" w:sz="4" w:space="0" w:color="auto"/>
              <w:bottom w:val="single" w:sz="4" w:space="0" w:color="auto"/>
              <w:right w:val="single" w:sz="4" w:space="0" w:color="auto"/>
            </w:tcBorders>
          </w:tcPr>
          <w:p w14:paraId="04827C02" w14:textId="0AAE4411" w:rsidR="00C35DA9" w:rsidRPr="00EA5E3E" w:rsidRDefault="00C35DA9" w:rsidP="00F977ED">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 xml:space="preserve">As per the UPL- </w:t>
            </w:r>
            <w:r w:rsidRPr="00EA5E3E">
              <w:rPr>
                <w:rFonts w:ascii="Times New Roman" w:hAnsi="Times New Roman"/>
                <w:spacing w:val="-2"/>
                <w:szCs w:val="22"/>
              </w:rPr>
              <w:br/>
              <w:t xml:space="preserve">US$ </w:t>
            </w:r>
            <w:r w:rsidR="00F977ED">
              <w:rPr>
                <w:rFonts w:ascii="Times New Roman" w:hAnsi="Times New Roman"/>
                <w:spacing w:val="-2"/>
                <w:szCs w:val="22"/>
              </w:rPr>
              <w:t>31.44</w:t>
            </w:r>
            <w:r w:rsidRPr="00EA5E3E">
              <w:rPr>
                <w:rFonts w:ascii="Times New Roman" w:hAnsi="Times New Roman"/>
                <w:spacing w:val="-2"/>
                <w:szCs w:val="22"/>
              </w:rPr>
              <w:t xml:space="preserve"> for each </w:t>
            </w:r>
          </w:p>
        </w:tc>
        <w:tc>
          <w:tcPr>
            <w:tcW w:w="2430" w:type="dxa"/>
            <w:tcBorders>
              <w:top w:val="single" w:sz="4" w:space="0" w:color="auto"/>
              <w:left w:val="single" w:sz="4" w:space="0" w:color="auto"/>
              <w:bottom w:val="single" w:sz="4" w:space="0" w:color="auto"/>
              <w:right w:val="single" w:sz="4" w:space="0" w:color="auto"/>
            </w:tcBorders>
          </w:tcPr>
          <w:p w14:paraId="1CDC0A8E"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UNDP will directly charge the project upon provision of services, on a quarterly basis.</w:t>
            </w:r>
          </w:p>
        </w:tc>
      </w:tr>
      <w:tr w:rsidR="00C35DA9" w:rsidRPr="00897D34" w14:paraId="7A75F5EC" w14:textId="77777777" w:rsidTr="001317A1">
        <w:tc>
          <w:tcPr>
            <w:tcW w:w="3060" w:type="dxa"/>
            <w:tcBorders>
              <w:top w:val="single" w:sz="4" w:space="0" w:color="auto"/>
              <w:left w:val="single" w:sz="4" w:space="0" w:color="auto"/>
              <w:bottom w:val="single" w:sz="4" w:space="0" w:color="auto"/>
              <w:right w:val="single" w:sz="4" w:space="0" w:color="auto"/>
            </w:tcBorders>
          </w:tcPr>
          <w:p w14:paraId="185B6C1C" w14:textId="77777777" w:rsidR="00C35DA9" w:rsidRPr="00EA5E3E" w:rsidRDefault="00C35DA9" w:rsidP="001317A1">
            <w:pPr>
              <w:tabs>
                <w:tab w:val="left" w:pos="0"/>
              </w:tabs>
              <w:suppressAutoHyphens/>
              <w:jc w:val="left"/>
              <w:rPr>
                <w:rFonts w:ascii="Times New Roman" w:hAnsi="Times New Roman"/>
                <w:spacing w:val="-2"/>
                <w:szCs w:val="22"/>
              </w:rPr>
            </w:pPr>
            <w:r w:rsidRPr="00EA5E3E">
              <w:rPr>
                <w:rFonts w:ascii="Times New Roman" w:hAnsi="Times New Roman"/>
                <w:spacing w:val="-2"/>
                <w:szCs w:val="22"/>
              </w:rPr>
              <w:t>Vendor profile entry in ATLAS</w:t>
            </w:r>
          </w:p>
        </w:tc>
        <w:tc>
          <w:tcPr>
            <w:tcW w:w="2250" w:type="dxa"/>
            <w:tcBorders>
              <w:top w:val="single" w:sz="4" w:space="0" w:color="auto"/>
              <w:left w:val="single" w:sz="4" w:space="0" w:color="auto"/>
              <w:bottom w:val="single" w:sz="4" w:space="0" w:color="auto"/>
              <w:right w:val="single" w:sz="4" w:space="0" w:color="auto"/>
            </w:tcBorders>
          </w:tcPr>
          <w:p w14:paraId="064F3429"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Ongoing throughout implementation when applicable</w:t>
            </w:r>
          </w:p>
        </w:tc>
        <w:tc>
          <w:tcPr>
            <w:tcW w:w="2340" w:type="dxa"/>
            <w:tcBorders>
              <w:top w:val="single" w:sz="4" w:space="0" w:color="auto"/>
              <w:left w:val="single" w:sz="4" w:space="0" w:color="auto"/>
              <w:bottom w:val="single" w:sz="4" w:space="0" w:color="auto"/>
              <w:right w:val="single" w:sz="4" w:space="0" w:color="auto"/>
            </w:tcBorders>
          </w:tcPr>
          <w:p w14:paraId="2790AF09" w14:textId="7D35FB20"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As per the UPL- </w:t>
            </w:r>
            <w:r w:rsidRPr="00EA5E3E">
              <w:rPr>
                <w:rFonts w:ascii="Times New Roman" w:hAnsi="Times New Roman"/>
                <w:spacing w:val="-2"/>
                <w:szCs w:val="22"/>
              </w:rPr>
              <w:br/>
              <w:t xml:space="preserve">US$ </w:t>
            </w:r>
            <w:r w:rsidR="00F977ED">
              <w:rPr>
                <w:rFonts w:ascii="Times New Roman" w:hAnsi="Times New Roman"/>
                <w:spacing w:val="-2"/>
                <w:szCs w:val="22"/>
              </w:rPr>
              <w:t>16.78</w:t>
            </w:r>
            <w:r w:rsidRPr="00EA5E3E">
              <w:rPr>
                <w:rFonts w:ascii="Times New Roman" w:hAnsi="Times New Roman"/>
                <w:spacing w:val="-2"/>
                <w:szCs w:val="22"/>
              </w:rPr>
              <w:t xml:space="preserve"> for each</w:t>
            </w:r>
          </w:p>
        </w:tc>
        <w:tc>
          <w:tcPr>
            <w:tcW w:w="2430" w:type="dxa"/>
            <w:tcBorders>
              <w:top w:val="single" w:sz="4" w:space="0" w:color="auto"/>
              <w:left w:val="single" w:sz="4" w:space="0" w:color="auto"/>
              <w:bottom w:val="single" w:sz="4" w:space="0" w:color="auto"/>
              <w:right w:val="single" w:sz="4" w:space="0" w:color="auto"/>
            </w:tcBorders>
          </w:tcPr>
          <w:p w14:paraId="7497B133"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As above</w:t>
            </w:r>
          </w:p>
        </w:tc>
      </w:tr>
      <w:tr w:rsidR="00C35DA9" w:rsidRPr="00897D34" w14:paraId="0553A0FC" w14:textId="77777777" w:rsidTr="001317A1">
        <w:tc>
          <w:tcPr>
            <w:tcW w:w="3060" w:type="dxa"/>
            <w:tcBorders>
              <w:top w:val="single" w:sz="4" w:space="0" w:color="auto"/>
              <w:left w:val="single" w:sz="4" w:space="0" w:color="auto"/>
              <w:bottom w:val="single" w:sz="4" w:space="0" w:color="auto"/>
              <w:right w:val="single" w:sz="4" w:space="0" w:color="auto"/>
            </w:tcBorders>
          </w:tcPr>
          <w:p w14:paraId="1A685D71" w14:textId="77777777" w:rsidR="00C35DA9" w:rsidRPr="00EA5E3E" w:rsidRDefault="00C35DA9" w:rsidP="001317A1">
            <w:pPr>
              <w:tabs>
                <w:tab w:val="left" w:pos="0"/>
              </w:tabs>
              <w:suppressAutoHyphens/>
              <w:jc w:val="left"/>
              <w:rPr>
                <w:rFonts w:ascii="Times New Roman" w:hAnsi="Times New Roman"/>
                <w:spacing w:val="-2"/>
                <w:szCs w:val="22"/>
              </w:rPr>
            </w:pPr>
            <w:r w:rsidRPr="00EA5E3E">
              <w:rPr>
                <w:rFonts w:ascii="Times New Roman" w:hAnsi="Times New Roman"/>
                <w:spacing w:val="-2"/>
                <w:szCs w:val="22"/>
              </w:rPr>
              <w:t xml:space="preserve">Project personnel selection and/or recruitment process  </w:t>
            </w:r>
          </w:p>
          <w:p w14:paraId="30D57186" w14:textId="02F22EB7" w:rsidR="00C35DA9" w:rsidRPr="00EA5E3E" w:rsidRDefault="00C35DA9" w:rsidP="001317A1">
            <w:pPr>
              <w:tabs>
                <w:tab w:val="left" w:pos="0"/>
              </w:tabs>
              <w:suppressAutoHyphens/>
              <w:jc w:val="left"/>
              <w:rPr>
                <w:rFonts w:ascii="Times New Roman" w:hAnsi="Times New Roman"/>
                <w:spacing w:val="-2"/>
                <w:szCs w:val="22"/>
              </w:rPr>
            </w:pPr>
            <w:r w:rsidRPr="00EA5E3E">
              <w:rPr>
                <w:rFonts w:ascii="Times New Roman" w:hAnsi="Times New Roman"/>
                <w:spacing w:val="-2"/>
                <w:szCs w:val="22"/>
              </w:rPr>
              <w:t xml:space="preserve">* Project </w:t>
            </w:r>
            <w:r w:rsidR="00F977ED">
              <w:rPr>
                <w:rFonts w:ascii="Times New Roman" w:hAnsi="Times New Roman"/>
                <w:spacing w:val="-2"/>
                <w:szCs w:val="22"/>
              </w:rPr>
              <w:t>Manager</w:t>
            </w:r>
          </w:p>
          <w:p w14:paraId="0770E15F" w14:textId="77777777" w:rsidR="00C35DA9" w:rsidRPr="00EA5E3E" w:rsidRDefault="00C35DA9" w:rsidP="001317A1">
            <w:pPr>
              <w:tabs>
                <w:tab w:val="left" w:pos="0"/>
              </w:tabs>
              <w:suppressAutoHyphens/>
              <w:jc w:val="left"/>
              <w:rPr>
                <w:rFonts w:ascii="Times New Roman" w:hAnsi="Times New Roman"/>
                <w:spacing w:val="-2"/>
                <w:szCs w:val="22"/>
              </w:rPr>
            </w:pPr>
          </w:p>
          <w:p w14:paraId="1082BC20" w14:textId="77777777" w:rsidR="00C35DA9" w:rsidRPr="00EA5E3E" w:rsidRDefault="00C35DA9" w:rsidP="001317A1">
            <w:pPr>
              <w:tabs>
                <w:tab w:val="left" w:pos="0"/>
              </w:tabs>
              <w:suppressAutoHyphens/>
              <w:jc w:val="left"/>
              <w:rPr>
                <w:rFonts w:ascii="Times New Roman" w:hAnsi="Times New Roman"/>
                <w:spacing w:val="-2"/>
                <w:szCs w:val="22"/>
              </w:rPr>
            </w:pPr>
            <w:r w:rsidRPr="00EA5E3E">
              <w:rPr>
                <w:rFonts w:ascii="Times New Roman" w:hAnsi="Times New Roman"/>
                <w:spacing w:val="-2"/>
                <w:szCs w:val="22"/>
              </w:rPr>
              <w:t>* Project Assistant</w:t>
            </w:r>
          </w:p>
        </w:tc>
        <w:tc>
          <w:tcPr>
            <w:tcW w:w="2250" w:type="dxa"/>
            <w:tcBorders>
              <w:top w:val="single" w:sz="4" w:space="0" w:color="auto"/>
              <w:left w:val="single" w:sz="4" w:space="0" w:color="auto"/>
              <w:bottom w:val="single" w:sz="4" w:space="0" w:color="auto"/>
              <w:right w:val="single" w:sz="4" w:space="0" w:color="auto"/>
            </w:tcBorders>
          </w:tcPr>
          <w:p w14:paraId="0277DD76"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p>
          <w:p w14:paraId="4B77B66F"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p>
          <w:p w14:paraId="3FA75BCA" w14:textId="5C1EC24E" w:rsidR="00C35DA9" w:rsidRPr="00EA5E3E" w:rsidRDefault="00F977ED" w:rsidP="001317A1">
            <w:pPr>
              <w:numPr>
                <w:ilvl w:val="12"/>
                <w:numId w:val="0"/>
              </w:numPr>
              <w:tabs>
                <w:tab w:val="left" w:pos="0"/>
              </w:tabs>
              <w:suppressAutoHyphens/>
              <w:jc w:val="left"/>
              <w:rPr>
                <w:rFonts w:ascii="Times New Roman" w:hAnsi="Times New Roman"/>
                <w:spacing w:val="-2"/>
                <w:szCs w:val="22"/>
              </w:rPr>
            </w:pPr>
            <w:r>
              <w:rPr>
                <w:rFonts w:ascii="Times New Roman" w:hAnsi="Times New Roman"/>
                <w:spacing w:val="-2"/>
                <w:szCs w:val="22"/>
              </w:rPr>
              <w:t>Start of project</w:t>
            </w:r>
          </w:p>
        </w:tc>
        <w:tc>
          <w:tcPr>
            <w:tcW w:w="2340" w:type="dxa"/>
            <w:tcBorders>
              <w:top w:val="single" w:sz="4" w:space="0" w:color="auto"/>
              <w:left w:val="single" w:sz="4" w:space="0" w:color="auto"/>
              <w:bottom w:val="single" w:sz="4" w:space="0" w:color="auto"/>
              <w:right w:val="single" w:sz="4" w:space="0" w:color="auto"/>
            </w:tcBorders>
          </w:tcPr>
          <w:p w14:paraId="12792AA1"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As per the UPL-</w:t>
            </w:r>
          </w:p>
          <w:p w14:paraId="4D651896" w14:textId="6186253D"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522.74</w:t>
            </w:r>
          </w:p>
        </w:tc>
        <w:tc>
          <w:tcPr>
            <w:tcW w:w="2430" w:type="dxa"/>
            <w:tcBorders>
              <w:top w:val="single" w:sz="4" w:space="0" w:color="auto"/>
              <w:left w:val="single" w:sz="4" w:space="0" w:color="auto"/>
              <w:bottom w:val="single" w:sz="4" w:space="0" w:color="auto"/>
              <w:right w:val="single" w:sz="4" w:space="0" w:color="auto"/>
            </w:tcBorders>
          </w:tcPr>
          <w:p w14:paraId="3A6D11E0"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As above</w:t>
            </w:r>
          </w:p>
        </w:tc>
      </w:tr>
      <w:tr w:rsidR="00C35DA9" w:rsidRPr="00897D34" w14:paraId="45B867C3" w14:textId="77777777" w:rsidTr="001317A1">
        <w:tc>
          <w:tcPr>
            <w:tcW w:w="3060" w:type="dxa"/>
            <w:tcBorders>
              <w:top w:val="single" w:sz="4" w:space="0" w:color="auto"/>
              <w:left w:val="single" w:sz="4" w:space="0" w:color="auto"/>
              <w:bottom w:val="single" w:sz="4" w:space="0" w:color="auto"/>
              <w:right w:val="single" w:sz="4" w:space="0" w:color="auto"/>
            </w:tcBorders>
          </w:tcPr>
          <w:p w14:paraId="74539885"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Staff HR &amp; Benefits Administration &amp; Management (one time per staff including medical insurance enrolment, payroll setup and separation process)</w:t>
            </w:r>
          </w:p>
        </w:tc>
        <w:tc>
          <w:tcPr>
            <w:tcW w:w="2250" w:type="dxa"/>
            <w:tcBorders>
              <w:top w:val="single" w:sz="4" w:space="0" w:color="auto"/>
              <w:left w:val="single" w:sz="4" w:space="0" w:color="auto"/>
              <w:bottom w:val="single" w:sz="4" w:space="0" w:color="auto"/>
              <w:right w:val="single" w:sz="4" w:space="0" w:color="auto"/>
            </w:tcBorders>
          </w:tcPr>
          <w:p w14:paraId="460F1044"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Ongoing throughout implementation when applicable</w:t>
            </w:r>
          </w:p>
        </w:tc>
        <w:tc>
          <w:tcPr>
            <w:tcW w:w="2340" w:type="dxa"/>
            <w:tcBorders>
              <w:top w:val="single" w:sz="4" w:space="0" w:color="auto"/>
              <w:left w:val="single" w:sz="4" w:space="0" w:color="auto"/>
              <w:bottom w:val="single" w:sz="4" w:space="0" w:color="auto"/>
              <w:right w:val="single" w:sz="4" w:space="0" w:color="auto"/>
            </w:tcBorders>
          </w:tcPr>
          <w:p w14:paraId="4AEFD466"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As per the UPL-</w:t>
            </w:r>
          </w:p>
          <w:p w14:paraId="6DB422C5" w14:textId="6ECF08BC"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175.76</w:t>
            </w:r>
            <w:r w:rsidRPr="00EA5E3E">
              <w:rPr>
                <w:rFonts w:ascii="Times New Roman" w:hAnsi="Times New Roman"/>
                <w:spacing w:val="-2"/>
                <w:szCs w:val="22"/>
              </w:rPr>
              <w:t xml:space="preserve"> for each </w:t>
            </w:r>
          </w:p>
        </w:tc>
        <w:tc>
          <w:tcPr>
            <w:tcW w:w="2430" w:type="dxa"/>
            <w:tcBorders>
              <w:top w:val="single" w:sz="4" w:space="0" w:color="auto"/>
              <w:left w:val="single" w:sz="4" w:space="0" w:color="auto"/>
              <w:bottom w:val="single" w:sz="4" w:space="0" w:color="auto"/>
              <w:right w:val="single" w:sz="4" w:space="0" w:color="auto"/>
            </w:tcBorders>
          </w:tcPr>
          <w:p w14:paraId="32A6D7FA"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As above</w:t>
            </w:r>
          </w:p>
        </w:tc>
      </w:tr>
      <w:tr w:rsidR="00C35DA9" w:rsidRPr="00897D34" w14:paraId="219B0945" w14:textId="77777777" w:rsidTr="001317A1">
        <w:tc>
          <w:tcPr>
            <w:tcW w:w="3060" w:type="dxa"/>
            <w:tcBorders>
              <w:top w:val="single" w:sz="4" w:space="0" w:color="auto"/>
              <w:left w:val="single" w:sz="6" w:space="0" w:color="auto"/>
            </w:tcBorders>
          </w:tcPr>
          <w:p w14:paraId="4E718ACA"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Recurrent personnel management services: Staff Payroll &amp; Banking</w:t>
            </w:r>
          </w:p>
          <w:p w14:paraId="74E6573F"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Administration &amp; Management (per staff per calendar year)</w:t>
            </w:r>
          </w:p>
        </w:tc>
        <w:tc>
          <w:tcPr>
            <w:tcW w:w="2250" w:type="dxa"/>
            <w:tcBorders>
              <w:top w:val="single" w:sz="4" w:space="0" w:color="auto"/>
              <w:left w:val="single" w:sz="6" w:space="0" w:color="auto"/>
            </w:tcBorders>
          </w:tcPr>
          <w:p w14:paraId="43AE135B"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Ongoing throughout implementation when applicable</w:t>
            </w:r>
          </w:p>
        </w:tc>
        <w:tc>
          <w:tcPr>
            <w:tcW w:w="2340" w:type="dxa"/>
            <w:tcBorders>
              <w:top w:val="single" w:sz="4" w:space="0" w:color="auto"/>
              <w:left w:val="single" w:sz="6" w:space="0" w:color="auto"/>
            </w:tcBorders>
          </w:tcPr>
          <w:p w14:paraId="0829737D"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As per the UPL- </w:t>
            </w:r>
          </w:p>
          <w:p w14:paraId="39402554" w14:textId="65D61278"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385.29</w:t>
            </w:r>
            <w:r w:rsidRPr="00EA5E3E">
              <w:rPr>
                <w:rFonts w:ascii="Times New Roman" w:hAnsi="Times New Roman"/>
                <w:spacing w:val="-2"/>
                <w:szCs w:val="22"/>
              </w:rPr>
              <w:t xml:space="preserve"> for each </w:t>
            </w:r>
          </w:p>
        </w:tc>
        <w:tc>
          <w:tcPr>
            <w:tcW w:w="2430" w:type="dxa"/>
            <w:tcBorders>
              <w:top w:val="single" w:sz="4" w:space="0" w:color="auto"/>
              <w:left w:val="single" w:sz="6" w:space="0" w:color="auto"/>
              <w:right w:val="single" w:sz="6" w:space="0" w:color="auto"/>
            </w:tcBorders>
          </w:tcPr>
          <w:p w14:paraId="6CE4D3B7"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As above</w:t>
            </w:r>
          </w:p>
        </w:tc>
      </w:tr>
      <w:tr w:rsidR="00C35DA9" w:rsidRPr="00897D34" w14:paraId="3BE338C2" w14:textId="77777777" w:rsidTr="001317A1">
        <w:tc>
          <w:tcPr>
            <w:tcW w:w="3060" w:type="dxa"/>
            <w:tcBorders>
              <w:top w:val="single" w:sz="4" w:space="0" w:color="auto"/>
              <w:left w:val="single" w:sz="6" w:space="0" w:color="auto"/>
            </w:tcBorders>
          </w:tcPr>
          <w:p w14:paraId="53BF6439" w14:textId="77777777" w:rsidR="00C35DA9" w:rsidRPr="00EA5E3E" w:rsidRDefault="00C35DA9" w:rsidP="001317A1">
            <w:pPr>
              <w:tabs>
                <w:tab w:val="left" w:pos="0"/>
              </w:tabs>
              <w:suppressAutoHyphens/>
              <w:jc w:val="left"/>
              <w:rPr>
                <w:rFonts w:ascii="Times New Roman" w:hAnsi="Times New Roman"/>
                <w:spacing w:val="-2"/>
                <w:szCs w:val="22"/>
              </w:rPr>
            </w:pPr>
            <w:r w:rsidRPr="00EA5E3E">
              <w:rPr>
                <w:rFonts w:ascii="Times New Roman" w:hAnsi="Times New Roman"/>
                <w:spacing w:val="-2"/>
                <w:szCs w:val="22"/>
              </w:rPr>
              <w:t xml:space="preserve">Consultant recruitment </w:t>
            </w:r>
          </w:p>
        </w:tc>
        <w:tc>
          <w:tcPr>
            <w:tcW w:w="2250" w:type="dxa"/>
            <w:tcBorders>
              <w:top w:val="single" w:sz="4" w:space="0" w:color="auto"/>
              <w:left w:val="single" w:sz="6" w:space="0" w:color="auto"/>
            </w:tcBorders>
          </w:tcPr>
          <w:p w14:paraId="7074B579"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Ongoing throughout implementation when applicable</w:t>
            </w:r>
          </w:p>
        </w:tc>
        <w:tc>
          <w:tcPr>
            <w:tcW w:w="2340" w:type="dxa"/>
            <w:tcBorders>
              <w:top w:val="single" w:sz="4" w:space="0" w:color="auto"/>
              <w:left w:val="single" w:sz="6" w:space="0" w:color="auto"/>
            </w:tcBorders>
          </w:tcPr>
          <w:p w14:paraId="4862C9D5"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As per the UPL- </w:t>
            </w:r>
          </w:p>
          <w:p w14:paraId="10E5D95B" w14:textId="7CF895AF"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203.49</w:t>
            </w:r>
            <w:r w:rsidRPr="00EA5E3E">
              <w:rPr>
                <w:rFonts w:ascii="Times New Roman" w:hAnsi="Times New Roman"/>
                <w:spacing w:val="-2"/>
                <w:szCs w:val="22"/>
              </w:rPr>
              <w:t xml:space="preserve"> for each</w:t>
            </w:r>
          </w:p>
        </w:tc>
        <w:tc>
          <w:tcPr>
            <w:tcW w:w="2430" w:type="dxa"/>
            <w:tcBorders>
              <w:top w:val="single" w:sz="4" w:space="0" w:color="auto"/>
              <w:left w:val="single" w:sz="6" w:space="0" w:color="auto"/>
              <w:right w:val="single" w:sz="6" w:space="0" w:color="auto"/>
            </w:tcBorders>
          </w:tcPr>
          <w:p w14:paraId="5CD03DE4"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As above</w:t>
            </w:r>
          </w:p>
        </w:tc>
      </w:tr>
      <w:tr w:rsidR="00C35DA9" w:rsidRPr="00897D34" w14:paraId="7C3AAA20" w14:textId="77777777" w:rsidTr="001317A1">
        <w:tc>
          <w:tcPr>
            <w:tcW w:w="3060" w:type="dxa"/>
            <w:tcBorders>
              <w:top w:val="single" w:sz="6" w:space="0" w:color="auto"/>
              <w:left w:val="single" w:sz="6" w:space="0" w:color="auto"/>
            </w:tcBorders>
          </w:tcPr>
          <w:p w14:paraId="170537A8"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Procurement of goods an</w:t>
            </w:r>
            <w:r>
              <w:rPr>
                <w:rFonts w:ascii="Times New Roman" w:hAnsi="Times New Roman"/>
                <w:spacing w:val="-2"/>
                <w:szCs w:val="22"/>
              </w:rPr>
              <w:t xml:space="preserve">d services involving local CAP </w:t>
            </w:r>
          </w:p>
          <w:p w14:paraId="3E34DEF4"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p>
        </w:tc>
        <w:tc>
          <w:tcPr>
            <w:tcW w:w="2250" w:type="dxa"/>
            <w:tcBorders>
              <w:top w:val="single" w:sz="6" w:space="0" w:color="auto"/>
              <w:left w:val="single" w:sz="6" w:space="0" w:color="auto"/>
            </w:tcBorders>
          </w:tcPr>
          <w:p w14:paraId="0D5A15F4"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 xml:space="preserve">October –  December 2013 </w:t>
            </w:r>
            <w:r w:rsidRPr="00EA5E3E">
              <w:rPr>
                <w:rFonts w:ascii="Times New Roman" w:hAnsi="Times New Roman"/>
                <w:spacing w:val="-2"/>
                <w:szCs w:val="22"/>
              </w:rPr>
              <w:br/>
            </w:r>
          </w:p>
        </w:tc>
        <w:tc>
          <w:tcPr>
            <w:tcW w:w="2340" w:type="dxa"/>
            <w:tcBorders>
              <w:top w:val="single" w:sz="6" w:space="0" w:color="auto"/>
              <w:left w:val="single" w:sz="6" w:space="0" w:color="auto"/>
            </w:tcBorders>
          </w:tcPr>
          <w:p w14:paraId="5408E6EA"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As per the UPL- </w:t>
            </w:r>
          </w:p>
          <w:p w14:paraId="748F7E77" w14:textId="1990072B"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469.34</w:t>
            </w:r>
            <w:r w:rsidRPr="00EA5E3E">
              <w:rPr>
                <w:rFonts w:ascii="Times New Roman" w:hAnsi="Times New Roman"/>
                <w:spacing w:val="-2"/>
                <w:szCs w:val="22"/>
              </w:rPr>
              <w:t xml:space="preserve"> for each purchasing process</w:t>
            </w:r>
          </w:p>
        </w:tc>
        <w:tc>
          <w:tcPr>
            <w:tcW w:w="2430" w:type="dxa"/>
            <w:tcBorders>
              <w:top w:val="single" w:sz="6" w:space="0" w:color="auto"/>
              <w:left w:val="single" w:sz="6" w:space="0" w:color="auto"/>
              <w:right w:val="single" w:sz="6" w:space="0" w:color="auto"/>
            </w:tcBorders>
          </w:tcPr>
          <w:p w14:paraId="3FF384CE"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As above</w:t>
            </w:r>
          </w:p>
        </w:tc>
      </w:tr>
      <w:tr w:rsidR="00C35DA9" w:rsidRPr="00897D34" w14:paraId="36464018" w14:textId="77777777" w:rsidTr="001317A1">
        <w:tc>
          <w:tcPr>
            <w:tcW w:w="3060" w:type="dxa"/>
            <w:tcBorders>
              <w:top w:val="single" w:sz="4" w:space="0" w:color="auto"/>
              <w:left w:val="single" w:sz="6" w:space="0" w:color="auto"/>
            </w:tcBorders>
          </w:tcPr>
          <w:p w14:paraId="719D7EEA"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Procurement of goods and services not involving local CAP</w:t>
            </w:r>
          </w:p>
        </w:tc>
        <w:tc>
          <w:tcPr>
            <w:tcW w:w="2250" w:type="dxa"/>
            <w:tcBorders>
              <w:top w:val="single" w:sz="4" w:space="0" w:color="auto"/>
              <w:left w:val="single" w:sz="6" w:space="0" w:color="auto"/>
            </w:tcBorders>
          </w:tcPr>
          <w:p w14:paraId="421AC96C"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 xml:space="preserve">October –  December 2013 </w:t>
            </w:r>
            <w:r w:rsidRPr="00EA5E3E">
              <w:rPr>
                <w:rFonts w:ascii="Times New Roman" w:hAnsi="Times New Roman"/>
                <w:spacing w:val="-2"/>
                <w:szCs w:val="22"/>
              </w:rPr>
              <w:br/>
            </w:r>
          </w:p>
        </w:tc>
        <w:tc>
          <w:tcPr>
            <w:tcW w:w="2340" w:type="dxa"/>
            <w:tcBorders>
              <w:top w:val="single" w:sz="4" w:space="0" w:color="auto"/>
              <w:left w:val="single" w:sz="6" w:space="0" w:color="auto"/>
            </w:tcBorders>
          </w:tcPr>
          <w:p w14:paraId="18AE1C2A"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As per the UPL- </w:t>
            </w:r>
          </w:p>
          <w:p w14:paraId="6A7B2842" w14:textId="6A58CE84"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186.61</w:t>
            </w:r>
            <w:r w:rsidRPr="00EA5E3E">
              <w:rPr>
                <w:rFonts w:ascii="Times New Roman" w:hAnsi="Times New Roman"/>
                <w:spacing w:val="-2"/>
                <w:szCs w:val="22"/>
              </w:rPr>
              <w:t xml:space="preserve"> for each purchasing process</w:t>
            </w:r>
          </w:p>
        </w:tc>
        <w:tc>
          <w:tcPr>
            <w:tcW w:w="2430" w:type="dxa"/>
            <w:tcBorders>
              <w:top w:val="single" w:sz="4" w:space="0" w:color="auto"/>
              <w:left w:val="single" w:sz="6" w:space="0" w:color="auto"/>
              <w:right w:val="single" w:sz="6" w:space="0" w:color="auto"/>
            </w:tcBorders>
          </w:tcPr>
          <w:p w14:paraId="11C4643D"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As above</w:t>
            </w:r>
          </w:p>
        </w:tc>
      </w:tr>
      <w:tr w:rsidR="00C35DA9" w:rsidRPr="00897D34" w14:paraId="4CF1A554" w14:textId="77777777" w:rsidTr="001317A1">
        <w:tc>
          <w:tcPr>
            <w:tcW w:w="3060" w:type="dxa"/>
            <w:tcBorders>
              <w:top w:val="single" w:sz="6" w:space="0" w:color="auto"/>
              <w:left w:val="single" w:sz="6" w:space="0" w:color="auto"/>
              <w:bottom w:val="single" w:sz="6" w:space="0" w:color="auto"/>
            </w:tcBorders>
          </w:tcPr>
          <w:p w14:paraId="40159A95"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Issue/Renew IDs (UN LP, UN ID, etc.)</w:t>
            </w:r>
          </w:p>
        </w:tc>
        <w:tc>
          <w:tcPr>
            <w:tcW w:w="2250" w:type="dxa"/>
            <w:tcBorders>
              <w:top w:val="single" w:sz="6" w:space="0" w:color="auto"/>
              <w:left w:val="single" w:sz="6" w:space="0" w:color="auto"/>
              <w:bottom w:val="single" w:sz="6" w:space="0" w:color="auto"/>
            </w:tcBorders>
          </w:tcPr>
          <w:p w14:paraId="17D81302"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Ongoing throughout implementation when applicable</w:t>
            </w:r>
          </w:p>
        </w:tc>
        <w:tc>
          <w:tcPr>
            <w:tcW w:w="2340" w:type="dxa"/>
            <w:tcBorders>
              <w:top w:val="single" w:sz="6" w:space="0" w:color="auto"/>
              <w:left w:val="single" w:sz="6" w:space="0" w:color="auto"/>
              <w:bottom w:val="single" w:sz="6" w:space="0" w:color="auto"/>
            </w:tcBorders>
          </w:tcPr>
          <w:p w14:paraId="575DF523"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As per the UPL- </w:t>
            </w:r>
          </w:p>
          <w:p w14:paraId="4A922F82" w14:textId="149260AE"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32.47</w:t>
            </w:r>
            <w:r w:rsidRPr="00EA5E3E">
              <w:rPr>
                <w:rFonts w:ascii="Times New Roman" w:hAnsi="Times New Roman"/>
                <w:spacing w:val="-2"/>
                <w:szCs w:val="22"/>
              </w:rPr>
              <w:t xml:space="preserve"> for each</w:t>
            </w:r>
          </w:p>
        </w:tc>
        <w:tc>
          <w:tcPr>
            <w:tcW w:w="2430" w:type="dxa"/>
            <w:tcBorders>
              <w:top w:val="single" w:sz="6" w:space="0" w:color="auto"/>
              <w:left w:val="single" w:sz="6" w:space="0" w:color="auto"/>
              <w:bottom w:val="single" w:sz="6" w:space="0" w:color="auto"/>
              <w:right w:val="single" w:sz="6" w:space="0" w:color="auto"/>
            </w:tcBorders>
          </w:tcPr>
          <w:p w14:paraId="6535685D"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As above</w:t>
            </w:r>
          </w:p>
        </w:tc>
      </w:tr>
      <w:tr w:rsidR="00C35DA9" w:rsidRPr="00897D34" w14:paraId="102DA992" w14:textId="77777777" w:rsidTr="001317A1">
        <w:tc>
          <w:tcPr>
            <w:tcW w:w="3060" w:type="dxa"/>
            <w:tcBorders>
              <w:top w:val="single" w:sz="6" w:space="0" w:color="auto"/>
              <w:left w:val="single" w:sz="6" w:space="0" w:color="auto"/>
              <w:bottom w:val="single" w:sz="6" w:space="0" w:color="auto"/>
            </w:tcBorders>
          </w:tcPr>
          <w:p w14:paraId="6D6076C8"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F10 settlement</w:t>
            </w:r>
          </w:p>
        </w:tc>
        <w:tc>
          <w:tcPr>
            <w:tcW w:w="2250" w:type="dxa"/>
            <w:tcBorders>
              <w:top w:val="single" w:sz="6" w:space="0" w:color="auto"/>
              <w:left w:val="single" w:sz="6" w:space="0" w:color="auto"/>
              <w:bottom w:val="single" w:sz="6" w:space="0" w:color="auto"/>
            </w:tcBorders>
          </w:tcPr>
          <w:p w14:paraId="28B9CCBF"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Ongoing throughout implementation when applicable</w:t>
            </w:r>
          </w:p>
        </w:tc>
        <w:tc>
          <w:tcPr>
            <w:tcW w:w="2340" w:type="dxa"/>
            <w:tcBorders>
              <w:top w:val="single" w:sz="6" w:space="0" w:color="auto"/>
              <w:left w:val="single" w:sz="6" w:space="0" w:color="auto"/>
              <w:bottom w:val="single" w:sz="6" w:space="0" w:color="auto"/>
            </w:tcBorders>
          </w:tcPr>
          <w:p w14:paraId="7AF0790D"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As per the UPL-</w:t>
            </w:r>
          </w:p>
          <w:p w14:paraId="7660D45E" w14:textId="156811D5"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26.81</w:t>
            </w:r>
            <w:r w:rsidRPr="00EA5E3E">
              <w:rPr>
                <w:rFonts w:ascii="Times New Roman" w:hAnsi="Times New Roman"/>
                <w:spacing w:val="-2"/>
                <w:szCs w:val="22"/>
              </w:rPr>
              <w:t xml:space="preserve"> for each </w:t>
            </w:r>
          </w:p>
        </w:tc>
        <w:tc>
          <w:tcPr>
            <w:tcW w:w="2430" w:type="dxa"/>
            <w:tcBorders>
              <w:top w:val="single" w:sz="6" w:space="0" w:color="auto"/>
              <w:left w:val="single" w:sz="6" w:space="0" w:color="auto"/>
              <w:bottom w:val="single" w:sz="6" w:space="0" w:color="auto"/>
              <w:right w:val="single" w:sz="6" w:space="0" w:color="auto"/>
            </w:tcBorders>
          </w:tcPr>
          <w:p w14:paraId="7BC00285"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As above</w:t>
            </w:r>
          </w:p>
        </w:tc>
      </w:tr>
      <w:tr w:rsidR="00C35DA9" w:rsidRPr="00897D34" w14:paraId="2B012432" w14:textId="77777777" w:rsidTr="001317A1">
        <w:tc>
          <w:tcPr>
            <w:tcW w:w="3060" w:type="dxa"/>
            <w:tcBorders>
              <w:top w:val="single" w:sz="6" w:space="0" w:color="auto"/>
              <w:left w:val="single" w:sz="6" w:space="0" w:color="auto"/>
              <w:bottom w:val="single" w:sz="6" w:space="0" w:color="auto"/>
            </w:tcBorders>
          </w:tcPr>
          <w:p w14:paraId="42CF0641"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Visa request</w:t>
            </w:r>
          </w:p>
        </w:tc>
        <w:tc>
          <w:tcPr>
            <w:tcW w:w="2250" w:type="dxa"/>
            <w:tcBorders>
              <w:top w:val="single" w:sz="6" w:space="0" w:color="auto"/>
              <w:left w:val="single" w:sz="6" w:space="0" w:color="auto"/>
              <w:bottom w:val="single" w:sz="6" w:space="0" w:color="auto"/>
            </w:tcBorders>
          </w:tcPr>
          <w:p w14:paraId="1B2FB8A4"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Ongoing throughout implementation when applicable</w:t>
            </w:r>
          </w:p>
        </w:tc>
        <w:tc>
          <w:tcPr>
            <w:tcW w:w="2340" w:type="dxa"/>
            <w:tcBorders>
              <w:top w:val="single" w:sz="6" w:space="0" w:color="auto"/>
              <w:left w:val="single" w:sz="6" w:space="0" w:color="auto"/>
              <w:bottom w:val="single" w:sz="6" w:space="0" w:color="auto"/>
            </w:tcBorders>
          </w:tcPr>
          <w:p w14:paraId="10CB3AEE" w14:textId="6BDFE4D1"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55.46</w:t>
            </w:r>
            <w:r w:rsidRPr="00EA5E3E">
              <w:rPr>
                <w:rFonts w:ascii="Times New Roman" w:hAnsi="Times New Roman"/>
                <w:spacing w:val="-2"/>
                <w:szCs w:val="22"/>
              </w:rPr>
              <w:t xml:space="preserve"> for each</w:t>
            </w:r>
          </w:p>
        </w:tc>
        <w:tc>
          <w:tcPr>
            <w:tcW w:w="2430" w:type="dxa"/>
            <w:tcBorders>
              <w:top w:val="single" w:sz="6" w:space="0" w:color="auto"/>
              <w:left w:val="single" w:sz="6" w:space="0" w:color="auto"/>
              <w:bottom w:val="single" w:sz="6" w:space="0" w:color="auto"/>
              <w:right w:val="single" w:sz="6" w:space="0" w:color="auto"/>
            </w:tcBorders>
          </w:tcPr>
          <w:p w14:paraId="5FA07DA6"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As above</w:t>
            </w:r>
          </w:p>
        </w:tc>
      </w:tr>
      <w:tr w:rsidR="00C35DA9" w:rsidRPr="00897D34" w14:paraId="40F65306" w14:textId="77777777" w:rsidTr="001317A1">
        <w:tc>
          <w:tcPr>
            <w:tcW w:w="3060" w:type="dxa"/>
            <w:tcBorders>
              <w:top w:val="single" w:sz="6" w:space="0" w:color="auto"/>
              <w:left w:val="single" w:sz="6" w:space="0" w:color="auto"/>
              <w:bottom w:val="single" w:sz="6" w:space="0" w:color="auto"/>
            </w:tcBorders>
          </w:tcPr>
          <w:p w14:paraId="65D6524D"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Hotel reservation</w:t>
            </w:r>
          </w:p>
        </w:tc>
        <w:tc>
          <w:tcPr>
            <w:tcW w:w="2250" w:type="dxa"/>
            <w:tcBorders>
              <w:top w:val="single" w:sz="6" w:space="0" w:color="auto"/>
              <w:left w:val="single" w:sz="6" w:space="0" w:color="auto"/>
              <w:bottom w:val="single" w:sz="6" w:space="0" w:color="auto"/>
            </w:tcBorders>
          </w:tcPr>
          <w:p w14:paraId="6A204064"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Ongoing throughout implementation when applicable</w:t>
            </w:r>
          </w:p>
        </w:tc>
        <w:tc>
          <w:tcPr>
            <w:tcW w:w="2340" w:type="dxa"/>
            <w:tcBorders>
              <w:top w:val="single" w:sz="6" w:space="0" w:color="auto"/>
              <w:left w:val="single" w:sz="6" w:space="0" w:color="auto"/>
              <w:bottom w:val="single" w:sz="6" w:space="0" w:color="auto"/>
            </w:tcBorders>
          </w:tcPr>
          <w:p w14:paraId="72533629" w14:textId="237F0AE6"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18.49</w:t>
            </w:r>
            <w:r w:rsidRPr="00EA5E3E">
              <w:rPr>
                <w:rFonts w:ascii="Times New Roman" w:hAnsi="Times New Roman"/>
                <w:spacing w:val="-2"/>
                <w:szCs w:val="22"/>
              </w:rPr>
              <w:t xml:space="preserve"> for each</w:t>
            </w:r>
          </w:p>
        </w:tc>
        <w:tc>
          <w:tcPr>
            <w:tcW w:w="2430" w:type="dxa"/>
            <w:tcBorders>
              <w:top w:val="single" w:sz="6" w:space="0" w:color="auto"/>
              <w:left w:val="single" w:sz="6" w:space="0" w:color="auto"/>
              <w:bottom w:val="single" w:sz="6" w:space="0" w:color="auto"/>
              <w:right w:val="single" w:sz="6" w:space="0" w:color="auto"/>
            </w:tcBorders>
          </w:tcPr>
          <w:p w14:paraId="7D51AA11"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As above</w:t>
            </w:r>
          </w:p>
        </w:tc>
      </w:tr>
      <w:tr w:rsidR="00C35DA9" w:rsidRPr="00897D34" w14:paraId="5944CC5F" w14:textId="77777777" w:rsidTr="001317A1">
        <w:tc>
          <w:tcPr>
            <w:tcW w:w="3060" w:type="dxa"/>
            <w:tcBorders>
              <w:top w:val="single" w:sz="6" w:space="0" w:color="auto"/>
              <w:left w:val="single" w:sz="6" w:space="0" w:color="auto"/>
              <w:bottom w:val="single" w:sz="6" w:space="0" w:color="auto"/>
            </w:tcBorders>
          </w:tcPr>
          <w:p w14:paraId="44DBE8F8"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Travel Ticket processing</w:t>
            </w:r>
          </w:p>
        </w:tc>
        <w:tc>
          <w:tcPr>
            <w:tcW w:w="2250" w:type="dxa"/>
            <w:tcBorders>
              <w:top w:val="single" w:sz="6" w:space="0" w:color="auto"/>
              <w:left w:val="single" w:sz="6" w:space="0" w:color="auto"/>
              <w:bottom w:val="single" w:sz="6" w:space="0" w:color="auto"/>
            </w:tcBorders>
          </w:tcPr>
          <w:p w14:paraId="43853920" w14:textId="77777777" w:rsidR="00C35DA9" w:rsidRPr="00EA5E3E" w:rsidRDefault="00C35DA9" w:rsidP="001317A1">
            <w:pPr>
              <w:numPr>
                <w:ilvl w:val="12"/>
                <w:numId w:val="0"/>
              </w:numPr>
              <w:tabs>
                <w:tab w:val="left" w:pos="0"/>
              </w:tabs>
              <w:suppressAutoHyphens/>
              <w:jc w:val="left"/>
              <w:rPr>
                <w:rFonts w:ascii="Times New Roman" w:hAnsi="Times New Roman"/>
                <w:spacing w:val="-2"/>
                <w:szCs w:val="22"/>
              </w:rPr>
            </w:pPr>
            <w:r w:rsidRPr="00EA5E3E">
              <w:rPr>
                <w:rFonts w:ascii="Times New Roman" w:hAnsi="Times New Roman"/>
                <w:spacing w:val="-2"/>
                <w:szCs w:val="22"/>
              </w:rPr>
              <w:t>Ongoing throughout implementation when applicable</w:t>
            </w:r>
          </w:p>
        </w:tc>
        <w:tc>
          <w:tcPr>
            <w:tcW w:w="2340" w:type="dxa"/>
            <w:tcBorders>
              <w:top w:val="single" w:sz="6" w:space="0" w:color="auto"/>
              <w:left w:val="single" w:sz="6" w:space="0" w:color="auto"/>
              <w:bottom w:val="single" w:sz="6" w:space="0" w:color="auto"/>
            </w:tcBorders>
          </w:tcPr>
          <w:p w14:paraId="68ED61F4" w14:textId="1E70B284" w:rsidR="00C35DA9" w:rsidRPr="00EA5E3E" w:rsidRDefault="00C35DA9" w:rsidP="00F977ED">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 xml:space="preserve">US$ </w:t>
            </w:r>
            <w:r w:rsidR="00F977ED">
              <w:rPr>
                <w:rFonts w:ascii="Times New Roman" w:hAnsi="Times New Roman"/>
                <w:spacing w:val="-2"/>
                <w:szCs w:val="22"/>
              </w:rPr>
              <w:t>36.97</w:t>
            </w:r>
            <w:r w:rsidRPr="00EA5E3E">
              <w:rPr>
                <w:rFonts w:ascii="Times New Roman" w:hAnsi="Times New Roman"/>
                <w:spacing w:val="-2"/>
                <w:szCs w:val="22"/>
              </w:rPr>
              <w:t xml:space="preserve"> for each </w:t>
            </w:r>
          </w:p>
        </w:tc>
        <w:tc>
          <w:tcPr>
            <w:tcW w:w="2430" w:type="dxa"/>
            <w:tcBorders>
              <w:top w:val="single" w:sz="6" w:space="0" w:color="auto"/>
              <w:left w:val="single" w:sz="6" w:space="0" w:color="auto"/>
              <w:bottom w:val="single" w:sz="6" w:space="0" w:color="auto"/>
              <w:right w:val="single" w:sz="6" w:space="0" w:color="auto"/>
            </w:tcBorders>
          </w:tcPr>
          <w:p w14:paraId="75D3CBF7" w14:textId="77777777" w:rsidR="00C35DA9" w:rsidRPr="00EA5E3E" w:rsidRDefault="00C35DA9" w:rsidP="001317A1">
            <w:pPr>
              <w:numPr>
                <w:ilvl w:val="12"/>
                <w:numId w:val="0"/>
              </w:numPr>
              <w:tabs>
                <w:tab w:val="left" w:pos="0"/>
              </w:tabs>
              <w:suppressAutoHyphens/>
              <w:rPr>
                <w:rFonts w:ascii="Times New Roman" w:hAnsi="Times New Roman"/>
                <w:spacing w:val="-2"/>
                <w:szCs w:val="22"/>
              </w:rPr>
            </w:pPr>
            <w:r w:rsidRPr="00EA5E3E">
              <w:rPr>
                <w:rFonts w:ascii="Times New Roman" w:hAnsi="Times New Roman"/>
                <w:spacing w:val="-2"/>
                <w:szCs w:val="22"/>
              </w:rPr>
              <w:t>As above</w:t>
            </w:r>
          </w:p>
        </w:tc>
      </w:tr>
      <w:tr w:rsidR="00F977ED" w:rsidRPr="00F977ED" w14:paraId="3D124061" w14:textId="77777777" w:rsidTr="001317A1">
        <w:tc>
          <w:tcPr>
            <w:tcW w:w="3060" w:type="dxa"/>
            <w:tcBorders>
              <w:top w:val="single" w:sz="6" w:space="0" w:color="auto"/>
              <w:left w:val="single" w:sz="6" w:space="0" w:color="auto"/>
              <w:bottom w:val="single" w:sz="6" w:space="0" w:color="auto"/>
            </w:tcBorders>
          </w:tcPr>
          <w:p w14:paraId="190C8177" w14:textId="003CAB49" w:rsidR="00F977ED" w:rsidRPr="00F977ED" w:rsidRDefault="00F977ED" w:rsidP="001317A1">
            <w:pPr>
              <w:numPr>
                <w:ilvl w:val="12"/>
                <w:numId w:val="0"/>
              </w:numPr>
              <w:tabs>
                <w:tab w:val="left" w:pos="0"/>
              </w:tabs>
              <w:suppressAutoHyphens/>
              <w:jc w:val="left"/>
              <w:rPr>
                <w:rFonts w:ascii="Times New Roman" w:hAnsi="Times New Roman"/>
                <w:b/>
                <w:spacing w:val="-2"/>
                <w:szCs w:val="22"/>
              </w:rPr>
            </w:pPr>
            <w:r w:rsidRPr="00F977ED">
              <w:rPr>
                <w:rFonts w:ascii="Times New Roman" w:hAnsi="Times New Roman"/>
                <w:b/>
                <w:spacing w:val="-2"/>
                <w:szCs w:val="22"/>
              </w:rPr>
              <w:t>Total amount</w:t>
            </w:r>
          </w:p>
        </w:tc>
        <w:tc>
          <w:tcPr>
            <w:tcW w:w="2250" w:type="dxa"/>
            <w:tcBorders>
              <w:top w:val="single" w:sz="6" w:space="0" w:color="auto"/>
              <w:left w:val="single" w:sz="6" w:space="0" w:color="auto"/>
              <w:bottom w:val="single" w:sz="6" w:space="0" w:color="auto"/>
            </w:tcBorders>
          </w:tcPr>
          <w:p w14:paraId="0FCF6676" w14:textId="77777777" w:rsidR="00F977ED" w:rsidRPr="00F977ED" w:rsidRDefault="00F977ED" w:rsidP="001317A1">
            <w:pPr>
              <w:numPr>
                <w:ilvl w:val="12"/>
                <w:numId w:val="0"/>
              </w:numPr>
              <w:tabs>
                <w:tab w:val="left" w:pos="0"/>
              </w:tabs>
              <w:suppressAutoHyphens/>
              <w:jc w:val="left"/>
              <w:rPr>
                <w:rFonts w:ascii="Times New Roman" w:hAnsi="Times New Roman"/>
                <w:b/>
                <w:spacing w:val="-2"/>
                <w:szCs w:val="22"/>
              </w:rPr>
            </w:pPr>
          </w:p>
        </w:tc>
        <w:tc>
          <w:tcPr>
            <w:tcW w:w="2340" w:type="dxa"/>
            <w:tcBorders>
              <w:top w:val="single" w:sz="6" w:space="0" w:color="auto"/>
              <w:left w:val="single" w:sz="6" w:space="0" w:color="auto"/>
              <w:bottom w:val="single" w:sz="6" w:space="0" w:color="auto"/>
            </w:tcBorders>
          </w:tcPr>
          <w:p w14:paraId="229A6CA3" w14:textId="70879C86" w:rsidR="00F977ED" w:rsidRPr="00F977ED" w:rsidRDefault="00F977ED" w:rsidP="00F977ED">
            <w:pPr>
              <w:numPr>
                <w:ilvl w:val="12"/>
                <w:numId w:val="0"/>
              </w:numPr>
              <w:tabs>
                <w:tab w:val="left" w:pos="0"/>
              </w:tabs>
              <w:suppressAutoHyphens/>
              <w:rPr>
                <w:rFonts w:ascii="Times New Roman" w:hAnsi="Times New Roman"/>
                <w:b/>
                <w:spacing w:val="-2"/>
                <w:szCs w:val="22"/>
              </w:rPr>
            </w:pPr>
            <w:r w:rsidRPr="00F977ED">
              <w:rPr>
                <w:rFonts w:ascii="Times New Roman" w:hAnsi="Times New Roman"/>
                <w:b/>
                <w:spacing w:val="-2"/>
                <w:szCs w:val="22"/>
              </w:rPr>
              <w:t>USD 100,000.-</w:t>
            </w:r>
          </w:p>
        </w:tc>
        <w:tc>
          <w:tcPr>
            <w:tcW w:w="2430" w:type="dxa"/>
            <w:tcBorders>
              <w:top w:val="single" w:sz="6" w:space="0" w:color="auto"/>
              <w:left w:val="single" w:sz="6" w:space="0" w:color="auto"/>
              <w:bottom w:val="single" w:sz="6" w:space="0" w:color="auto"/>
              <w:right w:val="single" w:sz="6" w:space="0" w:color="auto"/>
            </w:tcBorders>
          </w:tcPr>
          <w:p w14:paraId="1946680B" w14:textId="77777777" w:rsidR="00F977ED" w:rsidRPr="00F977ED" w:rsidRDefault="00F977ED" w:rsidP="001317A1">
            <w:pPr>
              <w:numPr>
                <w:ilvl w:val="12"/>
                <w:numId w:val="0"/>
              </w:numPr>
              <w:tabs>
                <w:tab w:val="left" w:pos="0"/>
              </w:tabs>
              <w:suppressAutoHyphens/>
              <w:rPr>
                <w:rFonts w:ascii="Times New Roman" w:hAnsi="Times New Roman"/>
                <w:b/>
                <w:spacing w:val="-2"/>
                <w:szCs w:val="22"/>
              </w:rPr>
            </w:pPr>
          </w:p>
        </w:tc>
      </w:tr>
    </w:tbl>
    <w:p w14:paraId="3F614C47" w14:textId="065CF4AE" w:rsidR="00C35DA9" w:rsidRDefault="00C35DA9" w:rsidP="00C35DA9"/>
    <w:p w14:paraId="5AD1A658" w14:textId="7C2B4265" w:rsidR="007D6892" w:rsidRDefault="007D6892">
      <w:pPr>
        <w:spacing w:after="0"/>
        <w:jc w:val="left"/>
        <w:rPr>
          <w:lang w:val="en-US"/>
        </w:rPr>
      </w:pPr>
      <w:r>
        <w:rPr>
          <w:lang w:val="en-US"/>
        </w:rPr>
        <w:br w:type="page"/>
      </w:r>
    </w:p>
    <w:p w14:paraId="6857068E" w14:textId="5959305A" w:rsidR="007D6892" w:rsidRPr="007D6892" w:rsidRDefault="007D6892" w:rsidP="007D6892">
      <w:pPr>
        <w:pStyle w:val="Heading1"/>
        <w:numPr>
          <w:ilvl w:val="0"/>
          <w:numId w:val="0"/>
        </w:numPr>
        <w:ind w:left="432" w:hanging="432"/>
        <w:rPr>
          <w:caps/>
          <w:smallCaps w:val="0"/>
          <w:lang w:val="en-US"/>
        </w:rPr>
      </w:pPr>
      <w:r w:rsidRPr="007D6892">
        <w:rPr>
          <w:caps/>
          <w:smallCaps w:val="0"/>
          <w:lang w:val="en-US"/>
        </w:rPr>
        <w:t xml:space="preserve">Annex H Overview of existing protocols and methodologies for urban GHG inventories </w:t>
      </w:r>
    </w:p>
    <w:p w14:paraId="2EE8663A" w14:textId="77777777" w:rsidR="007D6892" w:rsidRPr="007D6892" w:rsidRDefault="007D6892" w:rsidP="007D6892">
      <w:pPr>
        <w:rPr>
          <w:lang w:val="en-US"/>
        </w:rPr>
      </w:pPr>
      <w:r w:rsidRPr="007D6892">
        <w:rPr>
          <w:lang w:val="en-US"/>
        </w:rPr>
        <w:t xml:space="preserve">World cities are generally acknowledged to be a major source of global GHG emissions, accounting for an estimated 70% of global carbon dioxide emissions from energy consumptions. Currently there is no single universally accepted methodology for estimation of municipal GHG footprints. Cities in different jurisdictions participating in different climate programs utilize different methodologies and protocols to estimate their current GHG impacts, set emission abatement targets (both compliance and voluntary) and monitor their achievement. Approaches applied in the various protocols differ in terms of scope and sources of emissions inventoried, types of gases included, reporting frameworks etc. </w:t>
      </w:r>
    </w:p>
    <w:p w14:paraId="24A67F96" w14:textId="77777777" w:rsidR="007D6892" w:rsidRPr="007D6892" w:rsidRDefault="007D6892" w:rsidP="007D6892">
      <w:pPr>
        <w:rPr>
          <w:lang w:val="en-US"/>
        </w:rPr>
      </w:pPr>
    </w:p>
    <w:p w14:paraId="22796008" w14:textId="77777777" w:rsidR="007D6892" w:rsidRPr="007D6892" w:rsidRDefault="007D6892" w:rsidP="007D6892">
      <w:pPr>
        <w:rPr>
          <w:lang w:val="en-US"/>
        </w:rPr>
      </w:pPr>
      <w:r w:rsidRPr="007D6892">
        <w:rPr>
          <w:lang w:val="en-US"/>
        </w:rPr>
        <w:t>The most relevant urban GHG accounting protocols include:</w:t>
      </w:r>
    </w:p>
    <w:p w14:paraId="2565D1C6" w14:textId="77777777" w:rsidR="007D6892" w:rsidRPr="007D6892" w:rsidRDefault="007D6892" w:rsidP="007D6892">
      <w:pPr>
        <w:numPr>
          <w:ilvl w:val="0"/>
          <w:numId w:val="54"/>
        </w:numPr>
        <w:rPr>
          <w:lang w:val="en-US"/>
        </w:rPr>
      </w:pPr>
      <w:r w:rsidRPr="007D6892">
        <w:rPr>
          <w:i/>
          <w:lang w:val="en-US"/>
        </w:rPr>
        <w:t>Global Protocol for Community-Scale Greenhouse Gas Emissions</w:t>
      </w:r>
      <w:r w:rsidRPr="007D6892">
        <w:rPr>
          <w:lang w:val="en-US"/>
        </w:rPr>
        <w:t xml:space="preserve"> (GPC) draft version 2.0 (WRI, ICLEI, C40, 2014) </w:t>
      </w:r>
    </w:p>
    <w:p w14:paraId="4E2D5B9E" w14:textId="77777777" w:rsidR="007D6892" w:rsidRPr="007D6892" w:rsidRDefault="007D6892" w:rsidP="007D6892">
      <w:pPr>
        <w:numPr>
          <w:ilvl w:val="0"/>
          <w:numId w:val="54"/>
        </w:numPr>
        <w:rPr>
          <w:lang w:val="en-US"/>
        </w:rPr>
      </w:pPr>
      <w:r w:rsidRPr="007D6892">
        <w:rPr>
          <w:i/>
          <w:lang w:val="en-US"/>
        </w:rPr>
        <w:t>Covenant of Mayors</w:t>
      </w:r>
      <w:r w:rsidRPr="007D6892">
        <w:rPr>
          <w:lang w:val="en-US"/>
        </w:rPr>
        <w:t xml:space="preserve">, How to Develop Sustainable Energy Action Plan, Guidebook for </w:t>
      </w:r>
      <w:r w:rsidRPr="007D6892">
        <w:rPr>
          <w:i/>
          <w:lang w:val="en-US"/>
        </w:rPr>
        <w:t>Baseline Emissions Inventory</w:t>
      </w:r>
      <w:r w:rsidRPr="007D6892">
        <w:rPr>
          <w:lang w:val="en-US"/>
        </w:rPr>
        <w:t xml:space="preserve"> (BEI) (EU, 2010)</w:t>
      </w:r>
    </w:p>
    <w:p w14:paraId="3D208933" w14:textId="77777777" w:rsidR="007D6892" w:rsidRPr="007D6892" w:rsidRDefault="007D6892" w:rsidP="007D6892">
      <w:pPr>
        <w:numPr>
          <w:ilvl w:val="0"/>
          <w:numId w:val="54"/>
        </w:numPr>
        <w:rPr>
          <w:lang w:val="en-US"/>
        </w:rPr>
      </w:pPr>
      <w:r w:rsidRPr="007D6892">
        <w:rPr>
          <w:lang w:val="en-US"/>
        </w:rPr>
        <w:t>US Community Protocol for Accounting and Reporting of Greenhouse Gas Emissions (ICLEI, 2012)</w:t>
      </w:r>
    </w:p>
    <w:p w14:paraId="243C4A56" w14:textId="77777777" w:rsidR="007D6892" w:rsidRPr="007D6892" w:rsidRDefault="007D6892" w:rsidP="007D6892">
      <w:pPr>
        <w:numPr>
          <w:ilvl w:val="0"/>
          <w:numId w:val="54"/>
        </w:numPr>
        <w:rPr>
          <w:lang w:val="en-US"/>
        </w:rPr>
      </w:pPr>
      <w:r w:rsidRPr="007D6892">
        <w:rPr>
          <w:lang w:val="en-US"/>
        </w:rPr>
        <w:t>International Local Government GHG Emissions Analysis Protocol (IEAP) (ICLEI, 2009) –to be superseded by the GPC</w:t>
      </w:r>
    </w:p>
    <w:p w14:paraId="37FC92CB" w14:textId="77777777" w:rsidR="007D6892" w:rsidRPr="007D6892" w:rsidRDefault="007D6892" w:rsidP="007D6892">
      <w:pPr>
        <w:numPr>
          <w:ilvl w:val="0"/>
          <w:numId w:val="54"/>
        </w:numPr>
        <w:rPr>
          <w:lang w:val="en-US"/>
        </w:rPr>
      </w:pPr>
      <w:r w:rsidRPr="007D6892">
        <w:rPr>
          <w:lang w:val="en-US"/>
        </w:rPr>
        <w:t>International Standard for Determining Greenhouse Gas Emissions for Cities (ISGHGC) (UNEP, UN-Habitat, WB, 2010) – to be superseded by the GPC</w:t>
      </w:r>
    </w:p>
    <w:p w14:paraId="6F984F82" w14:textId="77777777" w:rsidR="007D6892" w:rsidRPr="007D6892" w:rsidRDefault="007D6892" w:rsidP="007D6892">
      <w:pPr>
        <w:rPr>
          <w:lang w:val="en-US"/>
        </w:rPr>
      </w:pPr>
    </w:p>
    <w:p w14:paraId="412F1F4B" w14:textId="77777777" w:rsidR="007D6892" w:rsidRPr="007D6892" w:rsidRDefault="007D6892" w:rsidP="007D6892">
      <w:pPr>
        <w:rPr>
          <w:lang w:val="en-US"/>
        </w:rPr>
      </w:pPr>
      <w:r w:rsidRPr="007D6892">
        <w:rPr>
          <w:lang w:val="en-US"/>
        </w:rPr>
        <w:t xml:space="preserve">The GPC is the latest in the range of similar protocols development and is expected to provide a single </w:t>
      </w:r>
      <w:r w:rsidRPr="007D6892">
        <w:rPr>
          <w:i/>
          <w:lang w:val="en-US"/>
        </w:rPr>
        <w:t>global</w:t>
      </w:r>
      <w:r w:rsidRPr="007D6892">
        <w:rPr>
          <w:lang w:val="en-US"/>
        </w:rPr>
        <w:t xml:space="preserve"> framework for accounting and reporting city-scale GHG emissions The GPC seeks to help cities develop a comprehensive and robust GHG inventory; ensure consistent and transparent measurement and reporting of GHG emissions between cities; enable city inventories to be aggregated at subnational and national levels; and facilitate insight through benchmarking – and aggregation – of comparable data. Upon publication of the final version at the end of 2014, the GPC will effectively supersede IEAP and ISGHGSC, thus becoming the sole accounting framework used by carbon</w:t>
      </w:r>
      <w:r w:rsidRPr="007D6892">
        <w:rPr>
          <w:i/>
          <w:lang w:val="en-US"/>
        </w:rPr>
        <w:t>n</w:t>
      </w:r>
      <w:r w:rsidRPr="007D6892">
        <w:rPr>
          <w:lang w:val="en-US"/>
        </w:rPr>
        <w:t xml:space="preserve"> Cities Climate Registry (cCCR) (currently utilizing IEAP), the world’s leading reporting platform on local climate action that has 429 cities reporting through it as of 2014, including 118 signatories of the Global Cities Covenant on Climate (Mexico City Pact). </w:t>
      </w:r>
    </w:p>
    <w:p w14:paraId="47D05DD5" w14:textId="77777777" w:rsidR="007D6892" w:rsidRPr="007D6892" w:rsidRDefault="007D6892" w:rsidP="007D6892">
      <w:pPr>
        <w:rPr>
          <w:lang w:val="en-US"/>
        </w:rPr>
      </w:pPr>
    </w:p>
    <w:p w14:paraId="1FAC8933" w14:textId="77777777" w:rsidR="007D6892" w:rsidRPr="007D6892" w:rsidRDefault="007D6892" w:rsidP="007D6892">
      <w:pPr>
        <w:rPr>
          <w:lang w:val="en-US"/>
        </w:rPr>
      </w:pPr>
      <w:r w:rsidRPr="007D6892">
        <w:rPr>
          <w:lang w:val="en-US"/>
        </w:rPr>
        <w:t>The Covenant of Mayors is a European initiative by which towns, cities and regions voluntarily commit to reducing their CO</w:t>
      </w:r>
      <w:r w:rsidRPr="007D6892">
        <w:rPr>
          <w:vertAlign w:val="subscript"/>
          <w:lang w:val="en-US"/>
        </w:rPr>
        <w:t>2</w:t>
      </w:r>
      <w:r w:rsidRPr="007D6892">
        <w:rPr>
          <w:lang w:val="en-US"/>
        </w:rPr>
        <w:t xml:space="preserve"> emissions beyond the EU target of 20% below 1990 levels by 2020. This formal commitment is to be achieved through the implementation of Sustainable Energy Action Plans (SEAP). A Baseline Emission Inventory (BEI), a prerequisite to SEAP elaboration, quantifies the amount of CO</w:t>
      </w:r>
      <w:r w:rsidRPr="007D6892">
        <w:rPr>
          <w:vertAlign w:val="subscript"/>
          <w:lang w:val="en-US"/>
        </w:rPr>
        <w:t>2</w:t>
      </w:r>
      <w:r w:rsidRPr="007D6892">
        <w:rPr>
          <w:lang w:val="en-US"/>
        </w:rPr>
        <w:t xml:space="preserve"> emitted due to energy consumption in the territory of the local authority in the baseline year. So far, BEI guidelines have been used by over 3,700 cities to compile their city-scale GHG inventories and identify mitigation actions. Emission inventories compiled in the later years to monitor the progress towards target are called Monitoring Emission Inventory (MEI) and they follow the same guidelines as BEI. </w:t>
      </w:r>
    </w:p>
    <w:p w14:paraId="391834AE" w14:textId="77777777" w:rsidR="007D6892" w:rsidRPr="007D6892" w:rsidRDefault="007D6892" w:rsidP="007D6892">
      <w:pPr>
        <w:rPr>
          <w:lang w:val="en-US"/>
        </w:rPr>
      </w:pPr>
    </w:p>
    <w:p w14:paraId="70A9D82A" w14:textId="77777777" w:rsidR="007D6892" w:rsidRPr="007D6892" w:rsidRDefault="007D6892" w:rsidP="007D6892">
      <w:pPr>
        <w:rPr>
          <w:lang w:val="en-US"/>
        </w:rPr>
      </w:pPr>
    </w:p>
    <w:p w14:paraId="3ED6C51C" w14:textId="77777777" w:rsidR="007D6892" w:rsidRPr="007D6892" w:rsidRDefault="007D6892" w:rsidP="007D6892">
      <w:pPr>
        <w:rPr>
          <w:lang w:val="en-US"/>
        </w:rPr>
      </w:pPr>
      <w:r w:rsidRPr="007D6892">
        <w:rPr>
          <w:lang w:val="en-US"/>
        </w:rPr>
        <w:t xml:space="preserve">As such, the two protocols prove to be the most relevant and will be further analyzed below. </w:t>
      </w:r>
    </w:p>
    <w:p w14:paraId="505494C5" w14:textId="77777777" w:rsidR="007D6892" w:rsidRPr="007D6892" w:rsidRDefault="007D6892" w:rsidP="007D6892">
      <w:pPr>
        <w:rPr>
          <w:lang w:val="en-US"/>
        </w:rPr>
      </w:pPr>
    </w:p>
    <w:p w14:paraId="57DC1BFD" w14:textId="77777777" w:rsidR="007D6892" w:rsidRPr="007D6892" w:rsidRDefault="007D6892" w:rsidP="007D6892">
      <w:pPr>
        <w:rPr>
          <w:i/>
          <w:lang w:val="en-US"/>
        </w:rPr>
      </w:pPr>
      <w:r w:rsidRPr="007D6892">
        <w:rPr>
          <w:i/>
          <w:lang w:val="en-US"/>
        </w:rPr>
        <w:t>GHG inventory boundary setting</w:t>
      </w:r>
    </w:p>
    <w:p w14:paraId="252D2E5B" w14:textId="77777777" w:rsidR="007D6892" w:rsidRPr="007D6892" w:rsidRDefault="007D6892" w:rsidP="007D6892">
      <w:pPr>
        <w:rPr>
          <w:lang w:val="en-US"/>
        </w:rPr>
      </w:pPr>
      <w:r w:rsidRPr="007D6892">
        <w:rPr>
          <w:lang w:val="en-US"/>
        </w:rPr>
        <w:t xml:space="preserve">The approaches to calculating urban GHG emissions used in all of the above protocols are essentially adaptations or simplifications of the Intergovernmental Panel on Climate Change (IPCC) 2006 Guidelines for National Greenhouse Gas Inventories which is the international standard for national reporting under the UNFCCC. IPCC Guidelines provide detailed guidance on emission and removal categories, calculation formulae, data collection methods, default emission factors, and uncertainty management for compiling a </w:t>
      </w:r>
      <w:r w:rsidRPr="007D6892">
        <w:rPr>
          <w:i/>
          <w:lang w:val="en-US"/>
        </w:rPr>
        <w:t>national</w:t>
      </w:r>
      <w:r w:rsidRPr="007D6892">
        <w:rPr>
          <w:lang w:val="en-US"/>
        </w:rPr>
        <w:t xml:space="preserve"> GHG inventory.</w:t>
      </w:r>
    </w:p>
    <w:p w14:paraId="5158288F" w14:textId="77777777" w:rsidR="007D6892" w:rsidRPr="007D6892" w:rsidRDefault="007D6892" w:rsidP="007D6892">
      <w:pPr>
        <w:rPr>
          <w:lang w:val="en-US"/>
        </w:rPr>
      </w:pPr>
    </w:p>
    <w:p w14:paraId="3E18C513" w14:textId="77777777" w:rsidR="007D6892" w:rsidRPr="007D6892" w:rsidRDefault="007D6892" w:rsidP="007D6892">
      <w:pPr>
        <w:rPr>
          <w:lang w:val="en-US"/>
        </w:rPr>
      </w:pPr>
      <w:r w:rsidRPr="007D6892">
        <w:rPr>
          <w:lang w:val="en-US"/>
        </w:rPr>
        <w:t xml:space="preserve">The key difference – and challenge – in drawing up a </w:t>
      </w:r>
      <w:r w:rsidRPr="007D6892">
        <w:rPr>
          <w:i/>
          <w:lang w:val="en-US"/>
        </w:rPr>
        <w:t>city-level</w:t>
      </w:r>
      <w:r w:rsidRPr="007D6892">
        <w:rPr>
          <w:lang w:val="en-US"/>
        </w:rPr>
        <w:t xml:space="preserve"> GHG inventory, as compared to a national inventory, is deciding how and which GHG emissions (those occurring inside and outside of the city's boundary) should be attributed to the particular urban area. Broadly speaking, three approaches can be identified: (a) a geographic approach that limits inventory to the emissions occurring within the spatial extent of the city only; (b) a production/consumption-based approach that allocates emissions from the production of goods or services to the locality where the production takes place (production approach) or where the consumption takes place (consumption approach); (c) a hybrid approach that combines the two, accounting for GHG emissions occurring within the geographic boundary of an urban areas and including a few most relevant cross-boundary energy flows critical for the city.</w:t>
      </w:r>
    </w:p>
    <w:p w14:paraId="574D3C8C" w14:textId="77777777" w:rsidR="007D6892" w:rsidRPr="007D6892" w:rsidRDefault="007D6892" w:rsidP="007D6892">
      <w:pPr>
        <w:rPr>
          <w:lang w:val="en-US"/>
        </w:rPr>
      </w:pPr>
    </w:p>
    <w:p w14:paraId="4918AE1C" w14:textId="77777777" w:rsidR="007D6892" w:rsidRPr="007D6892" w:rsidRDefault="007D6892" w:rsidP="007D6892">
      <w:pPr>
        <w:rPr>
          <w:lang w:val="en-US"/>
        </w:rPr>
      </w:pPr>
      <w:r w:rsidRPr="007D6892">
        <w:rPr>
          <w:lang w:val="en-US"/>
        </w:rPr>
        <w:t xml:space="preserve">Both BEI/MEI and GPC essentially utilize a </w:t>
      </w:r>
      <w:r w:rsidRPr="007D6892">
        <w:rPr>
          <w:i/>
          <w:lang w:val="en-US"/>
        </w:rPr>
        <w:t>hybrid geographic consumption-based</w:t>
      </w:r>
      <w:r w:rsidRPr="007D6892">
        <w:rPr>
          <w:lang w:val="en-US"/>
        </w:rPr>
        <w:t xml:space="preserve"> approach to GHG emission accounting, covering both </w:t>
      </w:r>
      <w:r w:rsidRPr="007D6892">
        <w:rPr>
          <w:i/>
          <w:lang w:val="en-US"/>
        </w:rPr>
        <w:t>direct emissions</w:t>
      </w:r>
      <w:r w:rsidRPr="007D6892">
        <w:rPr>
          <w:lang w:val="en-US"/>
        </w:rPr>
        <w:t xml:space="preserve"> from the sources located within the city's geographic boundaries, as well as </w:t>
      </w:r>
      <w:r w:rsidRPr="007D6892">
        <w:rPr>
          <w:i/>
          <w:lang w:val="en-US"/>
        </w:rPr>
        <w:t>indirect emissions</w:t>
      </w:r>
      <w:r w:rsidRPr="007D6892">
        <w:rPr>
          <w:lang w:val="en-US"/>
        </w:rPr>
        <w:t xml:space="preserve"> from consumption of grid electricity and district heating/cooling in the city. The most noticeable difference between the two protocols lies in the treatment of non-energy emissions (e.g. methane emissions from solid waste landfilling) and other indirect emissions (e.g. transboundary transportation), which are excluded (or optional) from the BEI/MEI accounting, while being mandated under the GPC framework. </w:t>
      </w:r>
    </w:p>
    <w:p w14:paraId="52DC4D8D" w14:textId="77777777" w:rsidR="007D6892" w:rsidRPr="007D6892" w:rsidRDefault="007D6892" w:rsidP="007D6892">
      <w:pPr>
        <w:rPr>
          <w:lang w:val="en-US"/>
        </w:rPr>
      </w:pPr>
    </w:p>
    <w:p w14:paraId="6897EAD8" w14:textId="77777777" w:rsidR="007D6892" w:rsidRPr="007D6892" w:rsidRDefault="007D6892" w:rsidP="007D6892">
      <w:pPr>
        <w:rPr>
          <w:i/>
          <w:lang w:val="en-US"/>
        </w:rPr>
      </w:pPr>
      <w:r w:rsidRPr="007D6892">
        <w:rPr>
          <w:i/>
          <w:lang w:val="en-US"/>
        </w:rPr>
        <w:t>GHG emission scopes</w:t>
      </w:r>
    </w:p>
    <w:p w14:paraId="106E1CE3" w14:textId="77777777" w:rsidR="007D6892" w:rsidRPr="007D6892" w:rsidRDefault="007D6892" w:rsidP="007D6892">
      <w:pPr>
        <w:rPr>
          <w:lang w:val="en-US"/>
        </w:rPr>
      </w:pPr>
      <w:r w:rsidRPr="007D6892">
        <w:rPr>
          <w:lang w:val="en-US"/>
        </w:rPr>
        <w:t>The GPC explicitly applies the concept of "scopes" in order to differentiate between GHG emissions resulting from activities in the city which occur inside the city boundary, as well as outside the city boundary</w:t>
      </w:r>
      <w:r w:rsidRPr="007D6892">
        <w:rPr>
          <w:vertAlign w:val="superscript"/>
          <w:lang w:val="en-US"/>
        </w:rPr>
        <w:footnoteReference w:id="37"/>
      </w:r>
      <w:r w:rsidRPr="007D6892">
        <w:rPr>
          <w:lang w:val="en-US"/>
        </w:rPr>
        <w:t xml:space="preserve">. The scopes framework also gives some indication of the level of control cities are likely to have over GHG emission sources. Thus, based on the geographic boundary established GHG emissions are categorized as follows: </w:t>
      </w:r>
    </w:p>
    <w:p w14:paraId="6B56F6F8" w14:textId="77777777" w:rsidR="007D6892" w:rsidRPr="007D6892" w:rsidRDefault="007D6892" w:rsidP="007D6892">
      <w:pPr>
        <w:numPr>
          <w:ilvl w:val="0"/>
          <w:numId w:val="55"/>
        </w:numPr>
        <w:rPr>
          <w:lang w:val="en-US"/>
        </w:rPr>
      </w:pPr>
      <w:r w:rsidRPr="007D6892">
        <w:rPr>
          <w:lang w:val="en-US"/>
        </w:rPr>
        <w:t>Scope 1 - All GHG emissions from sources located within the boundary of the city (</w:t>
      </w:r>
      <w:r w:rsidRPr="007D6892">
        <w:rPr>
          <w:i/>
          <w:lang w:val="en-US"/>
        </w:rPr>
        <w:t>direct</w:t>
      </w:r>
      <w:r w:rsidRPr="007D6892">
        <w:rPr>
          <w:lang w:val="en-US"/>
        </w:rPr>
        <w:t xml:space="preserve"> emissions)</w:t>
      </w:r>
    </w:p>
    <w:p w14:paraId="024D8561" w14:textId="77777777" w:rsidR="007D6892" w:rsidRPr="007D6892" w:rsidRDefault="007D6892" w:rsidP="007D6892">
      <w:pPr>
        <w:numPr>
          <w:ilvl w:val="0"/>
          <w:numId w:val="55"/>
        </w:numPr>
        <w:rPr>
          <w:lang w:val="en-US"/>
        </w:rPr>
      </w:pPr>
      <w:r w:rsidRPr="007D6892">
        <w:rPr>
          <w:lang w:val="en-US"/>
        </w:rPr>
        <w:t>Scope 2 - All GHG emissions occurring as a consequence of the use of grid-supplied electricity, heating and/or cooling within the city boundary (</w:t>
      </w:r>
      <w:r w:rsidRPr="007D6892">
        <w:rPr>
          <w:i/>
          <w:lang w:val="en-US"/>
        </w:rPr>
        <w:t>indirect</w:t>
      </w:r>
      <w:r w:rsidRPr="007D6892">
        <w:rPr>
          <w:lang w:val="en-US"/>
        </w:rPr>
        <w:t xml:space="preserve"> emissions)</w:t>
      </w:r>
    </w:p>
    <w:p w14:paraId="73028252" w14:textId="77777777" w:rsidR="007D6892" w:rsidRPr="007D6892" w:rsidRDefault="007D6892" w:rsidP="007D6892">
      <w:pPr>
        <w:numPr>
          <w:ilvl w:val="0"/>
          <w:numId w:val="55"/>
        </w:numPr>
        <w:rPr>
          <w:lang w:val="en-US"/>
        </w:rPr>
      </w:pPr>
      <w:r w:rsidRPr="007D6892">
        <w:rPr>
          <w:lang w:val="en-US"/>
        </w:rPr>
        <w:t>Scope 3 - All other GHG emissions that occur outside the city boundary as a result of activities within the city’s boundary (</w:t>
      </w:r>
      <w:r w:rsidRPr="007D6892">
        <w:rPr>
          <w:i/>
          <w:lang w:val="en-US"/>
        </w:rPr>
        <w:t>indirect</w:t>
      </w:r>
      <w:r w:rsidRPr="007D6892">
        <w:rPr>
          <w:lang w:val="en-US"/>
        </w:rPr>
        <w:t xml:space="preserve"> emissions)</w:t>
      </w:r>
    </w:p>
    <w:p w14:paraId="424E8AD0" w14:textId="77777777" w:rsidR="007D6892" w:rsidRPr="007D6892" w:rsidRDefault="007D6892" w:rsidP="007D6892">
      <w:pPr>
        <w:rPr>
          <w:lang w:val="en-US"/>
        </w:rPr>
      </w:pPr>
    </w:p>
    <w:p w14:paraId="5A30241A" w14:textId="77777777" w:rsidR="007D6892" w:rsidRPr="007D6892" w:rsidRDefault="007D6892" w:rsidP="007D6892">
      <w:pPr>
        <w:rPr>
          <w:lang w:val="en-US"/>
        </w:rPr>
      </w:pPr>
      <w:r w:rsidRPr="007D6892">
        <w:rPr>
          <w:lang w:val="en-US"/>
        </w:rPr>
        <w:t>Unlike the GPC, the BEI/MEI does not utilize the scopes framework per se, but in a way assumes a similar approach by quantifying the following emissions that occur due to energy consumption in the territory of the city:</w:t>
      </w:r>
    </w:p>
    <w:p w14:paraId="03E5F1C9" w14:textId="77777777" w:rsidR="007D6892" w:rsidRPr="007D6892" w:rsidRDefault="007D6892" w:rsidP="007D6892">
      <w:pPr>
        <w:numPr>
          <w:ilvl w:val="0"/>
          <w:numId w:val="56"/>
        </w:numPr>
        <w:rPr>
          <w:lang w:val="en-US"/>
        </w:rPr>
      </w:pPr>
      <w:r w:rsidRPr="007D6892">
        <w:rPr>
          <w:lang w:val="en-US"/>
        </w:rPr>
        <w:t>Direct emissions due to fuel combustion in the territory in the buildings, equipment/facilities and transportation sectors (equal to scope 1)</w:t>
      </w:r>
    </w:p>
    <w:p w14:paraId="2779548F" w14:textId="77777777" w:rsidR="007D6892" w:rsidRPr="007D6892" w:rsidRDefault="007D6892" w:rsidP="007D6892">
      <w:pPr>
        <w:numPr>
          <w:ilvl w:val="0"/>
          <w:numId w:val="56"/>
        </w:numPr>
        <w:rPr>
          <w:lang w:val="en-US"/>
        </w:rPr>
      </w:pPr>
      <w:r w:rsidRPr="007D6892">
        <w:rPr>
          <w:lang w:val="en-US"/>
        </w:rPr>
        <w:t>(Indirect) emissions related to production of electricity, heat, or cold that are consumed in the territory (equal to scope 2)</w:t>
      </w:r>
    </w:p>
    <w:p w14:paraId="74ADAFB0" w14:textId="77777777" w:rsidR="007D6892" w:rsidRPr="007D6892" w:rsidRDefault="007D6892" w:rsidP="007D6892">
      <w:pPr>
        <w:numPr>
          <w:ilvl w:val="0"/>
          <w:numId w:val="56"/>
        </w:numPr>
        <w:rPr>
          <w:lang w:val="en-US"/>
        </w:rPr>
      </w:pPr>
      <w:r w:rsidRPr="007D6892">
        <w:rPr>
          <w:lang w:val="en-US"/>
        </w:rPr>
        <w:t xml:space="preserve">Other direct emissions that occur in the territory, depending on the choice of BEI sectors (equal to scope 1) </w:t>
      </w:r>
    </w:p>
    <w:p w14:paraId="4639E68D" w14:textId="77777777" w:rsidR="007D6892" w:rsidRPr="007D6892" w:rsidRDefault="007D6892" w:rsidP="007D6892">
      <w:pPr>
        <w:rPr>
          <w:lang w:val="en-US"/>
        </w:rPr>
      </w:pPr>
    </w:p>
    <w:p w14:paraId="364E938D" w14:textId="77777777" w:rsidR="007D6892" w:rsidRPr="007D6892" w:rsidRDefault="007D6892" w:rsidP="007D6892">
      <w:pPr>
        <w:rPr>
          <w:lang w:val="en-US"/>
        </w:rPr>
      </w:pPr>
      <w:r w:rsidRPr="007D6892">
        <w:rPr>
          <w:lang w:val="en-US"/>
        </w:rPr>
        <w:t xml:space="preserve">The scopes framework proves a useful concept in the urban context by differentiating between the different categories of GHG emission over which municipalities have varying degrees of influence and by helping avoid double counting of emissions (particularly those stemming from electricity and/or heat generation within the city boundaries). </w:t>
      </w:r>
    </w:p>
    <w:p w14:paraId="7F7F6A60" w14:textId="77777777" w:rsidR="007D6892" w:rsidRPr="007D6892" w:rsidRDefault="007D6892" w:rsidP="007D6892">
      <w:pPr>
        <w:rPr>
          <w:lang w:val="en-US"/>
        </w:rPr>
      </w:pPr>
    </w:p>
    <w:p w14:paraId="5620E321" w14:textId="77777777" w:rsidR="007D6892" w:rsidRPr="007D6892" w:rsidRDefault="007D6892" w:rsidP="007D6892">
      <w:pPr>
        <w:rPr>
          <w:i/>
          <w:lang w:val="en-US"/>
        </w:rPr>
      </w:pPr>
      <w:r w:rsidRPr="007D6892">
        <w:rPr>
          <w:i/>
          <w:lang w:val="en-US"/>
        </w:rPr>
        <w:t xml:space="preserve">GHG emission sectors </w:t>
      </w:r>
    </w:p>
    <w:p w14:paraId="59904C4A" w14:textId="77777777" w:rsidR="007D6892" w:rsidRPr="007D6892" w:rsidRDefault="007D6892" w:rsidP="007D6892">
      <w:pPr>
        <w:rPr>
          <w:lang w:val="en-US"/>
        </w:rPr>
      </w:pPr>
      <w:r w:rsidRPr="007D6892">
        <w:rPr>
          <w:lang w:val="en-US"/>
        </w:rPr>
        <w:t xml:space="preserve">Since the two protocol serve different purposes, their sectoral frameworks also differ in terms of the overall sectroral coverage and sub-sectoral distribution. </w:t>
      </w:r>
    </w:p>
    <w:p w14:paraId="0FCB999D" w14:textId="77777777" w:rsidR="007D6892" w:rsidRPr="007D6892" w:rsidRDefault="007D6892" w:rsidP="007D6892">
      <w:pPr>
        <w:rPr>
          <w:lang w:val="en-US"/>
        </w:rPr>
      </w:pPr>
    </w:p>
    <w:p w14:paraId="10D0D0A3" w14:textId="77777777" w:rsidR="007D6892" w:rsidRPr="007D6892" w:rsidRDefault="007D6892" w:rsidP="007D6892">
      <w:pPr>
        <w:rPr>
          <w:lang w:val="en-US"/>
        </w:rPr>
      </w:pPr>
      <w:r w:rsidRPr="007D6892">
        <w:rPr>
          <w:lang w:val="en-US"/>
        </w:rPr>
        <w:t>The GPC covers the following sectors:</w:t>
      </w:r>
    </w:p>
    <w:p w14:paraId="35E0C453" w14:textId="77777777" w:rsidR="007D6892" w:rsidRPr="007D6892" w:rsidRDefault="007D6892" w:rsidP="007D6892">
      <w:pPr>
        <w:rPr>
          <w:lang w:val="en-US"/>
        </w:rPr>
      </w:pPr>
    </w:p>
    <w:tbl>
      <w:tblPr>
        <w:tblW w:w="4586" w:type="pct"/>
        <w:tblLook w:val="0600" w:firstRow="0" w:lastRow="0" w:firstColumn="0" w:lastColumn="0" w:noHBand="1" w:noVBand="1"/>
      </w:tblPr>
      <w:tblGrid>
        <w:gridCol w:w="5288"/>
        <w:gridCol w:w="1015"/>
        <w:gridCol w:w="1379"/>
        <w:gridCol w:w="1101"/>
      </w:tblGrid>
      <w:tr w:rsidR="007D6892" w:rsidRPr="007D6892" w14:paraId="6217FE5B" w14:textId="77777777" w:rsidTr="00EF676B">
        <w:trPr>
          <w:trHeight w:val="20"/>
          <w:tblHeader/>
        </w:trPr>
        <w:tc>
          <w:tcPr>
            <w:tcW w:w="3010" w:type="pct"/>
            <w:hideMark/>
          </w:tcPr>
          <w:p w14:paraId="0AD86618" w14:textId="77777777" w:rsidR="007D6892" w:rsidRPr="007D6892" w:rsidRDefault="007D6892" w:rsidP="007D6892">
            <w:pPr>
              <w:rPr>
                <w:lang w:val="fi-FI"/>
              </w:rPr>
            </w:pPr>
            <w:r w:rsidRPr="007D6892">
              <w:rPr>
                <w:b/>
                <w:bCs/>
                <w:lang w:val="fi-FI"/>
              </w:rPr>
              <w:t>Sectors and subsectors</w:t>
            </w:r>
          </w:p>
        </w:tc>
        <w:tc>
          <w:tcPr>
            <w:tcW w:w="578" w:type="pct"/>
            <w:hideMark/>
          </w:tcPr>
          <w:p w14:paraId="2AD15434" w14:textId="77777777" w:rsidR="007D6892" w:rsidRPr="007D6892" w:rsidRDefault="007D6892" w:rsidP="007D6892">
            <w:pPr>
              <w:rPr>
                <w:lang w:val="fi-FI"/>
              </w:rPr>
            </w:pPr>
            <w:r w:rsidRPr="007D6892">
              <w:rPr>
                <w:b/>
                <w:bCs/>
                <w:lang w:val="fi-FI"/>
              </w:rPr>
              <w:t>Scope 1</w:t>
            </w:r>
          </w:p>
        </w:tc>
        <w:tc>
          <w:tcPr>
            <w:tcW w:w="785" w:type="pct"/>
            <w:hideMark/>
          </w:tcPr>
          <w:p w14:paraId="3B980C2F" w14:textId="77777777" w:rsidR="007D6892" w:rsidRPr="007D6892" w:rsidRDefault="007D6892" w:rsidP="007D6892">
            <w:pPr>
              <w:rPr>
                <w:lang w:val="fi-FI"/>
              </w:rPr>
            </w:pPr>
            <w:r w:rsidRPr="007D6892">
              <w:rPr>
                <w:b/>
                <w:bCs/>
                <w:lang w:val="fi-FI"/>
              </w:rPr>
              <w:t>Scope 2</w:t>
            </w:r>
          </w:p>
        </w:tc>
        <w:tc>
          <w:tcPr>
            <w:tcW w:w="627" w:type="pct"/>
            <w:hideMark/>
          </w:tcPr>
          <w:p w14:paraId="531830E1" w14:textId="77777777" w:rsidR="007D6892" w:rsidRPr="007D6892" w:rsidRDefault="007D6892" w:rsidP="007D6892">
            <w:pPr>
              <w:rPr>
                <w:lang w:val="fi-FI"/>
              </w:rPr>
            </w:pPr>
            <w:r w:rsidRPr="007D6892">
              <w:rPr>
                <w:b/>
                <w:bCs/>
                <w:lang w:val="fi-FI"/>
              </w:rPr>
              <w:t>Scope 3</w:t>
            </w:r>
          </w:p>
        </w:tc>
      </w:tr>
      <w:tr w:rsidR="007D6892" w:rsidRPr="007D6892" w14:paraId="4C28DE0B" w14:textId="77777777" w:rsidTr="00EF676B">
        <w:trPr>
          <w:trHeight w:val="20"/>
        </w:trPr>
        <w:tc>
          <w:tcPr>
            <w:tcW w:w="3010" w:type="pct"/>
            <w:hideMark/>
          </w:tcPr>
          <w:p w14:paraId="4D85C1FF" w14:textId="77777777" w:rsidR="007D6892" w:rsidRPr="007D6892" w:rsidRDefault="007D6892" w:rsidP="007D6892">
            <w:pPr>
              <w:rPr>
                <w:lang w:val="fi-FI"/>
              </w:rPr>
            </w:pPr>
            <w:r w:rsidRPr="007D6892">
              <w:rPr>
                <w:b/>
                <w:bCs/>
                <w:lang w:val="fi-FI"/>
              </w:rPr>
              <w:t>STATIONARY ENERGY</w:t>
            </w:r>
          </w:p>
        </w:tc>
        <w:tc>
          <w:tcPr>
            <w:tcW w:w="578" w:type="pct"/>
            <w:hideMark/>
          </w:tcPr>
          <w:p w14:paraId="1F7044C8" w14:textId="77777777" w:rsidR="007D6892" w:rsidRPr="007D6892" w:rsidRDefault="007D6892" w:rsidP="007D6892">
            <w:pPr>
              <w:rPr>
                <w:lang w:val="fi-FI"/>
              </w:rPr>
            </w:pPr>
          </w:p>
        </w:tc>
        <w:tc>
          <w:tcPr>
            <w:tcW w:w="785" w:type="pct"/>
            <w:hideMark/>
          </w:tcPr>
          <w:p w14:paraId="310B6AC6" w14:textId="77777777" w:rsidR="007D6892" w:rsidRPr="007D6892" w:rsidRDefault="007D6892" w:rsidP="007D6892">
            <w:pPr>
              <w:rPr>
                <w:lang w:val="fi-FI"/>
              </w:rPr>
            </w:pPr>
          </w:p>
        </w:tc>
        <w:tc>
          <w:tcPr>
            <w:tcW w:w="627" w:type="pct"/>
            <w:hideMark/>
          </w:tcPr>
          <w:p w14:paraId="1E0BF7A9" w14:textId="77777777" w:rsidR="007D6892" w:rsidRPr="007D6892" w:rsidRDefault="007D6892" w:rsidP="007D6892">
            <w:pPr>
              <w:rPr>
                <w:lang w:val="fi-FI"/>
              </w:rPr>
            </w:pPr>
          </w:p>
        </w:tc>
      </w:tr>
      <w:tr w:rsidR="007D6892" w:rsidRPr="007D6892" w14:paraId="083B7948" w14:textId="77777777" w:rsidTr="00EF676B">
        <w:trPr>
          <w:trHeight w:val="20"/>
        </w:trPr>
        <w:tc>
          <w:tcPr>
            <w:tcW w:w="3010" w:type="pct"/>
            <w:hideMark/>
          </w:tcPr>
          <w:p w14:paraId="56DB290E" w14:textId="77777777" w:rsidR="007D6892" w:rsidRPr="007D6892" w:rsidRDefault="007D6892" w:rsidP="007D6892">
            <w:pPr>
              <w:rPr>
                <w:lang w:val="fi-FI"/>
              </w:rPr>
            </w:pPr>
            <w:r w:rsidRPr="007D6892">
              <w:rPr>
                <w:lang w:val="fi-FI"/>
              </w:rPr>
              <w:t>Residential buildings</w:t>
            </w:r>
          </w:p>
        </w:tc>
        <w:tc>
          <w:tcPr>
            <w:tcW w:w="578" w:type="pct"/>
            <w:hideMark/>
          </w:tcPr>
          <w:p w14:paraId="30C2EEDB" w14:textId="77777777" w:rsidR="007D6892" w:rsidRPr="007D6892" w:rsidRDefault="007D6892" w:rsidP="007D6892">
            <w:pPr>
              <w:rPr>
                <w:bCs/>
                <w:lang w:val="fi-FI"/>
              </w:rPr>
            </w:pPr>
            <w:r w:rsidRPr="007D6892">
              <w:rPr>
                <w:bCs/>
                <w:lang w:val="fi-FI"/>
              </w:rPr>
              <w:t>x</w:t>
            </w:r>
          </w:p>
        </w:tc>
        <w:tc>
          <w:tcPr>
            <w:tcW w:w="785" w:type="pct"/>
            <w:hideMark/>
          </w:tcPr>
          <w:p w14:paraId="41520932" w14:textId="77777777" w:rsidR="007D6892" w:rsidRPr="007D6892" w:rsidRDefault="007D6892" w:rsidP="007D6892">
            <w:pPr>
              <w:rPr>
                <w:bCs/>
                <w:lang w:val="fi-FI"/>
              </w:rPr>
            </w:pPr>
            <w:r w:rsidRPr="007D6892">
              <w:rPr>
                <w:bCs/>
                <w:lang w:val="fi-FI"/>
              </w:rPr>
              <w:t>x</w:t>
            </w:r>
          </w:p>
        </w:tc>
        <w:tc>
          <w:tcPr>
            <w:tcW w:w="627" w:type="pct"/>
            <w:hideMark/>
          </w:tcPr>
          <w:p w14:paraId="0337A181" w14:textId="77777777" w:rsidR="007D6892" w:rsidRPr="007D6892" w:rsidRDefault="007D6892" w:rsidP="007D6892">
            <w:pPr>
              <w:rPr>
                <w:lang w:val="fi-FI"/>
              </w:rPr>
            </w:pPr>
            <w:r w:rsidRPr="007D6892">
              <w:rPr>
                <w:bCs/>
                <w:lang w:val="fi-FI"/>
              </w:rPr>
              <w:t>x</w:t>
            </w:r>
          </w:p>
        </w:tc>
      </w:tr>
      <w:tr w:rsidR="007D6892" w:rsidRPr="007D6892" w14:paraId="4B3ADD04" w14:textId="77777777" w:rsidTr="00EF676B">
        <w:trPr>
          <w:trHeight w:val="20"/>
        </w:trPr>
        <w:tc>
          <w:tcPr>
            <w:tcW w:w="3010" w:type="pct"/>
            <w:hideMark/>
          </w:tcPr>
          <w:p w14:paraId="6CA86119" w14:textId="77777777" w:rsidR="007D6892" w:rsidRPr="007D6892" w:rsidRDefault="007D6892" w:rsidP="007D6892">
            <w:pPr>
              <w:rPr>
                <w:lang w:val="fi-FI"/>
              </w:rPr>
            </w:pPr>
            <w:r w:rsidRPr="007D6892">
              <w:rPr>
                <w:lang w:val="fi-FI"/>
              </w:rPr>
              <w:t>Commercial buildings</w:t>
            </w:r>
          </w:p>
        </w:tc>
        <w:tc>
          <w:tcPr>
            <w:tcW w:w="578" w:type="pct"/>
            <w:hideMark/>
          </w:tcPr>
          <w:p w14:paraId="12A1F7C8" w14:textId="77777777" w:rsidR="007D6892" w:rsidRPr="007D6892" w:rsidRDefault="007D6892" w:rsidP="007D6892">
            <w:pPr>
              <w:rPr>
                <w:bCs/>
                <w:lang w:val="fi-FI"/>
              </w:rPr>
            </w:pPr>
            <w:r w:rsidRPr="007D6892">
              <w:rPr>
                <w:bCs/>
                <w:lang w:val="fi-FI"/>
              </w:rPr>
              <w:t>x</w:t>
            </w:r>
          </w:p>
        </w:tc>
        <w:tc>
          <w:tcPr>
            <w:tcW w:w="785" w:type="pct"/>
            <w:hideMark/>
          </w:tcPr>
          <w:p w14:paraId="6AAB7A03" w14:textId="77777777" w:rsidR="007D6892" w:rsidRPr="007D6892" w:rsidRDefault="007D6892" w:rsidP="007D6892">
            <w:pPr>
              <w:rPr>
                <w:bCs/>
                <w:lang w:val="fi-FI"/>
              </w:rPr>
            </w:pPr>
            <w:r w:rsidRPr="007D6892">
              <w:rPr>
                <w:bCs/>
                <w:lang w:val="fi-FI"/>
              </w:rPr>
              <w:t>x</w:t>
            </w:r>
          </w:p>
        </w:tc>
        <w:tc>
          <w:tcPr>
            <w:tcW w:w="627" w:type="pct"/>
            <w:hideMark/>
          </w:tcPr>
          <w:p w14:paraId="4F74B46F" w14:textId="77777777" w:rsidR="007D6892" w:rsidRPr="007D6892" w:rsidRDefault="007D6892" w:rsidP="007D6892">
            <w:pPr>
              <w:rPr>
                <w:lang w:val="fi-FI"/>
              </w:rPr>
            </w:pPr>
            <w:r w:rsidRPr="007D6892">
              <w:rPr>
                <w:bCs/>
                <w:lang w:val="fi-FI"/>
              </w:rPr>
              <w:t>x</w:t>
            </w:r>
          </w:p>
        </w:tc>
      </w:tr>
      <w:tr w:rsidR="007D6892" w:rsidRPr="007D6892" w14:paraId="654159E4" w14:textId="77777777" w:rsidTr="00EF676B">
        <w:trPr>
          <w:trHeight w:val="20"/>
        </w:trPr>
        <w:tc>
          <w:tcPr>
            <w:tcW w:w="3010" w:type="pct"/>
            <w:hideMark/>
          </w:tcPr>
          <w:p w14:paraId="2C3DC25D" w14:textId="77777777" w:rsidR="007D6892" w:rsidRPr="007D6892" w:rsidRDefault="007D6892" w:rsidP="007D6892">
            <w:pPr>
              <w:rPr>
                <w:lang w:val="fi-FI"/>
              </w:rPr>
            </w:pPr>
            <w:r w:rsidRPr="007D6892">
              <w:rPr>
                <w:lang w:val="fi-FI"/>
              </w:rPr>
              <w:t>Institutional buildings</w:t>
            </w:r>
          </w:p>
        </w:tc>
        <w:tc>
          <w:tcPr>
            <w:tcW w:w="578" w:type="pct"/>
            <w:hideMark/>
          </w:tcPr>
          <w:p w14:paraId="58563071" w14:textId="77777777" w:rsidR="007D6892" w:rsidRPr="007D6892" w:rsidRDefault="007D6892" w:rsidP="007D6892">
            <w:pPr>
              <w:rPr>
                <w:bCs/>
                <w:lang w:val="fi-FI"/>
              </w:rPr>
            </w:pPr>
            <w:r w:rsidRPr="007D6892">
              <w:rPr>
                <w:bCs/>
                <w:lang w:val="fi-FI"/>
              </w:rPr>
              <w:t>x</w:t>
            </w:r>
          </w:p>
        </w:tc>
        <w:tc>
          <w:tcPr>
            <w:tcW w:w="785" w:type="pct"/>
            <w:hideMark/>
          </w:tcPr>
          <w:p w14:paraId="7D8D43E7" w14:textId="77777777" w:rsidR="007D6892" w:rsidRPr="007D6892" w:rsidRDefault="007D6892" w:rsidP="007D6892">
            <w:pPr>
              <w:rPr>
                <w:bCs/>
                <w:lang w:val="fi-FI"/>
              </w:rPr>
            </w:pPr>
            <w:r w:rsidRPr="007D6892">
              <w:rPr>
                <w:bCs/>
                <w:lang w:val="fi-FI"/>
              </w:rPr>
              <w:t>x</w:t>
            </w:r>
          </w:p>
        </w:tc>
        <w:tc>
          <w:tcPr>
            <w:tcW w:w="627" w:type="pct"/>
            <w:hideMark/>
          </w:tcPr>
          <w:p w14:paraId="2F72E17E" w14:textId="77777777" w:rsidR="007D6892" w:rsidRPr="007D6892" w:rsidRDefault="007D6892" w:rsidP="007D6892">
            <w:pPr>
              <w:rPr>
                <w:lang w:val="fi-FI"/>
              </w:rPr>
            </w:pPr>
            <w:r w:rsidRPr="007D6892">
              <w:rPr>
                <w:bCs/>
                <w:lang w:val="fi-FI"/>
              </w:rPr>
              <w:t>x</w:t>
            </w:r>
          </w:p>
        </w:tc>
      </w:tr>
      <w:tr w:rsidR="007D6892" w:rsidRPr="007D6892" w14:paraId="137AC2CA" w14:textId="77777777" w:rsidTr="00EF676B">
        <w:trPr>
          <w:trHeight w:val="20"/>
        </w:trPr>
        <w:tc>
          <w:tcPr>
            <w:tcW w:w="3010" w:type="pct"/>
            <w:hideMark/>
          </w:tcPr>
          <w:p w14:paraId="172265BC" w14:textId="77777777" w:rsidR="007D6892" w:rsidRPr="007D6892" w:rsidRDefault="007D6892" w:rsidP="007D6892">
            <w:pPr>
              <w:rPr>
                <w:lang w:val="fi-FI"/>
              </w:rPr>
            </w:pPr>
            <w:r w:rsidRPr="007D6892">
              <w:rPr>
                <w:lang w:val="fi-FI"/>
              </w:rPr>
              <w:t>Manufacturing industries and construction</w:t>
            </w:r>
          </w:p>
        </w:tc>
        <w:tc>
          <w:tcPr>
            <w:tcW w:w="578" w:type="pct"/>
            <w:hideMark/>
          </w:tcPr>
          <w:p w14:paraId="1DA591F9" w14:textId="77777777" w:rsidR="007D6892" w:rsidRPr="007D6892" w:rsidRDefault="007D6892" w:rsidP="007D6892">
            <w:pPr>
              <w:rPr>
                <w:bCs/>
                <w:lang w:val="fi-FI"/>
              </w:rPr>
            </w:pPr>
            <w:r w:rsidRPr="007D6892">
              <w:rPr>
                <w:bCs/>
                <w:lang w:val="fi-FI"/>
              </w:rPr>
              <w:t>x</w:t>
            </w:r>
          </w:p>
        </w:tc>
        <w:tc>
          <w:tcPr>
            <w:tcW w:w="785" w:type="pct"/>
            <w:hideMark/>
          </w:tcPr>
          <w:p w14:paraId="73DDCB88" w14:textId="77777777" w:rsidR="007D6892" w:rsidRPr="007D6892" w:rsidRDefault="007D6892" w:rsidP="007D6892">
            <w:pPr>
              <w:rPr>
                <w:bCs/>
                <w:lang w:val="fi-FI"/>
              </w:rPr>
            </w:pPr>
            <w:r w:rsidRPr="007D6892">
              <w:rPr>
                <w:bCs/>
                <w:lang w:val="fi-FI"/>
              </w:rPr>
              <w:t>x</w:t>
            </w:r>
          </w:p>
        </w:tc>
        <w:tc>
          <w:tcPr>
            <w:tcW w:w="627" w:type="pct"/>
            <w:hideMark/>
          </w:tcPr>
          <w:p w14:paraId="1ED60496" w14:textId="77777777" w:rsidR="007D6892" w:rsidRPr="007D6892" w:rsidRDefault="007D6892" w:rsidP="007D6892">
            <w:pPr>
              <w:rPr>
                <w:lang w:val="fi-FI"/>
              </w:rPr>
            </w:pPr>
            <w:r w:rsidRPr="007D6892">
              <w:rPr>
                <w:bCs/>
                <w:lang w:val="fi-FI"/>
              </w:rPr>
              <w:t>x</w:t>
            </w:r>
          </w:p>
        </w:tc>
      </w:tr>
      <w:tr w:rsidR="007D6892" w:rsidRPr="007D6892" w14:paraId="625C809E" w14:textId="77777777" w:rsidTr="00EF676B">
        <w:trPr>
          <w:trHeight w:val="20"/>
        </w:trPr>
        <w:tc>
          <w:tcPr>
            <w:tcW w:w="3010" w:type="pct"/>
          </w:tcPr>
          <w:p w14:paraId="678F801E" w14:textId="77777777" w:rsidR="007D6892" w:rsidRPr="007D6892" w:rsidRDefault="007D6892" w:rsidP="007D6892">
            <w:pPr>
              <w:rPr>
                <w:lang w:val="fi-FI"/>
              </w:rPr>
            </w:pPr>
            <w:r w:rsidRPr="007D6892">
              <w:rPr>
                <w:lang w:val="fi-FI"/>
              </w:rPr>
              <w:t>Energy industries</w:t>
            </w:r>
          </w:p>
        </w:tc>
        <w:tc>
          <w:tcPr>
            <w:tcW w:w="578" w:type="pct"/>
          </w:tcPr>
          <w:p w14:paraId="0732FCB5" w14:textId="77777777" w:rsidR="007D6892" w:rsidRPr="007D6892" w:rsidRDefault="007D6892" w:rsidP="007D6892">
            <w:pPr>
              <w:rPr>
                <w:bCs/>
                <w:lang w:val="fi-FI"/>
              </w:rPr>
            </w:pPr>
            <w:r w:rsidRPr="007D6892">
              <w:rPr>
                <w:bCs/>
                <w:lang w:val="fi-FI"/>
              </w:rPr>
              <w:t>x</w:t>
            </w:r>
          </w:p>
        </w:tc>
        <w:tc>
          <w:tcPr>
            <w:tcW w:w="785" w:type="pct"/>
          </w:tcPr>
          <w:p w14:paraId="4A155E41" w14:textId="77777777" w:rsidR="007D6892" w:rsidRPr="007D6892" w:rsidRDefault="007D6892" w:rsidP="007D6892">
            <w:pPr>
              <w:rPr>
                <w:bCs/>
                <w:lang w:val="fi-FI"/>
              </w:rPr>
            </w:pPr>
            <w:r w:rsidRPr="007D6892">
              <w:rPr>
                <w:bCs/>
                <w:lang w:val="fi-FI"/>
              </w:rPr>
              <w:t>x</w:t>
            </w:r>
          </w:p>
        </w:tc>
        <w:tc>
          <w:tcPr>
            <w:tcW w:w="627" w:type="pct"/>
          </w:tcPr>
          <w:p w14:paraId="30CDCDCA" w14:textId="77777777" w:rsidR="007D6892" w:rsidRPr="007D6892" w:rsidRDefault="007D6892" w:rsidP="007D6892">
            <w:pPr>
              <w:rPr>
                <w:lang w:val="fi-FI"/>
              </w:rPr>
            </w:pPr>
            <w:r w:rsidRPr="007D6892">
              <w:rPr>
                <w:bCs/>
                <w:lang w:val="fi-FI"/>
              </w:rPr>
              <w:t>x</w:t>
            </w:r>
          </w:p>
        </w:tc>
      </w:tr>
      <w:tr w:rsidR="007D6892" w:rsidRPr="007D6892" w14:paraId="46CB4A1E" w14:textId="77777777" w:rsidTr="00EF676B">
        <w:trPr>
          <w:trHeight w:val="20"/>
        </w:trPr>
        <w:tc>
          <w:tcPr>
            <w:tcW w:w="3010" w:type="pct"/>
          </w:tcPr>
          <w:p w14:paraId="11BF1D1F" w14:textId="77777777" w:rsidR="007D6892" w:rsidRPr="007D6892" w:rsidRDefault="007D6892" w:rsidP="007D6892">
            <w:pPr>
              <w:rPr>
                <w:lang w:val="fi-FI"/>
              </w:rPr>
            </w:pPr>
            <w:r w:rsidRPr="007D6892">
              <w:rPr>
                <w:lang w:val="fi-FI"/>
              </w:rPr>
              <w:t xml:space="preserve">Agriculture, forestry, and fishing activities </w:t>
            </w:r>
          </w:p>
        </w:tc>
        <w:tc>
          <w:tcPr>
            <w:tcW w:w="578" w:type="pct"/>
          </w:tcPr>
          <w:p w14:paraId="6BCCDB11" w14:textId="77777777" w:rsidR="007D6892" w:rsidRPr="007D6892" w:rsidRDefault="007D6892" w:rsidP="007D6892">
            <w:pPr>
              <w:rPr>
                <w:bCs/>
                <w:lang w:val="fi-FI"/>
              </w:rPr>
            </w:pPr>
            <w:r w:rsidRPr="007D6892">
              <w:rPr>
                <w:bCs/>
                <w:lang w:val="fi-FI"/>
              </w:rPr>
              <w:t>x</w:t>
            </w:r>
          </w:p>
        </w:tc>
        <w:tc>
          <w:tcPr>
            <w:tcW w:w="785" w:type="pct"/>
          </w:tcPr>
          <w:p w14:paraId="2CFD0CD8" w14:textId="77777777" w:rsidR="007D6892" w:rsidRPr="007D6892" w:rsidRDefault="007D6892" w:rsidP="007D6892">
            <w:pPr>
              <w:rPr>
                <w:bCs/>
                <w:lang w:val="fi-FI"/>
              </w:rPr>
            </w:pPr>
            <w:r w:rsidRPr="007D6892">
              <w:rPr>
                <w:bCs/>
                <w:lang w:val="fi-FI"/>
              </w:rPr>
              <w:t>x</w:t>
            </w:r>
          </w:p>
        </w:tc>
        <w:tc>
          <w:tcPr>
            <w:tcW w:w="627" w:type="pct"/>
          </w:tcPr>
          <w:p w14:paraId="02E28314" w14:textId="77777777" w:rsidR="007D6892" w:rsidRPr="007D6892" w:rsidRDefault="007D6892" w:rsidP="007D6892">
            <w:pPr>
              <w:rPr>
                <w:lang w:val="fi-FI"/>
              </w:rPr>
            </w:pPr>
            <w:r w:rsidRPr="007D6892">
              <w:rPr>
                <w:bCs/>
                <w:lang w:val="fi-FI"/>
              </w:rPr>
              <w:t>x</w:t>
            </w:r>
          </w:p>
        </w:tc>
      </w:tr>
      <w:tr w:rsidR="007D6892" w:rsidRPr="007D6892" w14:paraId="5BA4A893" w14:textId="77777777" w:rsidTr="00EF676B">
        <w:trPr>
          <w:trHeight w:val="20"/>
        </w:trPr>
        <w:tc>
          <w:tcPr>
            <w:tcW w:w="3010" w:type="pct"/>
            <w:hideMark/>
          </w:tcPr>
          <w:p w14:paraId="7FE72F0C" w14:textId="77777777" w:rsidR="007D6892" w:rsidRPr="007D6892" w:rsidRDefault="007D6892" w:rsidP="007D6892">
            <w:pPr>
              <w:rPr>
                <w:lang w:val="fi-FI"/>
              </w:rPr>
            </w:pPr>
            <w:r w:rsidRPr="007D6892">
              <w:rPr>
                <w:lang w:val="fi-FI"/>
              </w:rPr>
              <w:t>Non-specified sources</w:t>
            </w:r>
          </w:p>
        </w:tc>
        <w:tc>
          <w:tcPr>
            <w:tcW w:w="578" w:type="pct"/>
            <w:hideMark/>
          </w:tcPr>
          <w:p w14:paraId="6304E182" w14:textId="77777777" w:rsidR="007D6892" w:rsidRPr="007D6892" w:rsidRDefault="007D6892" w:rsidP="007D6892">
            <w:pPr>
              <w:rPr>
                <w:bCs/>
                <w:lang w:val="fi-FI"/>
              </w:rPr>
            </w:pPr>
            <w:r w:rsidRPr="007D6892">
              <w:rPr>
                <w:bCs/>
                <w:lang w:val="fi-FI"/>
              </w:rPr>
              <w:t>x</w:t>
            </w:r>
          </w:p>
        </w:tc>
        <w:tc>
          <w:tcPr>
            <w:tcW w:w="785" w:type="pct"/>
            <w:hideMark/>
          </w:tcPr>
          <w:p w14:paraId="4D4C25B2" w14:textId="77777777" w:rsidR="007D6892" w:rsidRPr="007D6892" w:rsidRDefault="007D6892" w:rsidP="007D6892">
            <w:pPr>
              <w:rPr>
                <w:bCs/>
                <w:lang w:val="fi-FI"/>
              </w:rPr>
            </w:pPr>
            <w:r w:rsidRPr="007D6892">
              <w:rPr>
                <w:bCs/>
                <w:lang w:val="fi-FI"/>
              </w:rPr>
              <w:t>x</w:t>
            </w:r>
          </w:p>
        </w:tc>
        <w:tc>
          <w:tcPr>
            <w:tcW w:w="627" w:type="pct"/>
            <w:hideMark/>
          </w:tcPr>
          <w:p w14:paraId="7D4F05F6" w14:textId="77777777" w:rsidR="007D6892" w:rsidRPr="007D6892" w:rsidRDefault="007D6892" w:rsidP="007D6892">
            <w:pPr>
              <w:rPr>
                <w:lang w:val="fi-FI"/>
              </w:rPr>
            </w:pPr>
            <w:r w:rsidRPr="007D6892">
              <w:rPr>
                <w:bCs/>
                <w:lang w:val="fi-FI"/>
              </w:rPr>
              <w:t>x</w:t>
            </w:r>
          </w:p>
        </w:tc>
      </w:tr>
      <w:tr w:rsidR="007D6892" w:rsidRPr="007D6892" w14:paraId="44ECD007" w14:textId="77777777" w:rsidTr="00EF676B">
        <w:trPr>
          <w:trHeight w:val="20"/>
        </w:trPr>
        <w:tc>
          <w:tcPr>
            <w:tcW w:w="3010" w:type="pct"/>
          </w:tcPr>
          <w:p w14:paraId="56E3F321" w14:textId="77777777" w:rsidR="007D6892" w:rsidRPr="007D6892" w:rsidRDefault="007D6892" w:rsidP="007D6892">
            <w:pPr>
              <w:rPr>
                <w:lang w:val="fi-FI"/>
              </w:rPr>
            </w:pPr>
            <w:r w:rsidRPr="007D6892">
              <w:rPr>
                <w:lang w:val="fi-FI"/>
              </w:rPr>
              <w:t>Fugitive emissions from mining, processing, storage, and transportation of coal</w:t>
            </w:r>
          </w:p>
        </w:tc>
        <w:tc>
          <w:tcPr>
            <w:tcW w:w="578" w:type="pct"/>
          </w:tcPr>
          <w:p w14:paraId="01F33021" w14:textId="77777777" w:rsidR="007D6892" w:rsidRPr="007D6892" w:rsidRDefault="007D6892" w:rsidP="007D6892">
            <w:pPr>
              <w:rPr>
                <w:bCs/>
                <w:lang w:val="fi-FI"/>
              </w:rPr>
            </w:pPr>
            <w:r w:rsidRPr="007D6892">
              <w:rPr>
                <w:bCs/>
                <w:lang w:val="fi-FI"/>
              </w:rPr>
              <w:t>x</w:t>
            </w:r>
          </w:p>
        </w:tc>
        <w:tc>
          <w:tcPr>
            <w:tcW w:w="785" w:type="pct"/>
          </w:tcPr>
          <w:p w14:paraId="698A0E1E" w14:textId="77777777" w:rsidR="007D6892" w:rsidRPr="007D6892" w:rsidRDefault="007D6892" w:rsidP="007D6892">
            <w:pPr>
              <w:rPr>
                <w:bCs/>
                <w:lang w:val="fi-FI"/>
              </w:rPr>
            </w:pPr>
          </w:p>
        </w:tc>
        <w:tc>
          <w:tcPr>
            <w:tcW w:w="627" w:type="pct"/>
          </w:tcPr>
          <w:p w14:paraId="704C9493" w14:textId="77777777" w:rsidR="007D6892" w:rsidRPr="007D6892" w:rsidRDefault="007D6892" w:rsidP="007D6892">
            <w:pPr>
              <w:rPr>
                <w:bCs/>
                <w:lang w:val="fi-FI"/>
              </w:rPr>
            </w:pPr>
          </w:p>
        </w:tc>
      </w:tr>
      <w:tr w:rsidR="007D6892" w:rsidRPr="007D6892" w14:paraId="0005B2FC" w14:textId="77777777" w:rsidTr="00EF676B">
        <w:trPr>
          <w:trHeight w:val="20"/>
        </w:trPr>
        <w:tc>
          <w:tcPr>
            <w:tcW w:w="3010" w:type="pct"/>
          </w:tcPr>
          <w:p w14:paraId="4BF5635A" w14:textId="77777777" w:rsidR="007D6892" w:rsidRPr="007D6892" w:rsidRDefault="007D6892" w:rsidP="007D6892">
            <w:pPr>
              <w:rPr>
                <w:lang w:val="fi-FI"/>
              </w:rPr>
            </w:pPr>
            <w:r w:rsidRPr="007D6892">
              <w:rPr>
                <w:lang w:val="fi-FI"/>
              </w:rPr>
              <w:t>Fugitive emissions from oil and natural gas systems</w:t>
            </w:r>
          </w:p>
        </w:tc>
        <w:tc>
          <w:tcPr>
            <w:tcW w:w="578" w:type="pct"/>
          </w:tcPr>
          <w:p w14:paraId="1FF14020" w14:textId="77777777" w:rsidR="007D6892" w:rsidRPr="007D6892" w:rsidRDefault="007D6892" w:rsidP="007D6892">
            <w:pPr>
              <w:rPr>
                <w:bCs/>
                <w:lang w:val="fi-FI"/>
              </w:rPr>
            </w:pPr>
            <w:r w:rsidRPr="007D6892">
              <w:rPr>
                <w:bCs/>
                <w:lang w:val="fi-FI"/>
              </w:rPr>
              <w:t>x</w:t>
            </w:r>
          </w:p>
        </w:tc>
        <w:tc>
          <w:tcPr>
            <w:tcW w:w="785" w:type="pct"/>
          </w:tcPr>
          <w:p w14:paraId="0535C998" w14:textId="77777777" w:rsidR="007D6892" w:rsidRPr="007D6892" w:rsidRDefault="007D6892" w:rsidP="007D6892">
            <w:pPr>
              <w:rPr>
                <w:bCs/>
                <w:lang w:val="fi-FI"/>
              </w:rPr>
            </w:pPr>
          </w:p>
        </w:tc>
        <w:tc>
          <w:tcPr>
            <w:tcW w:w="627" w:type="pct"/>
          </w:tcPr>
          <w:p w14:paraId="7B838802" w14:textId="77777777" w:rsidR="007D6892" w:rsidRPr="007D6892" w:rsidRDefault="007D6892" w:rsidP="007D6892">
            <w:pPr>
              <w:rPr>
                <w:bCs/>
                <w:lang w:val="fi-FI"/>
              </w:rPr>
            </w:pPr>
          </w:p>
        </w:tc>
      </w:tr>
      <w:tr w:rsidR="007D6892" w:rsidRPr="007D6892" w14:paraId="6A217086" w14:textId="77777777" w:rsidTr="00EF676B">
        <w:trPr>
          <w:trHeight w:val="20"/>
        </w:trPr>
        <w:tc>
          <w:tcPr>
            <w:tcW w:w="3010" w:type="pct"/>
            <w:hideMark/>
          </w:tcPr>
          <w:p w14:paraId="75B02391" w14:textId="77777777" w:rsidR="007D6892" w:rsidRPr="007D6892" w:rsidRDefault="007D6892" w:rsidP="007D6892">
            <w:pPr>
              <w:rPr>
                <w:lang w:val="fi-FI"/>
              </w:rPr>
            </w:pPr>
            <w:r w:rsidRPr="007D6892">
              <w:rPr>
                <w:b/>
                <w:bCs/>
                <w:lang w:val="fi-FI"/>
              </w:rPr>
              <w:t>TRANSPORTATION</w:t>
            </w:r>
          </w:p>
        </w:tc>
        <w:tc>
          <w:tcPr>
            <w:tcW w:w="578" w:type="pct"/>
            <w:hideMark/>
          </w:tcPr>
          <w:p w14:paraId="01517076" w14:textId="77777777" w:rsidR="007D6892" w:rsidRPr="007D6892" w:rsidRDefault="007D6892" w:rsidP="007D6892">
            <w:pPr>
              <w:rPr>
                <w:lang w:val="fi-FI"/>
              </w:rPr>
            </w:pPr>
          </w:p>
        </w:tc>
        <w:tc>
          <w:tcPr>
            <w:tcW w:w="785" w:type="pct"/>
            <w:hideMark/>
          </w:tcPr>
          <w:p w14:paraId="2C5406A8" w14:textId="77777777" w:rsidR="007D6892" w:rsidRPr="007D6892" w:rsidRDefault="007D6892" w:rsidP="007D6892">
            <w:pPr>
              <w:rPr>
                <w:lang w:val="fi-FI"/>
              </w:rPr>
            </w:pPr>
          </w:p>
        </w:tc>
        <w:tc>
          <w:tcPr>
            <w:tcW w:w="627" w:type="pct"/>
            <w:hideMark/>
          </w:tcPr>
          <w:p w14:paraId="2E901FD1" w14:textId="77777777" w:rsidR="007D6892" w:rsidRPr="007D6892" w:rsidRDefault="007D6892" w:rsidP="007D6892">
            <w:pPr>
              <w:rPr>
                <w:lang w:val="fi-FI"/>
              </w:rPr>
            </w:pPr>
          </w:p>
        </w:tc>
      </w:tr>
      <w:tr w:rsidR="007D6892" w:rsidRPr="007D6892" w14:paraId="1FE8BCDD" w14:textId="77777777" w:rsidTr="00EF676B">
        <w:trPr>
          <w:trHeight w:val="20"/>
        </w:trPr>
        <w:tc>
          <w:tcPr>
            <w:tcW w:w="3010" w:type="pct"/>
            <w:hideMark/>
          </w:tcPr>
          <w:p w14:paraId="1FE6B3D7" w14:textId="77777777" w:rsidR="007D6892" w:rsidRPr="007D6892" w:rsidRDefault="007D6892" w:rsidP="007D6892">
            <w:pPr>
              <w:rPr>
                <w:lang w:val="fi-FI"/>
              </w:rPr>
            </w:pPr>
            <w:r w:rsidRPr="007D6892">
              <w:rPr>
                <w:lang w:val="fi-FI"/>
              </w:rPr>
              <w:t xml:space="preserve">On-road (further subdivded into taxi, bus, private car, hybrid/electric car, truck, motorcycle) </w:t>
            </w:r>
          </w:p>
        </w:tc>
        <w:tc>
          <w:tcPr>
            <w:tcW w:w="578" w:type="pct"/>
            <w:hideMark/>
          </w:tcPr>
          <w:p w14:paraId="708DF13B" w14:textId="77777777" w:rsidR="007D6892" w:rsidRPr="007D6892" w:rsidRDefault="007D6892" w:rsidP="007D6892">
            <w:pPr>
              <w:rPr>
                <w:lang w:val="fi-FI"/>
              </w:rPr>
            </w:pPr>
            <w:r w:rsidRPr="007D6892">
              <w:rPr>
                <w:bCs/>
                <w:lang w:val="fi-FI"/>
              </w:rPr>
              <w:t>x</w:t>
            </w:r>
          </w:p>
        </w:tc>
        <w:tc>
          <w:tcPr>
            <w:tcW w:w="785" w:type="pct"/>
            <w:hideMark/>
          </w:tcPr>
          <w:p w14:paraId="106C5222" w14:textId="77777777" w:rsidR="007D6892" w:rsidRPr="007D6892" w:rsidRDefault="007D6892" w:rsidP="007D6892">
            <w:pPr>
              <w:rPr>
                <w:lang w:val="fi-FI"/>
              </w:rPr>
            </w:pPr>
            <w:r w:rsidRPr="007D6892">
              <w:rPr>
                <w:bCs/>
                <w:lang w:val="fi-FI"/>
              </w:rPr>
              <w:t>x</w:t>
            </w:r>
          </w:p>
        </w:tc>
        <w:tc>
          <w:tcPr>
            <w:tcW w:w="627" w:type="pct"/>
            <w:hideMark/>
          </w:tcPr>
          <w:p w14:paraId="269792D5" w14:textId="77777777" w:rsidR="007D6892" w:rsidRPr="007D6892" w:rsidRDefault="007D6892" w:rsidP="007D6892">
            <w:pPr>
              <w:rPr>
                <w:lang w:val="fi-FI"/>
              </w:rPr>
            </w:pPr>
            <w:r w:rsidRPr="007D6892">
              <w:rPr>
                <w:bCs/>
                <w:lang w:val="fi-FI"/>
              </w:rPr>
              <w:t>x</w:t>
            </w:r>
          </w:p>
        </w:tc>
      </w:tr>
      <w:tr w:rsidR="007D6892" w:rsidRPr="007D6892" w14:paraId="2645C3A5" w14:textId="77777777" w:rsidTr="00EF676B">
        <w:trPr>
          <w:trHeight w:val="20"/>
        </w:trPr>
        <w:tc>
          <w:tcPr>
            <w:tcW w:w="3010" w:type="pct"/>
            <w:hideMark/>
          </w:tcPr>
          <w:p w14:paraId="3EA228B3" w14:textId="77777777" w:rsidR="007D6892" w:rsidRPr="007D6892" w:rsidRDefault="007D6892" w:rsidP="007D6892">
            <w:pPr>
              <w:rPr>
                <w:lang w:val="fi-FI"/>
              </w:rPr>
            </w:pPr>
            <w:r w:rsidRPr="007D6892">
              <w:rPr>
                <w:lang w:val="fi-FI"/>
              </w:rPr>
              <w:t>Railways  (further subdivided into tram, urban train/subway, regional trail, national rail, internatioal rail)</w:t>
            </w:r>
          </w:p>
        </w:tc>
        <w:tc>
          <w:tcPr>
            <w:tcW w:w="578" w:type="pct"/>
            <w:hideMark/>
          </w:tcPr>
          <w:p w14:paraId="6E0040A1" w14:textId="77777777" w:rsidR="007D6892" w:rsidRPr="007D6892" w:rsidRDefault="007D6892" w:rsidP="007D6892">
            <w:pPr>
              <w:rPr>
                <w:lang w:val="fi-FI"/>
              </w:rPr>
            </w:pPr>
            <w:r w:rsidRPr="007D6892">
              <w:rPr>
                <w:bCs/>
                <w:lang w:val="fi-FI"/>
              </w:rPr>
              <w:t>x</w:t>
            </w:r>
          </w:p>
        </w:tc>
        <w:tc>
          <w:tcPr>
            <w:tcW w:w="785" w:type="pct"/>
            <w:hideMark/>
          </w:tcPr>
          <w:p w14:paraId="1ABC4605" w14:textId="77777777" w:rsidR="007D6892" w:rsidRPr="007D6892" w:rsidRDefault="007D6892" w:rsidP="007D6892">
            <w:pPr>
              <w:rPr>
                <w:lang w:val="fi-FI"/>
              </w:rPr>
            </w:pPr>
            <w:r w:rsidRPr="007D6892">
              <w:rPr>
                <w:bCs/>
                <w:lang w:val="fi-FI"/>
              </w:rPr>
              <w:t>x</w:t>
            </w:r>
          </w:p>
        </w:tc>
        <w:tc>
          <w:tcPr>
            <w:tcW w:w="627" w:type="pct"/>
            <w:hideMark/>
          </w:tcPr>
          <w:p w14:paraId="43D6E616" w14:textId="77777777" w:rsidR="007D6892" w:rsidRPr="007D6892" w:rsidRDefault="007D6892" w:rsidP="007D6892">
            <w:pPr>
              <w:rPr>
                <w:lang w:val="fi-FI"/>
              </w:rPr>
            </w:pPr>
            <w:r w:rsidRPr="007D6892">
              <w:rPr>
                <w:bCs/>
                <w:lang w:val="fi-FI"/>
              </w:rPr>
              <w:t>x</w:t>
            </w:r>
          </w:p>
        </w:tc>
      </w:tr>
      <w:tr w:rsidR="007D6892" w:rsidRPr="007D6892" w14:paraId="78030274" w14:textId="77777777" w:rsidTr="00EF676B">
        <w:trPr>
          <w:trHeight w:val="20"/>
        </w:trPr>
        <w:tc>
          <w:tcPr>
            <w:tcW w:w="3010" w:type="pct"/>
            <w:hideMark/>
          </w:tcPr>
          <w:p w14:paraId="5D6F48C3" w14:textId="77777777" w:rsidR="007D6892" w:rsidRPr="007D6892" w:rsidRDefault="007D6892" w:rsidP="007D6892">
            <w:pPr>
              <w:rPr>
                <w:lang w:val="fi-FI"/>
              </w:rPr>
            </w:pPr>
            <w:r w:rsidRPr="007D6892">
              <w:rPr>
                <w:lang w:val="fi-FI"/>
              </w:rPr>
              <w:t>Waterborne navigation</w:t>
            </w:r>
          </w:p>
        </w:tc>
        <w:tc>
          <w:tcPr>
            <w:tcW w:w="578" w:type="pct"/>
            <w:hideMark/>
          </w:tcPr>
          <w:p w14:paraId="1147470C" w14:textId="77777777" w:rsidR="007D6892" w:rsidRPr="007D6892" w:rsidRDefault="007D6892" w:rsidP="007D6892">
            <w:pPr>
              <w:rPr>
                <w:lang w:val="fi-FI"/>
              </w:rPr>
            </w:pPr>
            <w:r w:rsidRPr="007D6892">
              <w:rPr>
                <w:bCs/>
                <w:lang w:val="fi-FI"/>
              </w:rPr>
              <w:t>x</w:t>
            </w:r>
          </w:p>
        </w:tc>
        <w:tc>
          <w:tcPr>
            <w:tcW w:w="785" w:type="pct"/>
            <w:hideMark/>
          </w:tcPr>
          <w:p w14:paraId="767D418A" w14:textId="77777777" w:rsidR="007D6892" w:rsidRPr="007D6892" w:rsidRDefault="007D6892" w:rsidP="007D6892">
            <w:pPr>
              <w:rPr>
                <w:lang w:val="fi-FI"/>
              </w:rPr>
            </w:pPr>
            <w:r w:rsidRPr="007D6892">
              <w:rPr>
                <w:bCs/>
                <w:lang w:val="fi-FI"/>
              </w:rPr>
              <w:t>x</w:t>
            </w:r>
          </w:p>
        </w:tc>
        <w:tc>
          <w:tcPr>
            <w:tcW w:w="627" w:type="pct"/>
            <w:hideMark/>
          </w:tcPr>
          <w:p w14:paraId="3E485573" w14:textId="77777777" w:rsidR="007D6892" w:rsidRPr="007D6892" w:rsidRDefault="007D6892" w:rsidP="007D6892">
            <w:pPr>
              <w:rPr>
                <w:lang w:val="fi-FI"/>
              </w:rPr>
            </w:pPr>
            <w:r w:rsidRPr="007D6892">
              <w:rPr>
                <w:bCs/>
                <w:lang w:val="fi-FI"/>
              </w:rPr>
              <w:t>x</w:t>
            </w:r>
          </w:p>
        </w:tc>
      </w:tr>
      <w:tr w:rsidR="007D6892" w:rsidRPr="007D6892" w14:paraId="11B79880" w14:textId="77777777" w:rsidTr="00EF676B">
        <w:trPr>
          <w:trHeight w:val="20"/>
        </w:trPr>
        <w:tc>
          <w:tcPr>
            <w:tcW w:w="3010" w:type="pct"/>
            <w:hideMark/>
          </w:tcPr>
          <w:p w14:paraId="268208A3" w14:textId="77777777" w:rsidR="007D6892" w:rsidRPr="007D6892" w:rsidRDefault="007D6892" w:rsidP="007D6892">
            <w:pPr>
              <w:rPr>
                <w:lang w:val="fi-FI"/>
              </w:rPr>
            </w:pPr>
            <w:r w:rsidRPr="007D6892">
              <w:rPr>
                <w:lang w:val="fi-FI"/>
              </w:rPr>
              <w:t>Aviation</w:t>
            </w:r>
          </w:p>
        </w:tc>
        <w:tc>
          <w:tcPr>
            <w:tcW w:w="578" w:type="pct"/>
            <w:hideMark/>
          </w:tcPr>
          <w:p w14:paraId="65922FA7" w14:textId="77777777" w:rsidR="007D6892" w:rsidRPr="007D6892" w:rsidRDefault="007D6892" w:rsidP="007D6892">
            <w:pPr>
              <w:rPr>
                <w:lang w:val="fi-FI"/>
              </w:rPr>
            </w:pPr>
            <w:r w:rsidRPr="007D6892">
              <w:rPr>
                <w:bCs/>
                <w:lang w:val="fi-FI"/>
              </w:rPr>
              <w:t>x</w:t>
            </w:r>
          </w:p>
        </w:tc>
        <w:tc>
          <w:tcPr>
            <w:tcW w:w="785" w:type="pct"/>
            <w:hideMark/>
          </w:tcPr>
          <w:p w14:paraId="343AFCB9" w14:textId="77777777" w:rsidR="007D6892" w:rsidRPr="007D6892" w:rsidRDefault="007D6892" w:rsidP="007D6892">
            <w:pPr>
              <w:rPr>
                <w:lang w:val="fi-FI"/>
              </w:rPr>
            </w:pPr>
            <w:r w:rsidRPr="007D6892">
              <w:rPr>
                <w:lang w:val="fi-FI"/>
              </w:rPr>
              <w:t>x</w:t>
            </w:r>
          </w:p>
        </w:tc>
        <w:tc>
          <w:tcPr>
            <w:tcW w:w="627" w:type="pct"/>
            <w:hideMark/>
          </w:tcPr>
          <w:p w14:paraId="55FE23FE" w14:textId="77777777" w:rsidR="007D6892" w:rsidRPr="007D6892" w:rsidRDefault="007D6892" w:rsidP="007D6892">
            <w:pPr>
              <w:rPr>
                <w:lang w:val="fi-FI"/>
              </w:rPr>
            </w:pPr>
            <w:r w:rsidRPr="007D6892">
              <w:rPr>
                <w:bCs/>
                <w:lang w:val="fi-FI"/>
              </w:rPr>
              <w:t>x</w:t>
            </w:r>
          </w:p>
        </w:tc>
      </w:tr>
      <w:tr w:rsidR="007D6892" w:rsidRPr="007D6892" w14:paraId="77735A9C" w14:textId="77777777" w:rsidTr="00EF676B">
        <w:trPr>
          <w:trHeight w:val="20"/>
        </w:trPr>
        <w:tc>
          <w:tcPr>
            <w:tcW w:w="3010" w:type="pct"/>
            <w:hideMark/>
          </w:tcPr>
          <w:p w14:paraId="4B621614" w14:textId="77777777" w:rsidR="007D6892" w:rsidRPr="007D6892" w:rsidRDefault="007D6892" w:rsidP="007D6892">
            <w:pPr>
              <w:rPr>
                <w:lang w:val="fi-FI"/>
              </w:rPr>
            </w:pPr>
            <w:r w:rsidRPr="007D6892">
              <w:rPr>
                <w:lang w:val="fi-FI"/>
              </w:rPr>
              <w:t>Off-road</w:t>
            </w:r>
          </w:p>
        </w:tc>
        <w:tc>
          <w:tcPr>
            <w:tcW w:w="578" w:type="pct"/>
            <w:hideMark/>
          </w:tcPr>
          <w:p w14:paraId="0CF5E438" w14:textId="77777777" w:rsidR="007D6892" w:rsidRPr="007D6892" w:rsidRDefault="007D6892" w:rsidP="007D6892">
            <w:pPr>
              <w:rPr>
                <w:lang w:val="fi-FI"/>
              </w:rPr>
            </w:pPr>
            <w:r w:rsidRPr="007D6892">
              <w:rPr>
                <w:bCs/>
                <w:lang w:val="fi-FI"/>
              </w:rPr>
              <w:t>x</w:t>
            </w:r>
          </w:p>
        </w:tc>
        <w:tc>
          <w:tcPr>
            <w:tcW w:w="785" w:type="pct"/>
            <w:hideMark/>
          </w:tcPr>
          <w:p w14:paraId="504101D9" w14:textId="77777777" w:rsidR="007D6892" w:rsidRPr="007D6892" w:rsidRDefault="007D6892" w:rsidP="007D6892">
            <w:pPr>
              <w:rPr>
                <w:lang w:val="fi-FI"/>
              </w:rPr>
            </w:pPr>
            <w:r w:rsidRPr="007D6892">
              <w:rPr>
                <w:bCs/>
                <w:lang w:val="fi-FI"/>
              </w:rPr>
              <w:t>x</w:t>
            </w:r>
          </w:p>
        </w:tc>
        <w:tc>
          <w:tcPr>
            <w:tcW w:w="627" w:type="pct"/>
            <w:hideMark/>
          </w:tcPr>
          <w:p w14:paraId="68F0C2F0" w14:textId="77777777" w:rsidR="007D6892" w:rsidRPr="007D6892" w:rsidRDefault="007D6892" w:rsidP="007D6892">
            <w:pPr>
              <w:rPr>
                <w:lang w:val="fi-FI"/>
              </w:rPr>
            </w:pPr>
          </w:p>
        </w:tc>
      </w:tr>
      <w:tr w:rsidR="007D6892" w:rsidRPr="007D6892" w14:paraId="3709EB07" w14:textId="77777777" w:rsidTr="00EF676B">
        <w:trPr>
          <w:trHeight w:val="20"/>
        </w:trPr>
        <w:tc>
          <w:tcPr>
            <w:tcW w:w="3010" w:type="pct"/>
            <w:hideMark/>
          </w:tcPr>
          <w:p w14:paraId="1F680251" w14:textId="77777777" w:rsidR="007D6892" w:rsidRPr="007D6892" w:rsidRDefault="007D6892" w:rsidP="007D6892">
            <w:pPr>
              <w:rPr>
                <w:lang w:val="fi-FI"/>
              </w:rPr>
            </w:pPr>
            <w:r w:rsidRPr="007D6892">
              <w:rPr>
                <w:b/>
                <w:bCs/>
                <w:lang w:val="fi-FI"/>
              </w:rPr>
              <w:t>WASTE</w:t>
            </w:r>
          </w:p>
        </w:tc>
        <w:tc>
          <w:tcPr>
            <w:tcW w:w="578" w:type="pct"/>
            <w:hideMark/>
          </w:tcPr>
          <w:p w14:paraId="742DA9A0" w14:textId="77777777" w:rsidR="007D6892" w:rsidRPr="007D6892" w:rsidRDefault="007D6892" w:rsidP="007D6892">
            <w:pPr>
              <w:rPr>
                <w:lang w:val="fi-FI"/>
              </w:rPr>
            </w:pPr>
          </w:p>
        </w:tc>
        <w:tc>
          <w:tcPr>
            <w:tcW w:w="785" w:type="pct"/>
            <w:hideMark/>
          </w:tcPr>
          <w:p w14:paraId="16D154EA" w14:textId="77777777" w:rsidR="007D6892" w:rsidRPr="007D6892" w:rsidRDefault="007D6892" w:rsidP="007D6892">
            <w:pPr>
              <w:rPr>
                <w:lang w:val="fi-FI"/>
              </w:rPr>
            </w:pPr>
          </w:p>
        </w:tc>
        <w:tc>
          <w:tcPr>
            <w:tcW w:w="627" w:type="pct"/>
            <w:hideMark/>
          </w:tcPr>
          <w:p w14:paraId="77B35D29" w14:textId="77777777" w:rsidR="007D6892" w:rsidRPr="007D6892" w:rsidRDefault="007D6892" w:rsidP="007D6892">
            <w:pPr>
              <w:rPr>
                <w:lang w:val="fi-FI"/>
              </w:rPr>
            </w:pPr>
          </w:p>
        </w:tc>
      </w:tr>
      <w:tr w:rsidR="007D6892" w:rsidRPr="007D6892" w14:paraId="320506FC" w14:textId="77777777" w:rsidTr="00EF676B">
        <w:trPr>
          <w:trHeight w:val="20"/>
        </w:trPr>
        <w:tc>
          <w:tcPr>
            <w:tcW w:w="3010" w:type="pct"/>
            <w:hideMark/>
          </w:tcPr>
          <w:p w14:paraId="128A2C0F" w14:textId="77777777" w:rsidR="007D6892" w:rsidRPr="007D6892" w:rsidRDefault="007D6892" w:rsidP="007D6892">
            <w:pPr>
              <w:rPr>
                <w:lang w:val="fi-FI"/>
              </w:rPr>
            </w:pPr>
            <w:r w:rsidRPr="007D6892">
              <w:rPr>
                <w:bCs/>
                <w:lang w:val="fi-FI"/>
              </w:rPr>
              <w:t>Solid waste disposal</w:t>
            </w:r>
          </w:p>
        </w:tc>
        <w:tc>
          <w:tcPr>
            <w:tcW w:w="578" w:type="pct"/>
            <w:hideMark/>
          </w:tcPr>
          <w:p w14:paraId="59C8FDFC" w14:textId="77777777" w:rsidR="007D6892" w:rsidRPr="007D6892" w:rsidRDefault="007D6892" w:rsidP="007D6892">
            <w:pPr>
              <w:rPr>
                <w:lang w:val="fi-FI"/>
              </w:rPr>
            </w:pPr>
            <w:r w:rsidRPr="007D6892">
              <w:rPr>
                <w:bCs/>
                <w:lang w:val="fi-FI"/>
              </w:rPr>
              <w:t>x</w:t>
            </w:r>
          </w:p>
        </w:tc>
        <w:tc>
          <w:tcPr>
            <w:tcW w:w="785" w:type="pct"/>
            <w:hideMark/>
          </w:tcPr>
          <w:p w14:paraId="0EC491C7" w14:textId="77777777" w:rsidR="007D6892" w:rsidRPr="007D6892" w:rsidRDefault="007D6892" w:rsidP="007D6892">
            <w:pPr>
              <w:rPr>
                <w:lang w:val="fi-FI"/>
              </w:rPr>
            </w:pPr>
          </w:p>
        </w:tc>
        <w:tc>
          <w:tcPr>
            <w:tcW w:w="627" w:type="pct"/>
            <w:hideMark/>
          </w:tcPr>
          <w:p w14:paraId="261941FB" w14:textId="77777777" w:rsidR="007D6892" w:rsidRPr="007D6892" w:rsidRDefault="007D6892" w:rsidP="007D6892">
            <w:pPr>
              <w:rPr>
                <w:lang w:val="fi-FI"/>
              </w:rPr>
            </w:pPr>
            <w:r w:rsidRPr="007D6892">
              <w:rPr>
                <w:bCs/>
                <w:lang w:val="fi-FI"/>
              </w:rPr>
              <w:t>x</w:t>
            </w:r>
          </w:p>
        </w:tc>
      </w:tr>
      <w:tr w:rsidR="007D6892" w:rsidRPr="007D6892" w14:paraId="53566CD6" w14:textId="77777777" w:rsidTr="00EF676B">
        <w:trPr>
          <w:trHeight w:val="20"/>
        </w:trPr>
        <w:tc>
          <w:tcPr>
            <w:tcW w:w="3010" w:type="pct"/>
            <w:hideMark/>
          </w:tcPr>
          <w:p w14:paraId="05E9D25C" w14:textId="77777777" w:rsidR="007D6892" w:rsidRPr="007D6892" w:rsidRDefault="007D6892" w:rsidP="007D6892">
            <w:pPr>
              <w:rPr>
                <w:lang w:val="fi-FI"/>
              </w:rPr>
            </w:pPr>
            <w:r w:rsidRPr="007D6892">
              <w:rPr>
                <w:bCs/>
                <w:lang w:val="fi-FI"/>
              </w:rPr>
              <w:t>Biological treatment of waste</w:t>
            </w:r>
          </w:p>
        </w:tc>
        <w:tc>
          <w:tcPr>
            <w:tcW w:w="578" w:type="pct"/>
            <w:hideMark/>
          </w:tcPr>
          <w:p w14:paraId="7637BA9B" w14:textId="77777777" w:rsidR="007D6892" w:rsidRPr="007D6892" w:rsidRDefault="007D6892" w:rsidP="007D6892">
            <w:pPr>
              <w:rPr>
                <w:bCs/>
                <w:lang w:val="fi-FI"/>
              </w:rPr>
            </w:pPr>
            <w:r w:rsidRPr="007D6892">
              <w:rPr>
                <w:bCs/>
                <w:lang w:val="fi-FI"/>
              </w:rPr>
              <w:t>x</w:t>
            </w:r>
          </w:p>
        </w:tc>
        <w:tc>
          <w:tcPr>
            <w:tcW w:w="785" w:type="pct"/>
            <w:hideMark/>
          </w:tcPr>
          <w:p w14:paraId="52FECC6F" w14:textId="77777777" w:rsidR="007D6892" w:rsidRPr="007D6892" w:rsidRDefault="007D6892" w:rsidP="007D6892">
            <w:pPr>
              <w:rPr>
                <w:lang w:val="fi-FI"/>
              </w:rPr>
            </w:pPr>
          </w:p>
        </w:tc>
        <w:tc>
          <w:tcPr>
            <w:tcW w:w="627" w:type="pct"/>
            <w:hideMark/>
          </w:tcPr>
          <w:p w14:paraId="13F5AF65" w14:textId="77777777" w:rsidR="007D6892" w:rsidRPr="007D6892" w:rsidRDefault="007D6892" w:rsidP="007D6892">
            <w:pPr>
              <w:rPr>
                <w:lang w:val="fi-FI"/>
              </w:rPr>
            </w:pPr>
            <w:r w:rsidRPr="007D6892">
              <w:rPr>
                <w:bCs/>
                <w:lang w:val="fi-FI"/>
              </w:rPr>
              <w:t>x</w:t>
            </w:r>
          </w:p>
        </w:tc>
      </w:tr>
      <w:tr w:rsidR="007D6892" w:rsidRPr="007D6892" w14:paraId="3B66941A" w14:textId="77777777" w:rsidTr="00EF676B">
        <w:trPr>
          <w:trHeight w:val="20"/>
        </w:trPr>
        <w:tc>
          <w:tcPr>
            <w:tcW w:w="3010" w:type="pct"/>
            <w:hideMark/>
          </w:tcPr>
          <w:p w14:paraId="359A41F5" w14:textId="77777777" w:rsidR="007D6892" w:rsidRPr="007D6892" w:rsidRDefault="007D6892" w:rsidP="007D6892">
            <w:pPr>
              <w:rPr>
                <w:lang w:val="fi-FI"/>
              </w:rPr>
            </w:pPr>
            <w:r w:rsidRPr="007D6892">
              <w:rPr>
                <w:bCs/>
                <w:lang w:val="fi-FI"/>
              </w:rPr>
              <w:t>Incineration and open burning</w:t>
            </w:r>
          </w:p>
        </w:tc>
        <w:tc>
          <w:tcPr>
            <w:tcW w:w="578" w:type="pct"/>
            <w:hideMark/>
          </w:tcPr>
          <w:p w14:paraId="79E12346" w14:textId="77777777" w:rsidR="007D6892" w:rsidRPr="007D6892" w:rsidRDefault="007D6892" w:rsidP="007D6892">
            <w:pPr>
              <w:rPr>
                <w:bCs/>
                <w:lang w:val="fi-FI"/>
              </w:rPr>
            </w:pPr>
            <w:r w:rsidRPr="007D6892">
              <w:rPr>
                <w:bCs/>
                <w:lang w:val="fi-FI"/>
              </w:rPr>
              <w:t>x</w:t>
            </w:r>
          </w:p>
        </w:tc>
        <w:tc>
          <w:tcPr>
            <w:tcW w:w="785" w:type="pct"/>
            <w:hideMark/>
          </w:tcPr>
          <w:p w14:paraId="4D133B60" w14:textId="77777777" w:rsidR="007D6892" w:rsidRPr="007D6892" w:rsidRDefault="007D6892" w:rsidP="007D6892">
            <w:pPr>
              <w:rPr>
                <w:lang w:val="fi-FI"/>
              </w:rPr>
            </w:pPr>
          </w:p>
        </w:tc>
        <w:tc>
          <w:tcPr>
            <w:tcW w:w="627" w:type="pct"/>
            <w:hideMark/>
          </w:tcPr>
          <w:p w14:paraId="75D9B0F5" w14:textId="77777777" w:rsidR="007D6892" w:rsidRPr="007D6892" w:rsidRDefault="007D6892" w:rsidP="007D6892">
            <w:pPr>
              <w:rPr>
                <w:lang w:val="fi-FI"/>
              </w:rPr>
            </w:pPr>
            <w:r w:rsidRPr="007D6892">
              <w:rPr>
                <w:bCs/>
                <w:lang w:val="fi-FI"/>
              </w:rPr>
              <w:t>x</w:t>
            </w:r>
          </w:p>
        </w:tc>
      </w:tr>
      <w:tr w:rsidR="007D6892" w:rsidRPr="007D6892" w14:paraId="3B5907EE" w14:textId="77777777" w:rsidTr="00EF676B">
        <w:trPr>
          <w:trHeight w:val="20"/>
        </w:trPr>
        <w:tc>
          <w:tcPr>
            <w:tcW w:w="3010" w:type="pct"/>
            <w:hideMark/>
          </w:tcPr>
          <w:p w14:paraId="694C6EE7" w14:textId="77777777" w:rsidR="007D6892" w:rsidRPr="007D6892" w:rsidRDefault="007D6892" w:rsidP="007D6892">
            <w:pPr>
              <w:rPr>
                <w:lang w:val="fi-FI"/>
              </w:rPr>
            </w:pPr>
            <w:r w:rsidRPr="007D6892">
              <w:rPr>
                <w:bCs/>
                <w:lang w:val="fi-FI"/>
              </w:rPr>
              <w:t>Wastewater treatment and discharge</w:t>
            </w:r>
          </w:p>
        </w:tc>
        <w:tc>
          <w:tcPr>
            <w:tcW w:w="578" w:type="pct"/>
            <w:hideMark/>
          </w:tcPr>
          <w:p w14:paraId="34477C5E" w14:textId="77777777" w:rsidR="007D6892" w:rsidRPr="007D6892" w:rsidRDefault="007D6892" w:rsidP="007D6892">
            <w:pPr>
              <w:rPr>
                <w:bCs/>
                <w:lang w:val="fi-FI"/>
              </w:rPr>
            </w:pPr>
            <w:r w:rsidRPr="007D6892">
              <w:rPr>
                <w:bCs/>
                <w:lang w:val="fi-FI"/>
              </w:rPr>
              <w:t>x</w:t>
            </w:r>
          </w:p>
        </w:tc>
        <w:tc>
          <w:tcPr>
            <w:tcW w:w="785" w:type="pct"/>
            <w:hideMark/>
          </w:tcPr>
          <w:p w14:paraId="357B03EE" w14:textId="77777777" w:rsidR="007D6892" w:rsidRPr="007D6892" w:rsidRDefault="007D6892" w:rsidP="007D6892">
            <w:pPr>
              <w:rPr>
                <w:lang w:val="fi-FI"/>
              </w:rPr>
            </w:pPr>
          </w:p>
        </w:tc>
        <w:tc>
          <w:tcPr>
            <w:tcW w:w="627" w:type="pct"/>
            <w:hideMark/>
          </w:tcPr>
          <w:p w14:paraId="4B529CE0" w14:textId="77777777" w:rsidR="007D6892" w:rsidRPr="007D6892" w:rsidRDefault="007D6892" w:rsidP="007D6892">
            <w:pPr>
              <w:rPr>
                <w:lang w:val="fi-FI"/>
              </w:rPr>
            </w:pPr>
            <w:r w:rsidRPr="007D6892">
              <w:rPr>
                <w:bCs/>
                <w:lang w:val="fi-FI"/>
              </w:rPr>
              <w:t>x</w:t>
            </w:r>
          </w:p>
        </w:tc>
      </w:tr>
      <w:tr w:rsidR="007D6892" w:rsidRPr="007D6892" w14:paraId="48C78602" w14:textId="77777777" w:rsidTr="00EF676B">
        <w:trPr>
          <w:trHeight w:val="20"/>
        </w:trPr>
        <w:tc>
          <w:tcPr>
            <w:tcW w:w="3010" w:type="pct"/>
            <w:hideMark/>
          </w:tcPr>
          <w:p w14:paraId="61920508" w14:textId="77777777" w:rsidR="007D6892" w:rsidRPr="007D6892" w:rsidRDefault="007D6892" w:rsidP="007D6892">
            <w:pPr>
              <w:rPr>
                <w:lang w:val="fi-FI"/>
              </w:rPr>
            </w:pPr>
            <w:r w:rsidRPr="007D6892">
              <w:rPr>
                <w:b/>
                <w:bCs/>
                <w:lang w:val="fi-FI"/>
              </w:rPr>
              <w:t>INDUSTRIAL PROCESSES AND PRODUCT USE (IPPU)</w:t>
            </w:r>
          </w:p>
        </w:tc>
        <w:tc>
          <w:tcPr>
            <w:tcW w:w="578" w:type="pct"/>
            <w:hideMark/>
          </w:tcPr>
          <w:p w14:paraId="39D8005D" w14:textId="77777777" w:rsidR="007D6892" w:rsidRPr="007D6892" w:rsidRDefault="007D6892" w:rsidP="007D6892">
            <w:pPr>
              <w:rPr>
                <w:lang w:val="fi-FI"/>
              </w:rPr>
            </w:pPr>
          </w:p>
        </w:tc>
        <w:tc>
          <w:tcPr>
            <w:tcW w:w="785" w:type="pct"/>
            <w:hideMark/>
          </w:tcPr>
          <w:p w14:paraId="2E92BE50" w14:textId="77777777" w:rsidR="007D6892" w:rsidRPr="007D6892" w:rsidRDefault="007D6892" w:rsidP="007D6892">
            <w:pPr>
              <w:rPr>
                <w:lang w:val="fi-FI"/>
              </w:rPr>
            </w:pPr>
          </w:p>
        </w:tc>
        <w:tc>
          <w:tcPr>
            <w:tcW w:w="627" w:type="pct"/>
            <w:hideMark/>
          </w:tcPr>
          <w:p w14:paraId="4E9BC453" w14:textId="77777777" w:rsidR="007D6892" w:rsidRPr="007D6892" w:rsidRDefault="007D6892" w:rsidP="007D6892">
            <w:pPr>
              <w:rPr>
                <w:lang w:val="fi-FI"/>
              </w:rPr>
            </w:pPr>
          </w:p>
        </w:tc>
      </w:tr>
      <w:tr w:rsidR="007D6892" w:rsidRPr="007D6892" w14:paraId="21F41825" w14:textId="77777777" w:rsidTr="00EF676B">
        <w:trPr>
          <w:trHeight w:val="20"/>
        </w:trPr>
        <w:tc>
          <w:tcPr>
            <w:tcW w:w="3010" w:type="pct"/>
          </w:tcPr>
          <w:p w14:paraId="296CDD1C" w14:textId="77777777" w:rsidR="007D6892" w:rsidRPr="007D6892" w:rsidRDefault="007D6892" w:rsidP="007D6892">
            <w:pPr>
              <w:rPr>
                <w:bCs/>
                <w:lang w:val="fi-FI"/>
              </w:rPr>
            </w:pPr>
            <w:r w:rsidRPr="007D6892">
              <w:rPr>
                <w:bCs/>
                <w:lang w:val="fi-FI"/>
              </w:rPr>
              <w:t>Industrial processes</w:t>
            </w:r>
          </w:p>
        </w:tc>
        <w:tc>
          <w:tcPr>
            <w:tcW w:w="578" w:type="pct"/>
          </w:tcPr>
          <w:p w14:paraId="506B419B" w14:textId="77777777" w:rsidR="007D6892" w:rsidRPr="007D6892" w:rsidRDefault="007D6892" w:rsidP="007D6892">
            <w:pPr>
              <w:rPr>
                <w:bCs/>
                <w:lang w:val="fi-FI"/>
              </w:rPr>
            </w:pPr>
            <w:r w:rsidRPr="007D6892">
              <w:rPr>
                <w:bCs/>
                <w:lang w:val="fi-FI"/>
              </w:rPr>
              <w:t>x</w:t>
            </w:r>
          </w:p>
        </w:tc>
        <w:tc>
          <w:tcPr>
            <w:tcW w:w="785" w:type="pct"/>
          </w:tcPr>
          <w:p w14:paraId="3DC0A742" w14:textId="77777777" w:rsidR="007D6892" w:rsidRPr="007D6892" w:rsidRDefault="007D6892" w:rsidP="007D6892">
            <w:pPr>
              <w:rPr>
                <w:lang w:val="fi-FI"/>
              </w:rPr>
            </w:pPr>
          </w:p>
        </w:tc>
        <w:tc>
          <w:tcPr>
            <w:tcW w:w="627" w:type="pct"/>
          </w:tcPr>
          <w:p w14:paraId="22DD618D" w14:textId="77777777" w:rsidR="007D6892" w:rsidRPr="007D6892" w:rsidRDefault="007D6892" w:rsidP="007D6892">
            <w:pPr>
              <w:rPr>
                <w:lang w:val="fi-FI"/>
              </w:rPr>
            </w:pPr>
          </w:p>
        </w:tc>
      </w:tr>
      <w:tr w:rsidR="007D6892" w:rsidRPr="007D6892" w14:paraId="565445AC" w14:textId="77777777" w:rsidTr="00EF676B">
        <w:trPr>
          <w:trHeight w:val="20"/>
        </w:trPr>
        <w:tc>
          <w:tcPr>
            <w:tcW w:w="3010" w:type="pct"/>
          </w:tcPr>
          <w:p w14:paraId="2C4F0694" w14:textId="77777777" w:rsidR="007D6892" w:rsidRPr="007D6892" w:rsidRDefault="007D6892" w:rsidP="007D6892">
            <w:pPr>
              <w:rPr>
                <w:bCs/>
                <w:lang w:val="fi-FI"/>
              </w:rPr>
            </w:pPr>
            <w:r w:rsidRPr="007D6892">
              <w:rPr>
                <w:bCs/>
                <w:lang w:val="fi-FI"/>
              </w:rPr>
              <w:t>Product use</w:t>
            </w:r>
          </w:p>
        </w:tc>
        <w:tc>
          <w:tcPr>
            <w:tcW w:w="578" w:type="pct"/>
          </w:tcPr>
          <w:p w14:paraId="6EBC2C03" w14:textId="77777777" w:rsidR="007D6892" w:rsidRPr="007D6892" w:rsidRDefault="007D6892" w:rsidP="007D6892">
            <w:pPr>
              <w:rPr>
                <w:bCs/>
                <w:lang w:val="fi-FI"/>
              </w:rPr>
            </w:pPr>
            <w:r w:rsidRPr="007D6892">
              <w:rPr>
                <w:bCs/>
                <w:lang w:val="fi-FI"/>
              </w:rPr>
              <w:t>x</w:t>
            </w:r>
          </w:p>
        </w:tc>
        <w:tc>
          <w:tcPr>
            <w:tcW w:w="785" w:type="pct"/>
          </w:tcPr>
          <w:p w14:paraId="43F15D89" w14:textId="77777777" w:rsidR="007D6892" w:rsidRPr="007D6892" w:rsidRDefault="007D6892" w:rsidP="007D6892">
            <w:pPr>
              <w:rPr>
                <w:lang w:val="fi-FI"/>
              </w:rPr>
            </w:pPr>
          </w:p>
        </w:tc>
        <w:tc>
          <w:tcPr>
            <w:tcW w:w="627" w:type="pct"/>
          </w:tcPr>
          <w:p w14:paraId="1D9E2092" w14:textId="77777777" w:rsidR="007D6892" w:rsidRPr="007D6892" w:rsidRDefault="007D6892" w:rsidP="007D6892">
            <w:pPr>
              <w:rPr>
                <w:lang w:val="fi-FI"/>
              </w:rPr>
            </w:pPr>
          </w:p>
        </w:tc>
      </w:tr>
      <w:tr w:rsidR="007D6892" w:rsidRPr="007D6892" w14:paraId="19135CC9" w14:textId="77777777" w:rsidTr="00EF676B">
        <w:trPr>
          <w:trHeight w:val="20"/>
        </w:trPr>
        <w:tc>
          <w:tcPr>
            <w:tcW w:w="3010" w:type="pct"/>
            <w:hideMark/>
          </w:tcPr>
          <w:p w14:paraId="7A01C002" w14:textId="77777777" w:rsidR="007D6892" w:rsidRPr="007D6892" w:rsidRDefault="007D6892" w:rsidP="007D6892">
            <w:pPr>
              <w:rPr>
                <w:b/>
                <w:bCs/>
                <w:lang w:val="fi-FI"/>
              </w:rPr>
            </w:pPr>
            <w:r w:rsidRPr="007D6892">
              <w:rPr>
                <w:b/>
                <w:bCs/>
                <w:lang w:val="fi-FI"/>
              </w:rPr>
              <w:t>AGRICULTURE, FORESTRY, AND LAND USE (AFOLU)</w:t>
            </w:r>
          </w:p>
        </w:tc>
        <w:tc>
          <w:tcPr>
            <w:tcW w:w="578" w:type="pct"/>
            <w:hideMark/>
          </w:tcPr>
          <w:p w14:paraId="302FF57A" w14:textId="77777777" w:rsidR="007D6892" w:rsidRPr="007D6892" w:rsidRDefault="007D6892" w:rsidP="007D6892">
            <w:pPr>
              <w:rPr>
                <w:lang w:val="fi-FI"/>
              </w:rPr>
            </w:pPr>
          </w:p>
        </w:tc>
        <w:tc>
          <w:tcPr>
            <w:tcW w:w="785" w:type="pct"/>
            <w:hideMark/>
          </w:tcPr>
          <w:p w14:paraId="3AE9209D" w14:textId="77777777" w:rsidR="007D6892" w:rsidRPr="007D6892" w:rsidRDefault="007D6892" w:rsidP="007D6892">
            <w:pPr>
              <w:rPr>
                <w:lang w:val="fi-FI"/>
              </w:rPr>
            </w:pPr>
          </w:p>
        </w:tc>
        <w:tc>
          <w:tcPr>
            <w:tcW w:w="627" w:type="pct"/>
            <w:hideMark/>
          </w:tcPr>
          <w:p w14:paraId="1C94F1F7" w14:textId="77777777" w:rsidR="007D6892" w:rsidRPr="007D6892" w:rsidRDefault="007D6892" w:rsidP="007D6892">
            <w:pPr>
              <w:rPr>
                <w:lang w:val="fi-FI"/>
              </w:rPr>
            </w:pPr>
          </w:p>
        </w:tc>
      </w:tr>
      <w:tr w:rsidR="007D6892" w:rsidRPr="007D6892" w14:paraId="4E54BF62" w14:textId="77777777" w:rsidTr="00EF676B">
        <w:trPr>
          <w:trHeight w:val="20"/>
        </w:trPr>
        <w:tc>
          <w:tcPr>
            <w:tcW w:w="3010" w:type="pct"/>
          </w:tcPr>
          <w:p w14:paraId="16DB4C82" w14:textId="77777777" w:rsidR="007D6892" w:rsidRPr="007D6892" w:rsidRDefault="007D6892" w:rsidP="007D6892">
            <w:pPr>
              <w:rPr>
                <w:bCs/>
                <w:lang w:val="fi-FI"/>
              </w:rPr>
            </w:pPr>
            <w:r w:rsidRPr="007D6892">
              <w:rPr>
                <w:bCs/>
                <w:lang w:val="fi-FI"/>
              </w:rPr>
              <w:t>Livestock</w:t>
            </w:r>
          </w:p>
        </w:tc>
        <w:tc>
          <w:tcPr>
            <w:tcW w:w="578" w:type="pct"/>
          </w:tcPr>
          <w:p w14:paraId="7612E79F" w14:textId="77777777" w:rsidR="007D6892" w:rsidRPr="007D6892" w:rsidRDefault="007D6892" w:rsidP="007D6892">
            <w:pPr>
              <w:rPr>
                <w:bCs/>
                <w:lang w:val="fi-FI"/>
              </w:rPr>
            </w:pPr>
            <w:r w:rsidRPr="007D6892">
              <w:rPr>
                <w:bCs/>
                <w:lang w:val="fi-FI"/>
              </w:rPr>
              <w:t>x</w:t>
            </w:r>
          </w:p>
        </w:tc>
        <w:tc>
          <w:tcPr>
            <w:tcW w:w="785" w:type="pct"/>
          </w:tcPr>
          <w:p w14:paraId="4E4CBB24" w14:textId="77777777" w:rsidR="007D6892" w:rsidRPr="007D6892" w:rsidRDefault="007D6892" w:rsidP="007D6892">
            <w:pPr>
              <w:rPr>
                <w:lang w:val="fi-FI"/>
              </w:rPr>
            </w:pPr>
          </w:p>
        </w:tc>
        <w:tc>
          <w:tcPr>
            <w:tcW w:w="627" w:type="pct"/>
          </w:tcPr>
          <w:p w14:paraId="70B441FF" w14:textId="77777777" w:rsidR="007D6892" w:rsidRPr="007D6892" w:rsidRDefault="007D6892" w:rsidP="007D6892">
            <w:pPr>
              <w:rPr>
                <w:lang w:val="fi-FI"/>
              </w:rPr>
            </w:pPr>
          </w:p>
        </w:tc>
      </w:tr>
      <w:tr w:rsidR="007D6892" w:rsidRPr="007D6892" w14:paraId="0B8A9D98" w14:textId="77777777" w:rsidTr="00EF676B">
        <w:trPr>
          <w:trHeight w:val="20"/>
        </w:trPr>
        <w:tc>
          <w:tcPr>
            <w:tcW w:w="3010" w:type="pct"/>
          </w:tcPr>
          <w:p w14:paraId="243EF416" w14:textId="77777777" w:rsidR="007D6892" w:rsidRPr="007D6892" w:rsidRDefault="007D6892" w:rsidP="007D6892">
            <w:pPr>
              <w:rPr>
                <w:bCs/>
                <w:lang w:val="fi-FI"/>
              </w:rPr>
            </w:pPr>
            <w:r w:rsidRPr="007D6892">
              <w:rPr>
                <w:bCs/>
                <w:lang w:val="fi-FI"/>
              </w:rPr>
              <w:t xml:space="preserve">Land </w:t>
            </w:r>
          </w:p>
        </w:tc>
        <w:tc>
          <w:tcPr>
            <w:tcW w:w="578" w:type="pct"/>
          </w:tcPr>
          <w:p w14:paraId="1E26AF89" w14:textId="77777777" w:rsidR="007D6892" w:rsidRPr="007D6892" w:rsidRDefault="007D6892" w:rsidP="007D6892">
            <w:pPr>
              <w:rPr>
                <w:bCs/>
                <w:lang w:val="fi-FI"/>
              </w:rPr>
            </w:pPr>
            <w:r w:rsidRPr="007D6892">
              <w:rPr>
                <w:bCs/>
                <w:lang w:val="fi-FI"/>
              </w:rPr>
              <w:t>x</w:t>
            </w:r>
          </w:p>
        </w:tc>
        <w:tc>
          <w:tcPr>
            <w:tcW w:w="785" w:type="pct"/>
          </w:tcPr>
          <w:p w14:paraId="4D28CF72" w14:textId="77777777" w:rsidR="007D6892" w:rsidRPr="007D6892" w:rsidRDefault="007D6892" w:rsidP="007D6892">
            <w:pPr>
              <w:rPr>
                <w:lang w:val="fi-FI"/>
              </w:rPr>
            </w:pPr>
          </w:p>
        </w:tc>
        <w:tc>
          <w:tcPr>
            <w:tcW w:w="627" w:type="pct"/>
          </w:tcPr>
          <w:p w14:paraId="31AB167E" w14:textId="77777777" w:rsidR="007D6892" w:rsidRPr="007D6892" w:rsidRDefault="007D6892" w:rsidP="007D6892">
            <w:pPr>
              <w:rPr>
                <w:lang w:val="fi-FI"/>
              </w:rPr>
            </w:pPr>
          </w:p>
        </w:tc>
      </w:tr>
      <w:tr w:rsidR="007D6892" w:rsidRPr="007D6892" w14:paraId="2D69586B" w14:textId="77777777" w:rsidTr="00EF676B">
        <w:trPr>
          <w:trHeight w:val="20"/>
        </w:trPr>
        <w:tc>
          <w:tcPr>
            <w:tcW w:w="3010" w:type="pct"/>
          </w:tcPr>
          <w:p w14:paraId="5FCC7E13" w14:textId="77777777" w:rsidR="007D6892" w:rsidRPr="007D6892" w:rsidRDefault="007D6892" w:rsidP="007D6892">
            <w:pPr>
              <w:rPr>
                <w:bCs/>
                <w:lang w:val="fi-FI"/>
              </w:rPr>
            </w:pPr>
            <w:r w:rsidRPr="007D6892">
              <w:rPr>
                <w:bCs/>
                <w:lang w:val="fi-FI"/>
              </w:rPr>
              <w:t>Other agriculture</w:t>
            </w:r>
          </w:p>
        </w:tc>
        <w:tc>
          <w:tcPr>
            <w:tcW w:w="578" w:type="pct"/>
          </w:tcPr>
          <w:p w14:paraId="430D7F09" w14:textId="77777777" w:rsidR="007D6892" w:rsidRPr="007D6892" w:rsidRDefault="007D6892" w:rsidP="007D6892">
            <w:pPr>
              <w:rPr>
                <w:bCs/>
                <w:lang w:val="fi-FI"/>
              </w:rPr>
            </w:pPr>
            <w:r w:rsidRPr="007D6892">
              <w:rPr>
                <w:bCs/>
                <w:lang w:val="fi-FI"/>
              </w:rPr>
              <w:t>x</w:t>
            </w:r>
          </w:p>
        </w:tc>
        <w:tc>
          <w:tcPr>
            <w:tcW w:w="785" w:type="pct"/>
          </w:tcPr>
          <w:p w14:paraId="77CF57D4" w14:textId="77777777" w:rsidR="007D6892" w:rsidRPr="007D6892" w:rsidRDefault="007D6892" w:rsidP="007D6892">
            <w:pPr>
              <w:rPr>
                <w:lang w:val="fi-FI"/>
              </w:rPr>
            </w:pPr>
          </w:p>
        </w:tc>
        <w:tc>
          <w:tcPr>
            <w:tcW w:w="627" w:type="pct"/>
          </w:tcPr>
          <w:p w14:paraId="68695EDE" w14:textId="77777777" w:rsidR="007D6892" w:rsidRPr="007D6892" w:rsidRDefault="007D6892" w:rsidP="007D6892">
            <w:pPr>
              <w:rPr>
                <w:lang w:val="fi-FI"/>
              </w:rPr>
            </w:pPr>
          </w:p>
        </w:tc>
      </w:tr>
      <w:tr w:rsidR="007D6892" w:rsidRPr="007D6892" w14:paraId="3A53ADD7" w14:textId="77777777" w:rsidTr="00EF676B">
        <w:trPr>
          <w:trHeight w:val="20"/>
        </w:trPr>
        <w:tc>
          <w:tcPr>
            <w:tcW w:w="3010" w:type="pct"/>
            <w:hideMark/>
          </w:tcPr>
          <w:p w14:paraId="3D71DEAF" w14:textId="77777777" w:rsidR="007D6892" w:rsidRPr="007D6892" w:rsidRDefault="007D6892" w:rsidP="007D6892">
            <w:pPr>
              <w:rPr>
                <w:lang w:val="fi-FI"/>
              </w:rPr>
            </w:pPr>
            <w:r w:rsidRPr="007D6892">
              <w:rPr>
                <w:b/>
                <w:bCs/>
                <w:lang w:val="fi-FI"/>
              </w:rPr>
              <w:t>OTHER INDIRECT EMISSIONS</w:t>
            </w:r>
          </w:p>
        </w:tc>
        <w:tc>
          <w:tcPr>
            <w:tcW w:w="578" w:type="pct"/>
            <w:hideMark/>
          </w:tcPr>
          <w:p w14:paraId="5478A2EF" w14:textId="77777777" w:rsidR="007D6892" w:rsidRPr="007D6892" w:rsidRDefault="007D6892" w:rsidP="007D6892">
            <w:pPr>
              <w:rPr>
                <w:lang w:val="fi-FI"/>
              </w:rPr>
            </w:pPr>
          </w:p>
        </w:tc>
        <w:tc>
          <w:tcPr>
            <w:tcW w:w="785" w:type="pct"/>
            <w:hideMark/>
          </w:tcPr>
          <w:p w14:paraId="330F8FFB" w14:textId="77777777" w:rsidR="007D6892" w:rsidRPr="007D6892" w:rsidRDefault="007D6892" w:rsidP="007D6892">
            <w:pPr>
              <w:rPr>
                <w:lang w:val="fi-FI"/>
              </w:rPr>
            </w:pPr>
          </w:p>
        </w:tc>
        <w:tc>
          <w:tcPr>
            <w:tcW w:w="627" w:type="pct"/>
            <w:hideMark/>
          </w:tcPr>
          <w:p w14:paraId="77134BE6" w14:textId="77777777" w:rsidR="007D6892" w:rsidRPr="007D6892" w:rsidRDefault="007D6892" w:rsidP="007D6892">
            <w:pPr>
              <w:rPr>
                <w:lang w:val="fi-FI"/>
              </w:rPr>
            </w:pPr>
            <w:r w:rsidRPr="007D6892">
              <w:rPr>
                <w:bCs/>
                <w:lang w:val="fi-FI"/>
              </w:rPr>
              <w:t>x</w:t>
            </w:r>
          </w:p>
        </w:tc>
      </w:tr>
    </w:tbl>
    <w:p w14:paraId="3740F18A" w14:textId="77777777" w:rsidR="007D6892" w:rsidRPr="007D6892" w:rsidRDefault="007D6892" w:rsidP="007D6892">
      <w:pPr>
        <w:rPr>
          <w:lang w:val="en-US"/>
        </w:rPr>
      </w:pPr>
    </w:p>
    <w:p w14:paraId="517F0C34" w14:textId="77777777" w:rsidR="007D6892" w:rsidRPr="007D6892" w:rsidRDefault="007D6892" w:rsidP="007D6892">
      <w:pPr>
        <w:rPr>
          <w:lang w:val="en-US"/>
        </w:rPr>
      </w:pPr>
      <w:r w:rsidRPr="007D6892">
        <w:rPr>
          <w:lang w:val="en-US"/>
        </w:rPr>
        <w:t>The BEI/MEI sectoral framework is presented below:</w:t>
      </w:r>
    </w:p>
    <w:p w14:paraId="12041543" w14:textId="77777777" w:rsidR="007D6892" w:rsidRPr="007D6892" w:rsidRDefault="007D6892" w:rsidP="007D6892">
      <w:pPr>
        <w:rPr>
          <w:lang w:val="en-US"/>
        </w:rPr>
      </w:pPr>
    </w:p>
    <w:tbl>
      <w:tblPr>
        <w:tblStyle w:val="TableGrid"/>
        <w:tblW w:w="9322" w:type="dxa"/>
        <w:tblLook w:val="04A0" w:firstRow="1" w:lastRow="0" w:firstColumn="1" w:lastColumn="0" w:noHBand="0" w:noVBand="1"/>
      </w:tblPr>
      <w:tblGrid>
        <w:gridCol w:w="5353"/>
        <w:gridCol w:w="3969"/>
      </w:tblGrid>
      <w:tr w:rsidR="007D6892" w:rsidRPr="007D6892" w14:paraId="36A22ED0" w14:textId="77777777" w:rsidTr="00EF676B">
        <w:trPr>
          <w:tblHeader/>
        </w:trPr>
        <w:tc>
          <w:tcPr>
            <w:tcW w:w="5353" w:type="dxa"/>
          </w:tcPr>
          <w:p w14:paraId="41B0742C" w14:textId="77777777" w:rsidR="007D6892" w:rsidRPr="007D6892" w:rsidRDefault="007D6892" w:rsidP="007D6892">
            <w:pPr>
              <w:rPr>
                <w:lang w:val="fi-FI"/>
              </w:rPr>
            </w:pPr>
            <w:r w:rsidRPr="007D6892">
              <w:rPr>
                <w:b/>
                <w:bCs/>
                <w:lang w:val="fi-FI"/>
              </w:rPr>
              <w:t>Sectors and subsectors</w:t>
            </w:r>
          </w:p>
        </w:tc>
        <w:tc>
          <w:tcPr>
            <w:tcW w:w="3969" w:type="dxa"/>
          </w:tcPr>
          <w:p w14:paraId="296584BE" w14:textId="77777777" w:rsidR="007D6892" w:rsidRPr="007D6892" w:rsidRDefault="007D6892" w:rsidP="007D6892">
            <w:pPr>
              <w:rPr>
                <w:lang w:val="fi-FI"/>
              </w:rPr>
            </w:pPr>
            <w:r w:rsidRPr="007D6892">
              <w:rPr>
                <w:b/>
                <w:bCs/>
                <w:lang w:val="fi-FI"/>
              </w:rPr>
              <w:t xml:space="preserve">Notes </w:t>
            </w:r>
          </w:p>
        </w:tc>
      </w:tr>
      <w:tr w:rsidR="007D6892" w:rsidRPr="007D6892" w14:paraId="7327927D" w14:textId="77777777" w:rsidTr="00EF676B">
        <w:tc>
          <w:tcPr>
            <w:tcW w:w="9322" w:type="dxa"/>
            <w:gridSpan w:val="2"/>
          </w:tcPr>
          <w:p w14:paraId="06EAA779" w14:textId="77777777" w:rsidR="007D6892" w:rsidRPr="007D6892" w:rsidRDefault="007D6892" w:rsidP="007D6892">
            <w:pPr>
              <w:rPr>
                <w:b/>
                <w:lang w:val="en-US"/>
              </w:rPr>
            </w:pPr>
            <w:r w:rsidRPr="007D6892">
              <w:rPr>
                <w:b/>
                <w:bCs/>
                <w:lang w:val="fi-FI"/>
              </w:rPr>
              <w:t>buildings, equipment/facilities and industries</w:t>
            </w:r>
          </w:p>
        </w:tc>
      </w:tr>
      <w:tr w:rsidR="007D6892" w:rsidRPr="007D6892" w14:paraId="1CA0D682" w14:textId="77777777" w:rsidTr="00EF676B">
        <w:tc>
          <w:tcPr>
            <w:tcW w:w="5353" w:type="dxa"/>
          </w:tcPr>
          <w:p w14:paraId="502BB4D4" w14:textId="77777777" w:rsidR="007D6892" w:rsidRPr="007D6892" w:rsidRDefault="007D6892" w:rsidP="007D6892">
            <w:pPr>
              <w:rPr>
                <w:lang w:val="fi-FI"/>
              </w:rPr>
            </w:pPr>
            <w:r w:rsidRPr="007D6892">
              <w:rPr>
                <w:lang w:val="fi-FI"/>
              </w:rPr>
              <w:t>Municipal buildings, equipment/facilities</w:t>
            </w:r>
          </w:p>
        </w:tc>
        <w:tc>
          <w:tcPr>
            <w:tcW w:w="3969" w:type="dxa"/>
          </w:tcPr>
          <w:p w14:paraId="37C506C0" w14:textId="77777777" w:rsidR="007D6892" w:rsidRPr="007D6892" w:rsidRDefault="007D6892" w:rsidP="007D6892">
            <w:pPr>
              <w:rPr>
                <w:b/>
                <w:bCs/>
                <w:lang w:val="fi-FI"/>
              </w:rPr>
            </w:pPr>
          </w:p>
        </w:tc>
      </w:tr>
      <w:tr w:rsidR="007D6892" w:rsidRPr="007D6892" w14:paraId="15DD7FAE" w14:textId="77777777" w:rsidTr="00EF676B">
        <w:tc>
          <w:tcPr>
            <w:tcW w:w="5353" w:type="dxa"/>
          </w:tcPr>
          <w:p w14:paraId="6151FC23" w14:textId="77777777" w:rsidR="007D6892" w:rsidRPr="007D6892" w:rsidRDefault="007D6892" w:rsidP="007D6892">
            <w:pPr>
              <w:rPr>
                <w:lang w:val="fi-FI"/>
              </w:rPr>
            </w:pPr>
            <w:r w:rsidRPr="007D6892">
              <w:rPr>
                <w:lang w:val="fi-FI"/>
              </w:rPr>
              <w:t>Tertiary (non-municipal) buildings, equipment/facilities</w:t>
            </w:r>
          </w:p>
        </w:tc>
        <w:tc>
          <w:tcPr>
            <w:tcW w:w="3969" w:type="dxa"/>
          </w:tcPr>
          <w:p w14:paraId="2142AC6C" w14:textId="77777777" w:rsidR="007D6892" w:rsidRPr="007D6892" w:rsidRDefault="007D6892" w:rsidP="007D6892">
            <w:pPr>
              <w:rPr>
                <w:lang w:val="fi-FI"/>
              </w:rPr>
            </w:pPr>
          </w:p>
        </w:tc>
      </w:tr>
      <w:tr w:rsidR="007D6892" w:rsidRPr="007D6892" w14:paraId="78AA1E72" w14:textId="77777777" w:rsidTr="00EF676B">
        <w:tc>
          <w:tcPr>
            <w:tcW w:w="5353" w:type="dxa"/>
          </w:tcPr>
          <w:p w14:paraId="6D7804E2" w14:textId="77777777" w:rsidR="007D6892" w:rsidRPr="007D6892" w:rsidRDefault="007D6892" w:rsidP="007D6892">
            <w:pPr>
              <w:rPr>
                <w:lang w:val="fi-FI"/>
              </w:rPr>
            </w:pPr>
            <w:r w:rsidRPr="007D6892">
              <w:rPr>
                <w:lang w:val="fi-FI"/>
              </w:rPr>
              <w:t>Residential buildings</w:t>
            </w:r>
          </w:p>
        </w:tc>
        <w:tc>
          <w:tcPr>
            <w:tcW w:w="3969" w:type="dxa"/>
          </w:tcPr>
          <w:p w14:paraId="306047AA" w14:textId="77777777" w:rsidR="007D6892" w:rsidRPr="007D6892" w:rsidRDefault="007D6892" w:rsidP="007D6892">
            <w:pPr>
              <w:rPr>
                <w:lang w:val="fi-FI"/>
              </w:rPr>
            </w:pPr>
          </w:p>
        </w:tc>
      </w:tr>
      <w:tr w:rsidR="007D6892" w:rsidRPr="007D6892" w14:paraId="76E9BC2E" w14:textId="77777777" w:rsidTr="00EF676B">
        <w:tc>
          <w:tcPr>
            <w:tcW w:w="5353" w:type="dxa"/>
          </w:tcPr>
          <w:p w14:paraId="315EE584" w14:textId="77777777" w:rsidR="007D6892" w:rsidRPr="007D6892" w:rsidRDefault="007D6892" w:rsidP="007D6892">
            <w:pPr>
              <w:rPr>
                <w:lang w:val="fi-FI"/>
              </w:rPr>
            </w:pPr>
            <w:r w:rsidRPr="007D6892">
              <w:rPr>
                <w:lang w:val="fi-FI"/>
              </w:rPr>
              <w:t xml:space="preserve">Municipal public lighting </w:t>
            </w:r>
          </w:p>
        </w:tc>
        <w:tc>
          <w:tcPr>
            <w:tcW w:w="3969" w:type="dxa"/>
          </w:tcPr>
          <w:p w14:paraId="2097B439" w14:textId="77777777" w:rsidR="007D6892" w:rsidRPr="007D6892" w:rsidRDefault="007D6892" w:rsidP="007D6892">
            <w:pPr>
              <w:rPr>
                <w:b/>
                <w:bCs/>
                <w:lang w:val="fi-FI"/>
              </w:rPr>
            </w:pPr>
          </w:p>
        </w:tc>
      </w:tr>
      <w:tr w:rsidR="007D6892" w:rsidRPr="007D6892" w14:paraId="08A2B4D4" w14:textId="77777777" w:rsidTr="00EF676B">
        <w:trPr>
          <w:trHeight w:val="64"/>
        </w:trPr>
        <w:tc>
          <w:tcPr>
            <w:tcW w:w="5353" w:type="dxa"/>
          </w:tcPr>
          <w:p w14:paraId="7FE529DE" w14:textId="77777777" w:rsidR="007D6892" w:rsidRPr="007D6892" w:rsidRDefault="007D6892" w:rsidP="007D6892">
            <w:pPr>
              <w:rPr>
                <w:lang w:val="fi-FI"/>
              </w:rPr>
            </w:pPr>
            <w:r w:rsidRPr="007D6892">
              <w:rPr>
                <w:lang w:val="fi-FI"/>
              </w:rPr>
              <w:t>Industries not involved in EU ETS</w:t>
            </w:r>
          </w:p>
        </w:tc>
        <w:tc>
          <w:tcPr>
            <w:tcW w:w="3969" w:type="dxa"/>
          </w:tcPr>
          <w:p w14:paraId="15841EEA" w14:textId="77777777" w:rsidR="007D6892" w:rsidRPr="007D6892" w:rsidRDefault="007D6892" w:rsidP="007D6892">
            <w:pPr>
              <w:rPr>
                <w:bCs/>
                <w:lang w:val="fi-FI"/>
              </w:rPr>
            </w:pPr>
            <w:r w:rsidRPr="007D6892">
              <w:rPr>
                <w:bCs/>
                <w:lang w:val="fi-FI"/>
              </w:rPr>
              <w:t>Included, if addressed in SEAP</w:t>
            </w:r>
          </w:p>
        </w:tc>
      </w:tr>
      <w:tr w:rsidR="007D6892" w:rsidRPr="007D6892" w14:paraId="45E30925" w14:textId="77777777" w:rsidTr="00EF676B">
        <w:tc>
          <w:tcPr>
            <w:tcW w:w="9322" w:type="dxa"/>
            <w:gridSpan w:val="2"/>
          </w:tcPr>
          <w:p w14:paraId="64FFD6DF" w14:textId="77777777" w:rsidR="007D6892" w:rsidRPr="007D6892" w:rsidRDefault="007D6892" w:rsidP="007D6892">
            <w:pPr>
              <w:rPr>
                <w:lang w:val="fi-FI"/>
              </w:rPr>
            </w:pPr>
            <w:r w:rsidRPr="007D6892">
              <w:rPr>
                <w:b/>
                <w:bCs/>
                <w:lang w:val="fi-FI"/>
              </w:rPr>
              <w:t>TRANSPORT</w:t>
            </w:r>
          </w:p>
        </w:tc>
      </w:tr>
      <w:tr w:rsidR="007D6892" w:rsidRPr="007D6892" w14:paraId="348EEAE4" w14:textId="77777777" w:rsidTr="00EF676B">
        <w:tc>
          <w:tcPr>
            <w:tcW w:w="5353" w:type="dxa"/>
          </w:tcPr>
          <w:p w14:paraId="31E2AC01" w14:textId="77777777" w:rsidR="007D6892" w:rsidRPr="007D6892" w:rsidRDefault="007D6892" w:rsidP="007D6892">
            <w:pPr>
              <w:rPr>
                <w:lang w:val="en-US"/>
              </w:rPr>
            </w:pPr>
            <w:r w:rsidRPr="007D6892">
              <w:rPr>
                <w:lang w:val="fi-FI"/>
              </w:rPr>
              <w:t>Urban road transportation: municipal fleet</w:t>
            </w:r>
          </w:p>
        </w:tc>
        <w:tc>
          <w:tcPr>
            <w:tcW w:w="3969" w:type="dxa"/>
          </w:tcPr>
          <w:p w14:paraId="5FED7ADA" w14:textId="77777777" w:rsidR="007D6892" w:rsidRPr="007D6892" w:rsidRDefault="007D6892" w:rsidP="007D6892">
            <w:pPr>
              <w:rPr>
                <w:lang w:val="fi-FI"/>
              </w:rPr>
            </w:pPr>
          </w:p>
        </w:tc>
      </w:tr>
      <w:tr w:rsidR="007D6892" w:rsidRPr="007D6892" w14:paraId="07607C83" w14:textId="77777777" w:rsidTr="00EF676B">
        <w:tc>
          <w:tcPr>
            <w:tcW w:w="5353" w:type="dxa"/>
          </w:tcPr>
          <w:p w14:paraId="69D603AB" w14:textId="77777777" w:rsidR="007D6892" w:rsidRPr="007D6892" w:rsidRDefault="007D6892" w:rsidP="007D6892">
            <w:pPr>
              <w:rPr>
                <w:lang w:val="fi-FI"/>
              </w:rPr>
            </w:pPr>
            <w:r w:rsidRPr="007D6892">
              <w:rPr>
                <w:lang w:val="fi-FI"/>
              </w:rPr>
              <w:t>Urban road transportation: public transportation</w:t>
            </w:r>
          </w:p>
        </w:tc>
        <w:tc>
          <w:tcPr>
            <w:tcW w:w="3969" w:type="dxa"/>
          </w:tcPr>
          <w:p w14:paraId="5257A4F7" w14:textId="77777777" w:rsidR="007D6892" w:rsidRPr="007D6892" w:rsidRDefault="007D6892" w:rsidP="007D6892">
            <w:pPr>
              <w:rPr>
                <w:lang w:val="fi-FI"/>
              </w:rPr>
            </w:pPr>
          </w:p>
        </w:tc>
      </w:tr>
      <w:tr w:rsidR="007D6892" w:rsidRPr="007D6892" w14:paraId="28A5410F" w14:textId="77777777" w:rsidTr="00EF676B">
        <w:tc>
          <w:tcPr>
            <w:tcW w:w="5353" w:type="dxa"/>
          </w:tcPr>
          <w:p w14:paraId="1B956CD5" w14:textId="77777777" w:rsidR="007D6892" w:rsidRPr="007D6892" w:rsidRDefault="007D6892" w:rsidP="007D6892">
            <w:pPr>
              <w:rPr>
                <w:lang w:val="fi-FI"/>
              </w:rPr>
            </w:pPr>
            <w:r w:rsidRPr="007D6892">
              <w:rPr>
                <w:lang w:val="fi-FI"/>
              </w:rPr>
              <w:t xml:space="preserve">Urban road transportation: private and commercial transportation </w:t>
            </w:r>
          </w:p>
        </w:tc>
        <w:tc>
          <w:tcPr>
            <w:tcW w:w="3969" w:type="dxa"/>
          </w:tcPr>
          <w:p w14:paraId="4E7CE68B" w14:textId="77777777" w:rsidR="007D6892" w:rsidRPr="007D6892" w:rsidRDefault="007D6892" w:rsidP="007D6892">
            <w:pPr>
              <w:rPr>
                <w:lang w:val="fi-FI"/>
              </w:rPr>
            </w:pPr>
          </w:p>
        </w:tc>
      </w:tr>
      <w:tr w:rsidR="007D6892" w:rsidRPr="007D6892" w14:paraId="4B34560E" w14:textId="77777777" w:rsidTr="00EF676B">
        <w:tc>
          <w:tcPr>
            <w:tcW w:w="5353" w:type="dxa"/>
          </w:tcPr>
          <w:p w14:paraId="66BD98C4" w14:textId="77777777" w:rsidR="007D6892" w:rsidRPr="007D6892" w:rsidRDefault="007D6892" w:rsidP="007D6892">
            <w:pPr>
              <w:rPr>
                <w:lang w:val="fi-FI"/>
              </w:rPr>
            </w:pPr>
            <w:r w:rsidRPr="007D6892">
              <w:rPr>
                <w:lang w:val="fi-FI"/>
              </w:rPr>
              <w:t xml:space="preserve">Other road transportation </w:t>
            </w:r>
          </w:p>
        </w:tc>
        <w:tc>
          <w:tcPr>
            <w:tcW w:w="3969" w:type="dxa"/>
          </w:tcPr>
          <w:p w14:paraId="129A7983" w14:textId="77777777" w:rsidR="007D6892" w:rsidRPr="007D6892" w:rsidRDefault="007D6892" w:rsidP="007D6892">
            <w:pPr>
              <w:rPr>
                <w:lang w:val="fi-FI"/>
              </w:rPr>
            </w:pPr>
            <w:r w:rsidRPr="007D6892">
              <w:rPr>
                <w:bCs/>
                <w:lang w:val="fi-FI"/>
              </w:rPr>
              <w:t>Included, if addressed in SEAP</w:t>
            </w:r>
          </w:p>
        </w:tc>
      </w:tr>
      <w:tr w:rsidR="007D6892" w:rsidRPr="007D6892" w14:paraId="0FC51661" w14:textId="77777777" w:rsidTr="00EF676B">
        <w:tc>
          <w:tcPr>
            <w:tcW w:w="5353" w:type="dxa"/>
          </w:tcPr>
          <w:p w14:paraId="31D62B28" w14:textId="77777777" w:rsidR="007D6892" w:rsidRPr="007D6892" w:rsidRDefault="007D6892" w:rsidP="007D6892">
            <w:pPr>
              <w:rPr>
                <w:lang w:val="fi-FI"/>
              </w:rPr>
            </w:pPr>
            <w:r w:rsidRPr="007D6892">
              <w:rPr>
                <w:lang w:val="fi-FI"/>
              </w:rPr>
              <w:t xml:space="preserve">Urban rail transportation </w:t>
            </w:r>
          </w:p>
        </w:tc>
        <w:tc>
          <w:tcPr>
            <w:tcW w:w="3969" w:type="dxa"/>
          </w:tcPr>
          <w:p w14:paraId="00426FBB" w14:textId="77777777" w:rsidR="007D6892" w:rsidRPr="007D6892" w:rsidRDefault="007D6892" w:rsidP="007D6892">
            <w:pPr>
              <w:rPr>
                <w:lang w:val="fi-FI"/>
              </w:rPr>
            </w:pPr>
          </w:p>
        </w:tc>
      </w:tr>
      <w:tr w:rsidR="007D6892" w:rsidRPr="007D6892" w14:paraId="76105BD1" w14:textId="77777777" w:rsidTr="00EF676B">
        <w:tc>
          <w:tcPr>
            <w:tcW w:w="5353" w:type="dxa"/>
          </w:tcPr>
          <w:p w14:paraId="16F8389F" w14:textId="77777777" w:rsidR="007D6892" w:rsidRPr="007D6892" w:rsidRDefault="007D6892" w:rsidP="007D6892">
            <w:pPr>
              <w:rPr>
                <w:lang w:val="fi-FI"/>
              </w:rPr>
            </w:pPr>
            <w:r w:rsidRPr="007D6892">
              <w:rPr>
                <w:lang w:val="fi-FI"/>
              </w:rPr>
              <w:t xml:space="preserve">Other rail transportation </w:t>
            </w:r>
          </w:p>
        </w:tc>
        <w:tc>
          <w:tcPr>
            <w:tcW w:w="3969" w:type="dxa"/>
          </w:tcPr>
          <w:p w14:paraId="4BA0E224" w14:textId="77777777" w:rsidR="007D6892" w:rsidRPr="007D6892" w:rsidRDefault="007D6892" w:rsidP="007D6892">
            <w:pPr>
              <w:rPr>
                <w:lang w:val="fi-FI"/>
              </w:rPr>
            </w:pPr>
            <w:r w:rsidRPr="007D6892">
              <w:rPr>
                <w:bCs/>
                <w:lang w:val="fi-FI"/>
              </w:rPr>
              <w:t>Included, if addressed in SEAP</w:t>
            </w:r>
          </w:p>
        </w:tc>
      </w:tr>
      <w:tr w:rsidR="007D6892" w:rsidRPr="007D6892" w14:paraId="33064E99" w14:textId="77777777" w:rsidTr="00EF676B">
        <w:tc>
          <w:tcPr>
            <w:tcW w:w="5353" w:type="dxa"/>
          </w:tcPr>
          <w:p w14:paraId="6C9F640C" w14:textId="77777777" w:rsidR="007D6892" w:rsidRPr="007D6892" w:rsidRDefault="007D6892" w:rsidP="007D6892">
            <w:pPr>
              <w:rPr>
                <w:lang w:val="fi-FI"/>
              </w:rPr>
            </w:pPr>
            <w:r w:rsidRPr="007D6892">
              <w:rPr>
                <w:lang w:val="fi-FI"/>
              </w:rPr>
              <w:t xml:space="preserve">Local ferries </w:t>
            </w:r>
          </w:p>
        </w:tc>
        <w:tc>
          <w:tcPr>
            <w:tcW w:w="3969" w:type="dxa"/>
          </w:tcPr>
          <w:p w14:paraId="39CE1B9E" w14:textId="77777777" w:rsidR="007D6892" w:rsidRPr="007D6892" w:rsidRDefault="007D6892" w:rsidP="007D6892">
            <w:pPr>
              <w:rPr>
                <w:lang w:val="fi-FI"/>
              </w:rPr>
            </w:pPr>
            <w:r w:rsidRPr="007D6892">
              <w:rPr>
                <w:bCs/>
                <w:lang w:val="fi-FI"/>
              </w:rPr>
              <w:t>Included, if addressed in SEAP</w:t>
            </w:r>
          </w:p>
        </w:tc>
      </w:tr>
      <w:tr w:rsidR="007D6892" w:rsidRPr="007D6892" w14:paraId="688B9E1B" w14:textId="77777777" w:rsidTr="00EF676B">
        <w:tc>
          <w:tcPr>
            <w:tcW w:w="5353" w:type="dxa"/>
          </w:tcPr>
          <w:p w14:paraId="14020107" w14:textId="77777777" w:rsidR="007D6892" w:rsidRPr="007D6892" w:rsidRDefault="007D6892" w:rsidP="007D6892">
            <w:pPr>
              <w:rPr>
                <w:lang w:val="fi-FI"/>
              </w:rPr>
            </w:pPr>
            <w:r w:rsidRPr="007D6892">
              <w:rPr>
                <w:lang w:val="fi-FI"/>
              </w:rPr>
              <w:t>Off-road transport</w:t>
            </w:r>
          </w:p>
        </w:tc>
        <w:tc>
          <w:tcPr>
            <w:tcW w:w="3969" w:type="dxa"/>
          </w:tcPr>
          <w:p w14:paraId="2BEE1AEC" w14:textId="77777777" w:rsidR="007D6892" w:rsidRPr="007D6892" w:rsidRDefault="007D6892" w:rsidP="007D6892">
            <w:pPr>
              <w:rPr>
                <w:lang w:val="fi-FI"/>
              </w:rPr>
            </w:pPr>
            <w:r w:rsidRPr="007D6892">
              <w:rPr>
                <w:bCs/>
                <w:lang w:val="fi-FI"/>
              </w:rPr>
              <w:t>Included, if addressed in SEAP</w:t>
            </w:r>
          </w:p>
        </w:tc>
      </w:tr>
      <w:tr w:rsidR="007D6892" w:rsidRPr="007D6892" w14:paraId="0345EF06" w14:textId="77777777" w:rsidTr="00EF676B">
        <w:tc>
          <w:tcPr>
            <w:tcW w:w="9322" w:type="dxa"/>
            <w:gridSpan w:val="2"/>
          </w:tcPr>
          <w:p w14:paraId="4F3D71DC" w14:textId="77777777" w:rsidR="007D6892" w:rsidRPr="007D6892" w:rsidRDefault="007D6892" w:rsidP="007D6892">
            <w:pPr>
              <w:rPr>
                <w:lang w:val="fi-FI"/>
              </w:rPr>
            </w:pPr>
            <w:r w:rsidRPr="007D6892">
              <w:rPr>
                <w:b/>
                <w:bCs/>
                <w:lang w:val="fi-FI"/>
              </w:rPr>
              <w:t>Other (non-energy) sectors</w:t>
            </w:r>
          </w:p>
        </w:tc>
      </w:tr>
      <w:tr w:rsidR="007D6892" w:rsidRPr="007D6892" w14:paraId="06FC006A" w14:textId="77777777" w:rsidTr="00EF676B">
        <w:tc>
          <w:tcPr>
            <w:tcW w:w="5353" w:type="dxa"/>
          </w:tcPr>
          <w:p w14:paraId="2CEF7473" w14:textId="77777777" w:rsidR="007D6892" w:rsidRPr="007D6892" w:rsidRDefault="007D6892" w:rsidP="007D6892">
            <w:pPr>
              <w:rPr>
                <w:lang w:val="fi-FI"/>
              </w:rPr>
            </w:pPr>
            <w:r w:rsidRPr="007D6892">
              <w:rPr>
                <w:bCs/>
                <w:lang w:val="fi-FI"/>
              </w:rPr>
              <w:t>Wastewater treatment</w:t>
            </w:r>
          </w:p>
        </w:tc>
        <w:tc>
          <w:tcPr>
            <w:tcW w:w="3969" w:type="dxa"/>
          </w:tcPr>
          <w:p w14:paraId="79532D41" w14:textId="77777777" w:rsidR="007D6892" w:rsidRPr="007D6892" w:rsidRDefault="007D6892" w:rsidP="007D6892">
            <w:pPr>
              <w:rPr>
                <w:lang w:val="fi-FI"/>
              </w:rPr>
            </w:pPr>
            <w:r w:rsidRPr="007D6892">
              <w:rPr>
                <w:bCs/>
                <w:lang w:val="fi-FI"/>
              </w:rPr>
              <w:t>Included, if addressed in SEAP</w:t>
            </w:r>
          </w:p>
        </w:tc>
      </w:tr>
      <w:tr w:rsidR="007D6892" w:rsidRPr="007D6892" w14:paraId="2B0E490E" w14:textId="77777777" w:rsidTr="00EF676B">
        <w:tc>
          <w:tcPr>
            <w:tcW w:w="5353" w:type="dxa"/>
          </w:tcPr>
          <w:p w14:paraId="0CA8A845" w14:textId="77777777" w:rsidR="007D6892" w:rsidRPr="007D6892" w:rsidRDefault="007D6892" w:rsidP="007D6892">
            <w:pPr>
              <w:rPr>
                <w:lang w:val="fi-FI"/>
              </w:rPr>
            </w:pPr>
            <w:r w:rsidRPr="007D6892">
              <w:rPr>
                <w:bCs/>
                <w:lang w:val="fi-FI"/>
              </w:rPr>
              <w:t>Solid waste treatment</w:t>
            </w:r>
          </w:p>
        </w:tc>
        <w:tc>
          <w:tcPr>
            <w:tcW w:w="3969" w:type="dxa"/>
          </w:tcPr>
          <w:p w14:paraId="3D4C16AA" w14:textId="77777777" w:rsidR="007D6892" w:rsidRPr="007D6892" w:rsidRDefault="007D6892" w:rsidP="007D6892">
            <w:pPr>
              <w:rPr>
                <w:lang w:val="fi-FI"/>
              </w:rPr>
            </w:pPr>
            <w:r w:rsidRPr="007D6892">
              <w:rPr>
                <w:bCs/>
                <w:lang w:val="fi-FI"/>
              </w:rPr>
              <w:t>Included, if addressed in SEAP</w:t>
            </w:r>
          </w:p>
        </w:tc>
      </w:tr>
      <w:tr w:rsidR="007D6892" w:rsidRPr="007D6892" w14:paraId="5253A479" w14:textId="77777777" w:rsidTr="00EF676B">
        <w:tc>
          <w:tcPr>
            <w:tcW w:w="5353" w:type="dxa"/>
          </w:tcPr>
          <w:p w14:paraId="5E157AFF" w14:textId="77777777" w:rsidR="007D6892" w:rsidRPr="007D6892" w:rsidRDefault="007D6892" w:rsidP="007D6892">
            <w:pPr>
              <w:rPr>
                <w:lang w:val="fi-FI"/>
              </w:rPr>
            </w:pPr>
            <w:r w:rsidRPr="007D6892">
              <w:rPr>
                <w:b/>
                <w:bCs/>
                <w:lang w:val="fi-FI"/>
              </w:rPr>
              <w:t xml:space="preserve">Energy production </w:t>
            </w:r>
          </w:p>
        </w:tc>
        <w:tc>
          <w:tcPr>
            <w:tcW w:w="3969" w:type="dxa"/>
          </w:tcPr>
          <w:p w14:paraId="791C6B77" w14:textId="77777777" w:rsidR="007D6892" w:rsidRPr="007D6892" w:rsidRDefault="007D6892" w:rsidP="007D6892">
            <w:pPr>
              <w:rPr>
                <w:lang w:val="fi-FI"/>
              </w:rPr>
            </w:pPr>
          </w:p>
        </w:tc>
      </w:tr>
      <w:tr w:rsidR="007D6892" w:rsidRPr="007D6892" w14:paraId="03C4BE95" w14:textId="77777777" w:rsidTr="00EF676B">
        <w:tc>
          <w:tcPr>
            <w:tcW w:w="5353" w:type="dxa"/>
          </w:tcPr>
          <w:p w14:paraId="6DD9938A" w14:textId="77777777" w:rsidR="007D6892" w:rsidRPr="007D6892" w:rsidRDefault="007D6892" w:rsidP="007D6892">
            <w:pPr>
              <w:rPr>
                <w:bCs/>
                <w:lang w:val="fi-FI"/>
              </w:rPr>
            </w:pPr>
            <w:r w:rsidRPr="007D6892">
              <w:rPr>
                <w:bCs/>
                <w:lang w:val="fi-FI"/>
              </w:rPr>
              <w:t>Fuel consumption for electricity production</w:t>
            </w:r>
          </w:p>
        </w:tc>
        <w:tc>
          <w:tcPr>
            <w:tcW w:w="3969" w:type="dxa"/>
          </w:tcPr>
          <w:p w14:paraId="4EFE1050" w14:textId="77777777" w:rsidR="007D6892" w:rsidRPr="007D6892" w:rsidRDefault="007D6892" w:rsidP="007D6892">
            <w:pPr>
              <w:rPr>
                <w:lang w:val="fi-FI"/>
              </w:rPr>
            </w:pPr>
            <w:r w:rsidRPr="007D6892">
              <w:rPr>
                <w:bCs/>
                <w:lang w:val="fi-FI"/>
              </w:rPr>
              <w:t>Included, if addressed in SEAP</w:t>
            </w:r>
          </w:p>
        </w:tc>
      </w:tr>
      <w:tr w:rsidR="007D6892" w:rsidRPr="007D6892" w14:paraId="0200F631" w14:textId="77777777" w:rsidTr="00EF676B">
        <w:tc>
          <w:tcPr>
            <w:tcW w:w="5353" w:type="dxa"/>
          </w:tcPr>
          <w:p w14:paraId="2DD014B9" w14:textId="77777777" w:rsidR="007D6892" w:rsidRPr="007D6892" w:rsidRDefault="007D6892" w:rsidP="007D6892">
            <w:pPr>
              <w:rPr>
                <w:bCs/>
                <w:lang w:val="fi-FI"/>
              </w:rPr>
            </w:pPr>
            <w:r w:rsidRPr="007D6892">
              <w:rPr>
                <w:bCs/>
                <w:lang w:val="fi-FI"/>
              </w:rPr>
              <w:t xml:space="preserve">Fuel consumption for heat/cold production </w:t>
            </w:r>
          </w:p>
        </w:tc>
        <w:tc>
          <w:tcPr>
            <w:tcW w:w="3969" w:type="dxa"/>
          </w:tcPr>
          <w:p w14:paraId="22B7D8B2" w14:textId="77777777" w:rsidR="007D6892" w:rsidRPr="007D6892" w:rsidRDefault="007D6892" w:rsidP="007D6892">
            <w:pPr>
              <w:rPr>
                <w:b/>
                <w:bCs/>
                <w:lang w:val="fi-FI"/>
              </w:rPr>
            </w:pPr>
            <w:r w:rsidRPr="007D6892">
              <w:rPr>
                <w:bCs/>
                <w:lang w:val="fi-FI"/>
              </w:rPr>
              <w:t xml:space="preserve">Included if heat/cold is sold as a commodity </w:t>
            </w:r>
          </w:p>
        </w:tc>
      </w:tr>
    </w:tbl>
    <w:p w14:paraId="79F15AE3" w14:textId="77777777" w:rsidR="007D6892" w:rsidRPr="007D6892" w:rsidRDefault="007D6892" w:rsidP="007D6892">
      <w:pPr>
        <w:rPr>
          <w:lang w:val="en-US"/>
        </w:rPr>
      </w:pPr>
    </w:p>
    <w:p w14:paraId="3B38B34C" w14:textId="77777777" w:rsidR="007D6892" w:rsidRPr="007D6892" w:rsidRDefault="007D6892" w:rsidP="007D6892">
      <w:pPr>
        <w:rPr>
          <w:lang w:val="en-US"/>
        </w:rPr>
      </w:pPr>
      <w:r w:rsidRPr="007D6892">
        <w:rPr>
          <w:lang w:val="en-US"/>
        </w:rPr>
        <w:t>The GPC framework appears more comprehensive and better aligned with the IPCC emission sources and sectors, enabling smoother integration of urban GHG inventories into the national GHG inventory and providing a means of bottom-up validation for the national emissions. Further, IPCC categories of emission sources is a good practice for cities to follow for their inventories due to three main reasons: (a) the IPCC offers full coverage of all emissions/removals across all aspects of people’s social and economic activities; (b) it clearly defines and divides those emission sources which could easily cause confusion (e.g., energy combustion in cement production and emissions from the producing process itself shall be categorized under Energy and IPPU respectively); (c) consistency with national inventories is conducive for cities to conduct longitudinal comparison and analysis.</w:t>
      </w:r>
    </w:p>
    <w:p w14:paraId="09434C8B" w14:textId="77777777" w:rsidR="007D6892" w:rsidRPr="007D6892" w:rsidRDefault="007D6892" w:rsidP="007D6892">
      <w:pPr>
        <w:rPr>
          <w:lang w:val="en-US"/>
        </w:rPr>
      </w:pPr>
    </w:p>
    <w:p w14:paraId="75DC337B" w14:textId="77777777" w:rsidR="007D6892" w:rsidRPr="007D6892" w:rsidRDefault="007D6892" w:rsidP="007D6892">
      <w:pPr>
        <w:rPr>
          <w:lang w:val="en-US"/>
        </w:rPr>
      </w:pPr>
      <w:r w:rsidRPr="007D6892">
        <w:rPr>
          <w:lang w:val="en-US"/>
        </w:rPr>
        <w:t>The sectoral framework of the BEI/MEI is guided by its purpose as an instrument for measuring Covenant of Mayors' signatories' achievement of their mitigation goals: the bulk of GHG savings in the signatory cities are expected to be generated through demand-side energy measures over which the respective municipal authorities have higher degree of control. Hence, sectors such as the residential, tertiary, municipal buildings and equipment/facilities and transport are considered to be the key sectors in the Covenant of Mayors initiative; while AFOLU, industrial process emissions, fugitive emissions, etc are either excluded altogether or included as an option. Further, transmission and distribution losses from the use of grid-supplied electricity or heat are not explicitly covered by the BEI/MEI, while they are included as scope 3 emissions under the GPC.</w:t>
      </w:r>
    </w:p>
    <w:p w14:paraId="1BAFDE5C" w14:textId="77777777" w:rsidR="007D6892" w:rsidRPr="007D6892" w:rsidRDefault="007D6892" w:rsidP="007D6892">
      <w:pPr>
        <w:rPr>
          <w:lang w:val="en-US"/>
        </w:rPr>
      </w:pPr>
    </w:p>
    <w:p w14:paraId="44F23FD2" w14:textId="77777777" w:rsidR="007D6892" w:rsidRPr="007D6892" w:rsidRDefault="007D6892" w:rsidP="007D6892">
      <w:pPr>
        <w:rPr>
          <w:lang w:val="en-US"/>
        </w:rPr>
      </w:pPr>
      <w:r w:rsidRPr="007D6892">
        <w:rPr>
          <w:lang w:val="en-US"/>
        </w:rPr>
        <w:t xml:space="preserve">On the other hand, the BEI/MEI, by segregating emissions from municipal buildings and facilities, municipal public lighting and municipal transport, enables the municipal government to compile a so-called local government operations (LGO) GHG inventory (which actually forms a subset of the city-scale GHG inventory) that highlights the GHG emission sources over which city leadership has direct control and where mitigation measures could be implemented as part of a SEAP. </w:t>
      </w:r>
    </w:p>
    <w:p w14:paraId="1C87314F" w14:textId="77777777" w:rsidR="007D6892" w:rsidRPr="007D6892" w:rsidRDefault="007D6892" w:rsidP="007D6892">
      <w:pPr>
        <w:rPr>
          <w:lang w:val="en-US"/>
        </w:rPr>
      </w:pPr>
    </w:p>
    <w:p w14:paraId="097B6B42" w14:textId="77777777" w:rsidR="007D6892" w:rsidRPr="007D6892" w:rsidRDefault="007D6892" w:rsidP="007D6892">
      <w:pPr>
        <w:rPr>
          <w:i/>
          <w:lang w:val="en-US"/>
        </w:rPr>
      </w:pPr>
      <w:r w:rsidRPr="007D6892">
        <w:rPr>
          <w:i/>
          <w:lang w:val="en-US"/>
        </w:rPr>
        <w:t>GHG coverage, emission factors</w:t>
      </w:r>
    </w:p>
    <w:p w14:paraId="345212E8" w14:textId="77777777" w:rsidR="007D6892" w:rsidRPr="007D6892" w:rsidRDefault="007D6892" w:rsidP="007D6892">
      <w:pPr>
        <w:rPr>
          <w:lang w:val="en-US"/>
        </w:rPr>
      </w:pPr>
      <w:r w:rsidRPr="007D6892">
        <w:rPr>
          <w:lang w:val="en-US"/>
        </w:rPr>
        <w:t>The GPC is more thoroughly aligned with the IPCC guidelines in that it requires cities to account for emissions of all the key GHGs mandated under national GHG inventory reporting: carbon dioxide (CO</w:t>
      </w:r>
      <w:r w:rsidRPr="007D6892">
        <w:rPr>
          <w:vertAlign w:val="subscript"/>
          <w:lang w:val="en-US"/>
        </w:rPr>
        <w:t>2</w:t>
      </w:r>
      <w:r w:rsidRPr="007D6892">
        <w:rPr>
          <w:lang w:val="en-US"/>
        </w:rPr>
        <w:t>), methane (CH</w:t>
      </w:r>
      <w:r w:rsidRPr="007D6892">
        <w:rPr>
          <w:vertAlign w:val="subscript"/>
          <w:lang w:val="en-US"/>
        </w:rPr>
        <w:t>4</w:t>
      </w:r>
      <w:r w:rsidRPr="007D6892">
        <w:rPr>
          <w:lang w:val="en-US"/>
        </w:rPr>
        <w:t>), nitrous oxide (N</w:t>
      </w:r>
      <w:r w:rsidRPr="007D6892">
        <w:rPr>
          <w:vertAlign w:val="subscript"/>
          <w:lang w:val="en-US"/>
        </w:rPr>
        <w:t>2</w:t>
      </w:r>
      <w:r w:rsidRPr="007D6892">
        <w:rPr>
          <w:lang w:val="en-US"/>
        </w:rPr>
        <w:t>O), hydrofluorocarbons (HFCs), perfluorocarbons (PFCs), sulfur hexafluoride (SF</w:t>
      </w:r>
      <w:r w:rsidRPr="007D6892">
        <w:rPr>
          <w:vertAlign w:val="subscript"/>
          <w:lang w:val="en-US"/>
        </w:rPr>
        <w:t>6</w:t>
      </w:r>
      <w:r w:rsidRPr="007D6892">
        <w:rPr>
          <w:lang w:val="en-US"/>
        </w:rPr>
        <w:t>), and nitrogen triflouride (NF</w:t>
      </w:r>
      <w:r w:rsidRPr="007D6892">
        <w:rPr>
          <w:vertAlign w:val="subscript"/>
          <w:lang w:val="en-US"/>
        </w:rPr>
        <w:t>3</w:t>
      </w:r>
      <w:r w:rsidRPr="007D6892">
        <w:rPr>
          <w:lang w:val="en-US"/>
        </w:rPr>
        <w:t xml:space="preserve">). </w:t>
      </w:r>
    </w:p>
    <w:p w14:paraId="4BAC0DD2" w14:textId="77777777" w:rsidR="007D6892" w:rsidRPr="007D6892" w:rsidRDefault="007D6892" w:rsidP="007D6892">
      <w:pPr>
        <w:rPr>
          <w:lang w:val="en-US"/>
        </w:rPr>
      </w:pPr>
    </w:p>
    <w:p w14:paraId="229B0C54" w14:textId="77777777" w:rsidR="007D6892" w:rsidRPr="007D6892" w:rsidRDefault="007D6892" w:rsidP="007D6892">
      <w:pPr>
        <w:rPr>
          <w:lang w:val="en-US"/>
        </w:rPr>
      </w:pPr>
      <w:r w:rsidRPr="007D6892">
        <w:rPr>
          <w:lang w:val="en-US"/>
        </w:rPr>
        <w:t>The BEI/MEI only requires mandatory quantification of CO</w:t>
      </w:r>
      <w:r w:rsidRPr="007D6892">
        <w:rPr>
          <w:vertAlign w:val="subscript"/>
          <w:lang w:val="en-US"/>
        </w:rPr>
        <w:t>2</w:t>
      </w:r>
      <w:r w:rsidRPr="007D6892">
        <w:rPr>
          <w:lang w:val="en-US"/>
        </w:rPr>
        <w:t xml:space="preserve"> emissions due to final energy consumption in the cities. The local authority may include also CH</w:t>
      </w:r>
      <w:r w:rsidRPr="007D6892">
        <w:rPr>
          <w:vertAlign w:val="subscript"/>
          <w:lang w:val="en-US"/>
        </w:rPr>
        <w:t>4</w:t>
      </w:r>
      <w:r w:rsidRPr="007D6892">
        <w:rPr>
          <w:lang w:val="en-US"/>
        </w:rPr>
        <w:t xml:space="preserve"> and N</w:t>
      </w:r>
      <w:r w:rsidRPr="007D6892">
        <w:rPr>
          <w:vertAlign w:val="subscript"/>
          <w:lang w:val="en-US"/>
        </w:rPr>
        <w:t>2</w:t>
      </w:r>
      <w:r w:rsidRPr="007D6892">
        <w:rPr>
          <w:lang w:val="en-US"/>
        </w:rPr>
        <w:t xml:space="preserve">O emissions in the BEI/MEI depending on whether measures to reduce these GHGs are planned in the SEAP. </w:t>
      </w:r>
    </w:p>
    <w:p w14:paraId="3134C098" w14:textId="77777777" w:rsidR="007D6892" w:rsidRPr="007D6892" w:rsidRDefault="007D6892" w:rsidP="007D6892">
      <w:pPr>
        <w:rPr>
          <w:lang w:val="en-US"/>
        </w:rPr>
      </w:pPr>
    </w:p>
    <w:p w14:paraId="4FCD4509" w14:textId="77777777" w:rsidR="007D6892" w:rsidRPr="007D6892" w:rsidRDefault="007D6892" w:rsidP="007D6892">
      <w:pPr>
        <w:rPr>
          <w:lang w:val="en-US"/>
        </w:rPr>
      </w:pPr>
      <w:r w:rsidRPr="007D6892">
        <w:rPr>
          <w:lang w:val="en-US"/>
        </w:rPr>
        <w:t xml:space="preserve">Another difference between the GPC and the BEI/MEI lies in the use of the emission factors: both protocols apply the standard IPCC emission factors for the various fossil fuels consumed in cities to meet their energy needs. Additionally, however, the BEI/MEI allows a notable deviation from the IPCC guidelines by using Life Cycle Assessment (LCA) emission factors which take into consideration the overall life cycle of the energy carrier (not only the emissions of the final combustion, but also all emissions of the supply chain). </w:t>
      </w:r>
    </w:p>
    <w:p w14:paraId="10DE3E7E" w14:textId="77777777" w:rsidR="007D6892" w:rsidRPr="007D6892" w:rsidRDefault="007D6892" w:rsidP="007D6892">
      <w:pPr>
        <w:rPr>
          <w:lang w:val="en-US"/>
        </w:rPr>
      </w:pPr>
    </w:p>
    <w:p w14:paraId="3910218B" w14:textId="77777777" w:rsidR="007D6892" w:rsidRPr="007D6892" w:rsidRDefault="007D6892" w:rsidP="007D6892">
      <w:pPr>
        <w:rPr>
          <w:i/>
          <w:lang w:val="en-US"/>
        </w:rPr>
      </w:pPr>
      <w:r w:rsidRPr="007D6892">
        <w:rPr>
          <w:i/>
          <w:lang w:val="en-US"/>
        </w:rPr>
        <w:t xml:space="preserve">Reporting requirements </w:t>
      </w:r>
    </w:p>
    <w:p w14:paraId="4B72F0F0" w14:textId="77777777" w:rsidR="007D6892" w:rsidRPr="007D6892" w:rsidRDefault="007D6892" w:rsidP="007D6892">
      <w:pPr>
        <w:rPr>
          <w:lang w:val="en-US"/>
        </w:rPr>
      </w:pPr>
      <w:r w:rsidRPr="007D6892">
        <w:rPr>
          <w:lang w:val="en-US"/>
        </w:rPr>
        <w:t>Compared to the BEI/MEI, the GPC allows a greater degree of flexibility in reporting so as to reflect the range of data availability, capacity and inventory purposes. The GPC sets out two levels of reporting requirements that a city can choose for its inventory: BASIC and BASIC+</w:t>
      </w:r>
      <w:r w:rsidRPr="007D6892">
        <w:rPr>
          <w:vertAlign w:val="superscript"/>
          <w:lang w:val="en-US"/>
        </w:rPr>
        <w:footnoteReference w:id="38"/>
      </w:r>
      <w:r w:rsidRPr="007D6892">
        <w:rPr>
          <w:lang w:val="en-US"/>
        </w:rPr>
        <w:t xml:space="preserve">. These levels indicate the emission sources that need to be aggregated together. </w:t>
      </w:r>
    </w:p>
    <w:p w14:paraId="139214E3" w14:textId="77777777" w:rsidR="007D6892" w:rsidRPr="007D6892" w:rsidRDefault="007D6892" w:rsidP="007D6892">
      <w:pPr>
        <w:rPr>
          <w:lang w:val="fi-FI"/>
        </w:rPr>
      </w:pPr>
    </w:p>
    <w:p w14:paraId="6637F8F1" w14:textId="77777777" w:rsidR="007D6892" w:rsidRPr="007D6892" w:rsidRDefault="007D6892" w:rsidP="007D6892">
      <w:pPr>
        <w:numPr>
          <w:ilvl w:val="0"/>
          <w:numId w:val="57"/>
        </w:numPr>
        <w:rPr>
          <w:lang w:val="fi-FI"/>
        </w:rPr>
      </w:pPr>
      <w:r w:rsidRPr="007D6892">
        <w:rPr>
          <w:lang w:val="fi-FI"/>
        </w:rPr>
        <w:t xml:space="preserve">BASIC reporting: </w:t>
      </w:r>
    </w:p>
    <w:p w14:paraId="0C562366" w14:textId="77777777" w:rsidR="007D6892" w:rsidRPr="007D6892" w:rsidRDefault="007D6892" w:rsidP="007D6892">
      <w:pPr>
        <w:rPr>
          <w:lang w:val="fi-FI"/>
        </w:rPr>
      </w:pPr>
      <w:r w:rsidRPr="007D6892">
        <w:rPr>
          <w:lang w:val="fi-FI"/>
        </w:rPr>
        <w:t>This level requires the reporting of all scope 1 sources (except those listed below), all scope 2 sources and waste sector scope 3 sources. Scope 1 emissions not required under BASIC are:</w:t>
      </w:r>
    </w:p>
    <w:p w14:paraId="5F98BE78" w14:textId="77777777" w:rsidR="007D6892" w:rsidRPr="007D6892" w:rsidRDefault="007D6892" w:rsidP="007D6892">
      <w:pPr>
        <w:numPr>
          <w:ilvl w:val="1"/>
          <w:numId w:val="56"/>
        </w:numPr>
        <w:rPr>
          <w:lang w:val="en-US"/>
        </w:rPr>
      </w:pPr>
      <w:r w:rsidRPr="007D6892">
        <w:rPr>
          <w:lang w:val="en-US"/>
        </w:rPr>
        <w:t xml:space="preserve">Emissions from in-boundary energy generation </w:t>
      </w:r>
    </w:p>
    <w:p w14:paraId="01CFE733" w14:textId="77777777" w:rsidR="007D6892" w:rsidRPr="007D6892" w:rsidRDefault="007D6892" w:rsidP="007D6892">
      <w:pPr>
        <w:numPr>
          <w:ilvl w:val="1"/>
          <w:numId w:val="56"/>
        </w:numPr>
        <w:rPr>
          <w:lang w:val="en-US"/>
        </w:rPr>
      </w:pPr>
      <w:r w:rsidRPr="007D6892">
        <w:rPr>
          <w:lang w:val="en-US"/>
        </w:rPr>
        <w:t>Emissions from in-boundary disposal and treatment of imported waste</w:t>
      </w:r>
    </w:p>
    <w:p w14:paraId="1FE54EB2" w14:textId="77777777" w:rsidR="007D6892" w:rsidRPr="007D6892" w:rsidRDefault="007D6892" w:rsidP="007D6892">
      <w:pPr>
        <w:numPr>
          <w:ilvl w:val="1"/>
          <w:numId w:val="56"/>
        </w:numPr>
        <w:rPr>
          <w:lang w:val="en-US"/>
        </w:rPr>
      </w:pPr>
      <w:r w:rsidRPr="007D6892">
        <w:rPr>
          <w:lang w:val="en-US"/>
        </w:rPr>
        <w:t>Emissions from IPPU</w:t>
      </w:r>
    </w:p>
    <w:p w14:paraId="3B08BADD" w14:textId="77777777" w:rsidR="007D6892" w:rsidRPr="007D6892" w:rsidRDefault="007D6892" w:rsidP="007D6892">
      <w:pPr>
        <w:numPr>
          <w:ilvl w:val="1"/>
          <w:numId w:val="56"/>
        </w:numPr>
        <w:rPr>
          <w:lang w:val="en-US"/>
        </w:rPr>
      </w:pPr>
      <w:r w:rsidRPr="007D6892">
        <w:rPr>
          <w:lang w:val="en-US"/>
        </w:rPr>
        <w:t>Emissions from AFOLU</w:t>
      </w:r>
    </w:p>
    <w:p w14:paraId="58F5839B" w14:textId="77777777" w:rsidR="007D6892" w:rsidRPr="007D6892" w:rsidRDefault="007D6892" w:rsidP="007D6892">
      <w:pPr>
        <w:rPr>
          <w:lang w:val="fi-FI"/>
        </w:rPr>
      </w:pPr>
    </w:p>
    <w:p w14:paraId="5DC6AA8C" w14:textId="77777777" w:rsidR="007D6892" w:rsidRPr="007D6892" w:rsidRDefault="007D6892" w:rsidP="007D6892">
      <w:pPr>
        <w:numPr>
          <w:ilvl w:val="0"/>
          <w:numId w:val="58"/>
        </w:numPr>
        <w:rPr>
          <w:lang w:val="fi-FI"/>
        </w:rPr>
      </w:pPr>
      <w:r w:rsidRPr="007D6892">
        <w:rPr>
          <w:lang w:val="fi-FI"/>
        </w:rPr>
        <w:t xml:space="preserve">BASIC+ reporting: </w:t>
      </w:r>
    </w:p>
    <w:p w14:paraId="2989A383" w14:textId="77777777" w:rsidR="007D6892" w:rsidRPr="007D6892" w:rsidRDefault="007D6892" w:rsidP="007D6892">
      <w:pPr>
        <w:rPr>
          <w:lang w:val="fi-FI"/>
        </w:rPr>
      </w:pPr>
      <w:r w:rsidRPr="007D6892">
        <w:rPr>
          <w:lang w:val="fi-FI"/>
        </w:rPr>
        <w:t xml:space="preserve">This level covers all sources required for BASIC, plus scope 1 emissions from AFOLU and IPPU, and scope 3 emissions from transportation and stationary units. </w:t>
      </w:r>
    </w:p>
    <w:p w14:paraId="2052AC96" w14:textId="77777777" w:rsidR="007D6892" w:rsidRPr="007D6892" w:rsidRDefault="007D6892" w:rsidP="007D6892">
      <w:pPr>
        <w:rPr>
          <w:lang w:val="fi-FI"/>
        </w:rPr>
      </w:pPr>
    </w:p>
    <w:p w14:paraId="1EB3C1B9" w14:textId="77777777" w:rsidR="007D6892" w:rsidRPr="007D6892" w:rsidRDefault="007D6892" w:rsidP="007D6892">
      <w:pPr>
        <w:rPr>
          <w:lang w:val="en-US"/>
        </w:rPr>
      </w:pPr>
      <w:r w:rsidRPr="007D6892">
        <w:rPr>
          <w:lang w:val="en-US"/>
        </w:rPr>
        <w:t>Further, the GPC requires that cities report GHG emissions by sector, and where data is available, by sub-sector and sub-category.</w:t>
      </w:r>
    </w:p>
    <w:p w14:paraId="711B97C4" w14:textId="77777777" w:rsidR="007D6892" w:rsidRPr="007D6892" w:rsidRDefault="007D6892" w:rsidP="007D6892">
      <w:pPr>
        <w:rPr>
          <w:lang w:val="en-US"/>
        </w:rPr>
      </w:pPr>
    </w:p>
    <w:p w14:paraId="4A9A37EF" w14:textId="77777777" w:rsidR="007D6892" w:rsidRPr="007D6892" w:rsidRDefault="007D6892" w:rsidP="007D6892">
      <w:pPr>
        <w:rPr>
          <w:lang w:val="en-US"/>
        </w:rPr>
      </w:pPr>
      <w:r w:rsidRPr="007D6892">
        <w:rPr>
          <w:lang w:val="en-US"/>
        </w:rPr>
        <w:t xml:space="preserve">Once the GPC is finalized and fully substitutes IEAP, its reporting framework is likely to be adopted by the cCCR as a global platform for reporting on cities' GHG inventories, emission reduction targets and mitigation actions. </w:t>
      </w:r>
    </w:p>
    <w:p w14:paraId="19609DB9" w14:textId="77777777" w:rsidR="007D6892" w:rsidRPr="007D6892" w:rsidRDefault="007D6892" w:rsidP="007D6892">
      <w:pPr>
        <w:rPr>
          <w:lang w:val="en-US"/>
        </w:rPr>
      </w:pPr>
    </w:p>
    <w:p w14:paraId="2A8F8A24" w14:textId="77777777" w:rsidR="007D6892" w:rsidRPr="007D6892" w:rsidRDefault="007D6892" w:rsidP="007D6892">
      <w:pPr>
        <w:rPr>
          <w:lang w:val="en-US"/>
        </w:rPr>
      </w:pPr>
      <w:r w:rsidRPr="007D6892">
        <w:rPr>
          <w:lang w:val="en-US"/>
        </w:rPr>
        <w:t xml:space="preserve">Under the BEI/MEI, cities report through a standardized framework that includes all the mandatory elements and lets cities choose optional items (e.g. LCA emission factors, industry emissions, AFOLU etc). Unlike the GPC, emissions can only be aggregated across sectors and sub-sectors (but not across scopes); and the BEI/MEI allows some flexibility in reporting higher-level energy and GHG data (i.e. sector) in case sub-sectoral disaggregated data are not available or not reliable. </w:t>
      </w:r>
    </w:p>
    <w:p w14:paraId="5FB348F0" w14:textId="77777777" w:rsidR="007D6892" w:rsidRPr="007D6892" w:rsidRDefault="007D6892" w:rsidP="007D6892">
      <w:pPr>
        <w:rPr>
          <w:lang w:val="en-US"/>
        </w:rPr>
      </w:pPr>
    </w:p>
    <w:p w14:paraId="7C02126D" w14:textId="77777777" w:rsidR="007D6892" w:rsidRPr="007D6892" w:rsidRDefault="007D6892" w:rsidP="007D6892">
      <w:pPr>
        <w:rPr>
          <w:i/>
          <w:lang w:val="en-US"/>
        </w:rPr>
      </w:pPr>
      <w:r w:rsidRPr="007D6892">
        <w:rPr>
          <w:i/>
          <w:lang w:val="en-US"/>
        </w:rPr>
        <w:t>Final observations</w:t>
      </w:r>
    </w:p>
    <w:p w14:paraId="1EB27762" w14:textId="77777777" w:rsidR="007D6892" w:rsidRPr="007D6892" w:rsidRDefault="007D6892" w:rsidP="007D6892">
      <w:pPr>
        <w:rPr>
          <w:lang w:val="en-US"/>
        </w:rPr>
      </w:pPr>
      <w:r w:rsidRPr="007D6892">
        <w:rPr>
          <w:lang w:val="en-US"/>
        </w:rPr>
        <w:t xml:space="preserve">As indicated earlier, both GPC and BEI/MEI are predominantly based on the IPCC approaches and concepts for national GHG inventories. Nevertheless, the two protocols are not identical in their methodological frameworks and the largest differences occur in the selection of scopes and sectors, especially in relation to inclusion of local energy production. Despite these differences, the bulk of urban GHG emissions (originating from energy use in buildings and transport) estimated under both protocols should be comparable. </w:t>
      </w:r>
    </w:p>
    <w:p w14:paraId="3F9AA56C" w14:textId="77777777" w:rsidR="007D6892" w:rsidRPr="007D6892" w:rsidRDefault="007D6892" w:rsidP="007D6892">
      <w:pPr>
        <w:rPr>
          <w:lang w:val="en-US"/>
        </w:rPr>
      </w:pPr>
    </w:p>
    <w:p w14:paraId="2AC8EA44" w14:textId="77777777" w:rsidR="007D6892" w:rsidRPr="007D6892" w:rsidRDefault="007D6892" w:rsidP="007D6892">
      <w:pPr>
        <w:rPr>
          <w:lang w:val="en-US"/>
        </w:rPr>
      </w:pPr>
      <w:r w:rsidRPr="007D6892">
        <w:rPr>
          <w:lang w:val="en-US"/>
        </w:rPr>
        <w:t xml:space="preserve">Since a number of the UNDP/GEF pilot cities have already signed up to the Covenant of Mayors, and other may follow suit in the course of the project, it would seem logical to utilize the BEI/MEI accounting framework for compiling GHG inventories for these cities. Since the BEI/MEI guidelines explicitly allow the use of any other methodologies or tools that the local authority considers suitable, possible enhancements to the BEI/MEI approaches could be explored on the basis of the final version of the GPC (e.g. with a view to alight city inventories with national GHG inventory etc). </w:t>
      </w:r>
    </w:p>
    <w:p w14:paraId="49D45504" w14:textId="77777777" w:rsidR="007D6892" w:rsidRPr="007D6892" w:rsidRDefault="007D6892" w:rsidP="007D6892"/>
    <w:sectPr w:rsidR="007D6892" w:rsidRPr="007D6892" w:rsidSect="00D3340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A2B511" w14:textId="77777777" w:rsidR="00586B0F" w:rsidRDefault="00586B0F">
      <w:r>
        <w:separator/>
      </w:r>
    </w:p>
  </w:endnote>
  <w:endnote w:type="continuationSeparator" w:id="0">
    <w:p w14:paraId="42EB0206" w14:textId="77777777" w:rsidR="00586B0F" w:rsidRDefault="00586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altName w:val="Cambria"/>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Kudriashov">
    <w:altName w:val="Times New Roman"/>
    <w:panose1 w:val="00000000000000000000"/>
    <w:charset w:val="00"/>
    <w:family w:val="auto"/>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ecilia Roman">
    <w:altName w:val="Caecilia Roman"/>
    <w:panose1 w:val="00000000000000000000"/>
    <w:charset w:val="00"/>
    <w:family w:val="roman"/>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Univers 55">
    <w:altName w:val="Cambria"/>
    <w:panose1 w:val="00000000000000000000"/>
    <w:charset w:val="00"/>
    <w:family w:val="swiss"/>
    <w:notTrueType/>
    <w:pitch w:val="default"/>
    <w:sig w:usb0="00000003" w:usb1="00000000" w:usb2="00000000" w:usb3="00000000" w:csb0="00000001" w:csb1="00000000"/>
  </w:font>
  <w:font w:name="Univers 45 Light">
    <w:altName w:val="Cambria"/>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icrosoft Sans Serif">
    <w:panose1 w:val="020B0604020202020204"/>
    <w:charset w:val="00"/>
    <w:family w:val="swiss"/>
    <w:pitch w:val="variable"/>
    <w:sig w:usb0="E1002AFF" w:usb1="C0000002"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39AC8D" w14:textId="77777777" w:rsidR="00BA2E09" w:rsidRPr="00BE1FA1" w:rsidRDefault="00BA2E09" w:rsidP="00054EB2">
    <w:pPr>
      <w:pStyle w:val="Footer"/>
      <w:pBdr>
        <w:top w:val="thinThickSmallGap" w:sz="24" w:space="1" w:color="622423"/>
      </w:pBdr>
      <w:tabs>
        <w:tab w:val="clear" w:pos="4153"/>
        <w:tab w:val="clear" w:pos="8306"/>
        <w:tab w:val="right" w:pos="9362"/>
      </w:tabs>
      <w:rPr>
        <w:rFonts w:cs="Arial"/>
        <w:sz w:val="16"/>
        <w:szCs w:val="16"/>
        <w:lang w:val="fr-FR"/>
      </w:rPr>
    </w:pPr>
    <w:r w:rsidRPr="00BE1FA1">
      <w:rPr>
        <w:rFonts w:cs="Arial"/>
        <w:sz w:val="16"/>
        <w:szCs w:val="16"/>
        <w:lang w:val="fr-FR"/>
      </w:rPr>
      <w:t xml:space="preserve">UNDP </w:t>
    </w:r>
    <w:r w:rsidRPr="005B02B2">
      <w:rPr>
        <w:rFonts w:cs="Arial"/>
        <w:sz w:val="16"/>
        <w:szCs w:val="16"/>
        <w:lang w:val="en-US"/>
      </w:rPr>
      <w:t>Environmental</w:t>
    </w:r>
    <w:r w:rsidRPr="00BE1FA1">
      <w:rPr>
        <w:rFonts w:cs="Arial"/>
        <w:sz w:val="16"/>
        <w:szCs w:val="16"/>
        <w:lang w:val="fr-FR"/>
      </w:rPr>
      <w:t xml:space="preserve"> Finance Services</w:t>
    </w:r>
    <w:r w:rsidRPr="00BE1FA1">
      <w:rPr>
        <w:rFonts w:cs="Arial"/>
        <w:sz w:val="16"/>
        <w:szCs w:val="16"/>
        <w:lang w:val="fr-FR"/>
      </w:rPr>
      <w:tab/>
      <w:t xml:space="preserve">Page </w:t>
    </w:r>
    <w:r>
      <w:fldChar w:fldCharType="begin"/>
    </w:r>
    <w:r>
      <w:instrText xml:space="preserve"> PAGE   \* MERGEFORMAT </w:instrText>
    </w:r>
    <w:r>
      <w:fldChar w:fldCharType="separate"/>
    </w:r>
    <w:r w:rsidR="003B328F" w:rsidRPr="003B328F">
      <w:rPr>
        <w:rFonts w:cs="Arial"/>
        <w:noProof/>
        <w:sz w:val="16"/>
        <w:szCs w:val="16"/>
        <w:lang w:val="fr-FR"/>
      </w:rPr>
      <w:t>2</w:t>
    </w:r>
    <w:r>
      <w:rPr>
        <w:rFonts w:cs="Arial"/>
        <w:noProof/>
        <w:sz w:val="16"/>
        <w:szCs w:val="16"/>
        <w:lang w:val="fr-FR"/>
      </w:rPr>
      <w:fldChar w:fldCharType="end"/>
    </w:r>
  </w:p>
  <w:p w14:paraId="459D6B86" w14:textId="77777777" w:rsidR="00BA2E09" w:rsidRPr="00BE1FA1" w:rsidRDefault="00BA2E09">
    <w:pPr>
      <w:pStyle w:val="Footer"/>
      <w:rPr>
        <w:sz w:val="16"/>
        <w:szCs w:val="16"/>
        <w:lang w:val="fr-F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F22547" w14:textId="77777777" w:rsidR="00BA2E09" w:rsidRPr="00BE1FA1" w:rsidRDefault="00BA2E09">
    <w:pPr>
      <w:pStyle w:val="Footer"/>
      <w:pBdr>
        <w:top w:val="thinThickSmallGap" w:sz="24" w:space="1" w:color="622423"/>
      </w:pBdr>
      <w:rPr>
        <w:rFonts w:cs="Arial"/>
        <w:sz w:val="16"/>
        <w:szCs w:val="16"/>
        <w:lang w:val="fr-FR"/>
      </w:rPr>
    </w:pPr>
    <w:r w:rsidRPr="00BE1FA1">
      <w:rPr>
        <w:rFonts w:cs="Arial"/>
        <w:sz w:val="16"/>
        <w:szCs w:val="16"/>
        <w:lang w:val="fr-FR"/>
      </w:rPr>
      <w:t>UNDP Environmental Finance Services</w:t>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t>Page 25</w:t>
    </w:r>
  </w:p>
  <w:p w14:paraId="1D8CCFB0" w14:textId="77777777" w:rsidR="00BA2E09" w:rsidRPr="00BE1FA1" w:rsidRDefault="00BA2E09">
    <w:pPr>
      <w:pStyle w:val="Footer"/>
      <w:rPr>
        <w:lang w:val="fr-FR"/>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EEAF39" w14:textId="77777777" w:rsidR="00BA2E09" w:rsidRDefault="00BA2E09" w:rsidP="00D37F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9C51105" w14:textId="77777777" w:rsidR="00BA2E09" w:rsidRDefault="00BA2E0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35E8C5" w14:textId="77777777" w:rsidR="00BA2E09" w:rsidRPr="00BE1FA1" w:rsidRDefault="00BA2E09" w:rsidP="00304259">
    <w:pPr>
      <w:pStyle w:val="Footer"/>
      <w:pBdr>
        <w:top w:val="thinThickSmallGap" w:sz="24" w:space="1" w:color="622423"/>
      </w:pBdr>
      <w:tabs>
        <w:tab w:val="clear" w:pos="4153"/>
        <w:tab w:val="clear" w:pos="8306"/>
        <w:tab w:val="right" w:pos="9362"/>
      </w:tabs>
      <w:rPr>
        <w:rFonts w:cs="Arial"/>
        <w:sz w:val="16"/>
        <w:szCs w:val="16"/>
        <w:lang w:val="fr-FR"/>
      </w:rPr>
    </w:pPr>
    <w:r w:rsidRPr="00BE1FA1">
      <w:rPr>
        <w:rFonts w:cs="Arial"/>
        <w:sz w:val="16"/>
        <w:szCs w:val="16"/>
        <w:lang w:val="fr-FR"/>
      </w:rPr>
      <w:t>UNDP Environmental Finance Services</w:t>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r>
    <w:r w:rsidRPr="00BE1FA1">
      <w:rPr>
        <w:rFonts w:cs="Arial"/>
        <w:sz w:val="16"/>
        <w:szCs w:val="16"/>
        <w:lang w:val="fr-FR"/>
      </w:rPr>
      <w:tab/>
      <w:t xml:space="preserve">Page </w:t>
    </w:r>
    <w:r>
      <w:fldChar w:fldCharType="begin"/>
    </w:r>
    <w:r>
      <w:instrText xml:space="preserve"> PAGE   \* MERGEFORMAT </w:instrText>
    </w:r>
    <w:r>
      <w:fldChar w:fldCharType="separate"/>
    </w:r>
    <w:r w:rsidR="003B328F" w:rsidRPr="003B328F">
      <w:rPr>
        <w:rFonts w:cs="Arial"/>
        <w:noProof/>
        <w:sz w:val="16"/>
        <w:szCs w:val="16"/>
        <w:lang w:val="fr-FR"/>
      </w:rPr>
      <w:t>56</w:t>
    </w:r>
    <w:r>
      <w:rPr>
        <w:rFonts w:cs="Arial"/>
        <w:noProof/>
        <w:sz w:val="16"/>
        <w:szCs w:val="16"/>
        <w:lang w:val="fr-FR"/>
      </w:rPr>
      <w:fldChar w:fldCharType="end"/>
    </w:r>
  </w:p>
  <w:p w14:paraId="122FB605" w14:textId="77777777" w:rsidR="00BA2E09" w:rsidRPr="00BE1FA1" w:rsidRDefault="00BA2E09" w:rsidP="00304259">
    <w:pPr>
      <w:pStyle w:val="Footer"/>
      <w:rPr>
        <w:szCs w:val="18"/>
        <w:lang w:val="fr-FR"/>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ADF90" w14:textId="77777777" w:rsidR="00BA2E09" w:rsidRDefault="00BA2E09" w:rsidP="00345FF5">
    <w:pPr>
      <w:pStyle w:val="Footer"/>
      <w:jc w:val="center"/>
    </w:pPr>
    <w:r>
      <w:rPr>
        <w:rStyle w:val="PageNumber"/>
      </w:rPr>
      <w:fldChar w:fldCharType="begin"/>
    </w:r>
    <w:r>
      <w:rPr>
        <w:rStyle w:val="PageNumber"/>
      </w:rPr>
      <w:instrText xml:space="preserve"> PAGE </w:instrText>
    </w:r>
    <w:r>
      <w:rPr>
        <w:rStyle w:val="PageNumber"/>
      </w:rPr>
      <w:fldChar w:fldCharType="separate"/>
    </w:r>
    <w:r w:rsidR="003B328F">
      <w:rPr>
        <w:rStyle w:val="PageNumber"/>
        <w:noProof/>
      </w:rPr>
      <w:t>110</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AC0B90" w14:textId="77777777" w:rsidR="00586B0F" w:rsidRDefault="00586B0F">
      <w:r>
        <w:separator/>
      </w:r>
    </w:p>
  </w:footnote>
  <w:footnote w:type="continuationSeparator" w:id="0">
    <w:p w14:paraId="136905CD" w14:textId="77777777" w:rsidR="00586B0F" w:rsidRDefault="00586B0F">
      <w:r>
        <w:continuationSeparator/>
      </w:r>
    </w:p>
  </w:footnote>
  <w:footnote w:id="1">
    <w:p w14:paraId="6D2DD768" w14:textId="77777777" w:rsidR="00BA2E09" w:rsidRPr="005B5602" w:rsidRDefault="00BA2E09" w:rsidP="005B02B2">
      <w:pPr>
        <w:pStyle w:val="FootnoteText"/>
        <w:rPr>
          <w:rFonts w:cs="Arial"/>
          <w:szCs w:val="18"/>
        </w:rPr>
      </w:pPr>
      <w:r w:rsidRPr="005B5602">
        <w:rPr>
          <w:rStyle w:val="FootnoteReference"/>
          <w:rFonts w:ascii="Times New Roman" w:hAnsi="Times New Roman" w:cs="Arial"/>
          <w:szCs w:val="18"/>
        </w:rPr>
        <w:footnoteRef/>
      </w:r>
      <w:r w:rsidRPr="005B5602">
        <w:rPr>
          <w:rFonts w:cs="Arial"/>
          <w:szCs w:val="18"/>
        </w:rPr>
        <w:t xml:space="preserve"> UNFCCC, 2007. Decision 1/CP.13, Page 3, “Report of the Conference of the Parties on its thirteenth session, held in Bali from 3 to 15 December 2007,Addendum, Part Two: Action taken by the Conference of the Parties at its thirteenth session”, FCCC/CP/2007/6/Add.1.</w:t>
      </w:r>
    </w:p>
  </w:footnote>
  <w:footnote w:id="2">
    <w:p w14:paraId="12AD932A" w14:textId="77777777" w:rsidR="00BA2E09" w:rsidRPr="005B5602" w:rsidRDefault="00BA2E09" w:rsidP="005B02B2">
      <w:pPr>
        <w:pStyle w:val="FootnoteText"/>
        <w:rPr>
          <w:rFonts w:cs="Arial"/>
          <w:szCs w:val="18"/>
        </w:rPr>
      </w:pPr>
      <w:r w:rsidRPr="005B5602">
        <w:rPr>
          <w:rStyle w:val="FootnoteReference"/>
          <w:rFonts w:ascii="Times New Roman" w:hAnsi="Times New Roman" w:cs="Arial"/>
          <w:szCs w:val="18"/>
        </w:rPr>
        <w:footnoteRef/>
      </w:r>
      <w:r w:rsidRPr="005B5602">
        <w:rPr>
          <w:rFonts w:cs="Arial"/>
          <w:szCs w:val="18"/>
        </w:rPr>
        <w:t xml:space="preserve"> UNFCCC, 2010. Decision 1/CP.16, Page 2, “Report of the Conference of the Parties on its sixteenth session, held in Cancun from 29 November to 10 December 2010, Addendum, Part Two: Action taken by the Conference</w:t>
      </w:r>
      <w:r>
        <w:rPr>
          <w:rFonts w:cs="Arial"/>
          <w:szCs w:val="18"/>
        </w:rPr>
        <w:t xml:space="preserve"> </w:t>
      </w:r>
      <w:r w:rsidRPr="005B5602">
        <w:rPr>
          <w:rFonts w:cs="Arial"/>
          <w:szCs w:val="18"/>
        </w:rPr>
        <w:t>of the Parties at its sixteenth session”, FCCC/CP/2010/7/Add.1.</w:t>
      </w:r>
    </w:p>
  </w:footnote>
  <w:footnote w:id="3">
    <w:p w14:paraId="27F378C4" w14:textId="77777777" w:rsidR="00BA2E09" w:rsidRDefault="00BA2E09" w:rsidP="004C3956">
      <w:pPr>
        <w:pStyle w:val="FootnoteText"/>
      </w:pPr>
      <w:r>
        <w:rPr>
          <w:rStyle w:val="FootnoteReference"/>
        </w:rPr>
        <w:footnoteRef/>
      </w:r>
      <w:r>
        <w:t xml:space="preserve"> The proposed classification of urban NAMAs builds on the relevant guidance, including Global Protocol for Community Scale Greenhouse Gas Emission (ICLEI, WRI, 2012), Guidebook - How to develop sustainable energy action plan, Covenant of Mayors (EU, 2010) </w:t>
      </w:r>
    </w:p>
  </w:footnote>
  <w:footnote w:id="4">
    <w:p w14:paraId="426CCE1F" w14:textId="77777777" w:rsidR="00BA2E09" w:rsidRDefault="00BA2E09" w:rsidP="00976022">
      <w:pPr>
        <w:pStyle w:val="FootnoteText"/>
      </w:pPr>
      <w:r>
        <w:rPr>
          <w:rStyle w:val="FootnoteReference"/>
        </w:rPr>
        <w:footnoteRef/>
      </w:r>
      <w:r>
        <w:t xml:space="preserve"> Kazakhstan National Inventory Report to UNFCCC, 2014</w:t>
      </w:r>
    </w:p>
  </w:footnote>
  <w:footnote w:id="5">
    <w:p w14:paraId="632C49B6" w14:textId="77777777" w:rsidR="00BA2E09" w:rsidRDefault="00BA2E09" w:rsidP="00976022">
      <w:pPr>
        <w:pStyle w:val="FootnoteText"/>
      </w:pPr>
      <w:r>
        <w:rPr>
          <w:rStyle w:val="FootnoteReference"/>
        </w:rPr>
        <w:footnoteRef/>
      </w:r>
      <w:r>
        <w:t xml:space="preserve"> </w:t>
      </w:r>
      <w:r w:rsidRPr="004C52B4">
        <w:t>Representative GHG Baselines for Cities and their Respective Countries</w:t>
      </w:r>
      <w:r>
        <w:t>, World Bank</w:t>
      </w:r>
      <w:r w:rsidRPr="004C52B4">
        <w:t xml:space="preserve"> </w:t>
      </w:r>
      <w:r>
        <w:t>2011</w:t>
      </w:r>
    </w:p>
  </w:footnote>
  <w:footnote w:id="6">
    <w:p w14:paraId="3514ABC7" w14:textId="77777777" w:rsidR="00BA2E09" w:rsidRPr="00A14543" w:rsidRDefault="00BA2E09" w:rsidP="00976022">
      <w:pPr>
        <w:pStyle w:val="FootnoteText"/>
      </w:pPr>
      <w:r w:rsidRPr="00A14543">
        <w:rPr>
          <w:rStyle w:val="FootnoteReference"/>
          <w:rFonts w:cs="Arial"/>
          <w:szCs w:val="18"/>
        </w:rPr>
        <w:footnoteRef/>
      </w:r>
      <w:r w:rsidRPr="00A14543">
        <w:t xml:space="preserve"> 2013 Centennial Group NAC KAZ 2050 report [207]</w:t>
      </w:r>
    </w:p>
  </w:footnote>
  <w:footnote w:id="7">
    <w:p w14:paraId="750EB0E7" w14:textId="77777777" w:rsidR="00BA2E09" w:rsidRPr="00A14543" w:rsidRDefault="00BA2E09" w:rsidP="00976022">
      <w:pPr>
        <w:pStyle w:val="FootnoteText"/>
        <w:rPr>
          <w:lang w:val="en-GB"/>
        </w:rPr>
      </w:pPr>
      <w:r w:rsidRPr="00A14543">
        <w:rPr>
          <w:rStyle w:val="FootnoteReference"/>
          <w:rFonts w:cs="Arial"/>
          <w:szCs w:val="18"/>
        </w:rPr>
        <w:footnoteRef/>
      </w:r>
      <w:r w:rsidRPr="00A14543">
        <w:t xml:space="preserve"> Specifically, ensuring maintenance and communal services for multifamily housing remain a key priority for all cities. Multifamily apartment blocks account for 157.2 mln m2 or 60% of the housing stock; one of three or 50 mln m2 is in need of capital renovation, while 3.8 mln m2 is in emergency state and has to be demolished.</w:t>
      </w:r>
    </w:p>
  </w:footnote>
  <w:footnote w:id="8">
    <w:p w14:paraId="4FA59649" w14:textId="77777777" w:rsidR="00BA2E09" w:rsidRPr="005B02B2" w:rsidRDefault="00BA2E09" w:rsidP="00976022">
      <w:pPr>
        <w:pStyle w:val="FootnoteText"/>
      </w:pPr>
      <w:r w:rsidRPr="005B02B2">
        <w:rPr>
          <w:rStyle w:val="FootnoteReference"/>
          <w:rFonts w:cs="Arial"/>
          <w:szCs w:val="18"/>
        </w:rPr>
        <w:footnoteRef/>
      </w:r>
      <w:r w:rsidRPr="005B02B2">
        <w:t xml:space="preserve"> 2013 Centennial Group NAC KAZ 2050 report [208]</w:t>
      </w:r>
    </w:p>
  </w:footnote>
  <w:footnote w:id="9">
    <w:p w14:paraId="1E835ED7" w14:textId="77777777" w:rsidR="00BA2E09" w:rsidRPr="00416D58" w:rsidRDefault="00BA2E09" w:rsidP="006765DE">
      <w:pPr>
        <w:pStyle w:val="FootnoteText"/>
      </w:pPr>
      <w:r w:rsidRPr="00416D58">
        <w:rPr>
          <w:rStyle w:val="FootnoteReference"/>
          <w:rFonts w:cs="Arial"/>
          <w:szCs w:val="18"/>
        </w:rPr>
        <w:footnoteRef/>
      </w:r>
      <w:r w:rsidRPr="00416D58">
        <w:t xml:space="preserve"> The Law puts a special emphasis on promoting energy efficiency in the urban environment.  It mandates city authorities to incorporate energy efficiency measures in the urban development plans, as well as to undertake regular energy audits and ensure implementation of energy saving measures in all municipally-owned and operated buildings and facilities. The Law also authorizes city managers to monitor municipal energy consumption and its compliance with established norms and standards. It also mandates introduction of energy management system in enterprises and facilities with annual energy use in access of 1,500 toe, such as the district heating plants.</w:t>
      </w:r>
    </w:p>
  </w:footnote>
  <w:footnote w:id="10">
    <w:p w14:paraId="30DA1C4C" w14:textId="77777777" w:rsidR="00BA2E09" w:rsidRPr="00053BC5" w:rsidRDefault="00BA2E09">
      <w:pPr>
        <w:pStyle w:val="FootnoteText"/>
        <w:rPr>
          <w:lang w:val="en-GB"/>
        </w:rPr>
      </w:pPr>
      <w:r>
        <w:rPr>
          <w:rStyle w:val="FootnoteReference"/>
        </w:rPr>
        <w:footnoteRef/>
      </w:r>
      <w:r>
        <w:t xml:space="preserve"> Although the logic is commonly stated the other way round (i.e. cost savings are achieved through efficiency), this is the way it is stated in the Program. It appears to be assumed that energy saving measures will reduce costs.</w:t>
      </w:r>
    </w:p>
  </w:footnote>
  <w:footnote w:id="11">
    <w:p w14:paraId="3A7C604F" w14:textId="77777777" w:rsidR="00BA2E09" w:rsidRPr="00416D58" w:rsidRDefault="00BA2E09" w:rsidP="00310CAE">
      <w:pPr>
        <w:pStyle w:val="FootnoteText"/>
      </w:pPr>
      <w:r w:rsidRPr="00416D58">
        <w:rPr>
          <w:rStyle w:val="FootnoteReference"/>
          <w:rFonts w:cs="Arial"/>
          <w:szCs w:val="18"/>
        </w:rPr>
        <w:footnoteRef/>
      </w:r>
      <w:r w:rsidRPr="00416D58">
        <w:t xml:space="preserve"> The first stage of Program implementation in 2011-2016 envisages allocation of USD 1.6 billion (237 bln KZT) from the national budget and additional 43 m</w:t>
      </w:r>
      <w:r>
        <w:t>illion USD</w:t>
      </w:r>
      <w:r w:rsidRPr="00416D58">
        <w:t xml:space="preserve"> from the regional b</w:t>
      </w:r>
      <w:r>
        <w:t>udgets. Provision of 640 mln USD</w:t>
      </w:r>
      <w:r w:rsidRPr="00416D58">
        <w:t xml:space="preserve"> has already been confirmed in the tri-annual state budget for 2011-2013 approved by the Parliament and the President.</w:t>
      </w:r>
    </w:p>
  </w:footnote>
  <w:footnote w:id="12">
    <w:p w14:paraId="5087823A" w14:textId="2C86D73D" w:rsidR="00BA2E09" w:rsidRPr="00A635ED" w:rsidRDefault="00BA2E09" w:rsidP="003B091E">
      <w:pPr>
        <w:pStyle w:val="FootnoteText"/>
        <w:rPr>
          <w:rFonts w:cs="Arial"/>
          <w:szCs w:val="18"/>
        </w:rPr>
      </w:pPr>
      <w:r w:rsidRPr="00A635ED">
        <w:rPr>
          <w:rStyle w:val="FootnoteReference"/>
          <w:rFonts w:cs="Arial"/>
          <w:szCs w:val="18"/>
        </w:rPr>
        <w:footnoteRef/>
      </w:r>
      <w:r w:rsidRPr="00A635ED">
        <w:rPr>
          <w:rFonts w:cs="Arial"/>
          <w:szCs w:val="18"/>
        </w:rPr>
        <w:t>http://tbc.kz/novosti/ao-tovarnaya-birzha-kaspiy-sostoyalis-pervye-birzhevye-torgi-kvotami-na-vybrosy-parnikovykh-gazov-so.html</w:t>
      </w:r>
    </w:p>
  </w:footnote>
  <w:footnote w:id="13">
    <w:p w14:paraId="799BC881" w14:textId="77777777" w:rsidR="00BA2E09" w:rsidRPr="007201AA" w:rsidRDefault="00BA2E09">
      <w:pPr>
        <w:pStyle w:val="FootnoteText"/>
        <w:rPr>
          <w:lang w:val="en-GB"/>
        </w:rPr>
      </w:pPr>
      <w:r>
        <w:rPr>
          <w:rStyle w:val="FootnoteReference"/>
        </w:rPr>
        <w:footnoteRef/>
      </w:r>
      <w:r>
        <w:t xml:space="preserve"> </w:t>
      </w:r>
      <w:r w:rsidRPr="00D2490E">
        <w:t>In Kazakhstan legislation, a ‘Concept’ introduces a new policy to the government and public, followed by the development of an action plan. ‘Strategy’ constitutes a policy plan which will be legislated and accepted as the government vision for a specific number of years. The ‘Concept’ is essentially a blueprint for a strategy, which becomes viable only if there is a follow-up action plan reflected in and accounted for by the national budget</w:t>
      </w:r>
    </w:p>
  </w:footnote>
  <w:footnote w:id="14">
    <w:p w14:paraId="6867EA1B" w14:textId="77777777" w:rsidR="00BA2E09" w:rsidRPr="00E90A3E" w:rsidRDefault="00BA2E09" w:rsidP="005B02B2">
      <w:pPr>
        <w:pStyle w:val="FootnoteText"/>
        <w:rPr>
          <w:rFonts w:cs="Arial"/>
          <w:szCs w:val="18"/>
        </w:rPr>
      </w:pPr>
      <w:r w:rsidRPr="00E90A3E">
        <w:rPr>
          <w:rStyle w:val="FootnoteReference"/>
          <w:rFonts w:ascii="Times New Roman" w:hAnsi="Times New Roman" w:cs="Arial"/>
          <w:szCs w:val="18"/>
        </w:rPr>
        <w:footnoteRef/>
      </w:r>
      <w:r w:rsidRPr="00E90A3E">
        <w:rPr>
          <w:rFonts w:cs="Arial"/>
          <w:szCs w:val="18"/>
        </w:rPr>
        <w:t xml:space="preserve"> It has a major focus on energy and resource saving and contains a number of sustainability targets that Astana aspires to reach by 2030, such as the reduction of waste volumes by 80%, water consumption by 50%, and increased energy efficiency and use of renewable energy for heat supply to reduce energy-related GHG emissions by 1.2 MtCO2/yr. </w:t>
      </w:r>
    </w:p>
  </w:footnote>
  <w:footnote w:id="15">
    <w:p w14:paraId="758D07B7" w14:textId="77777777" w:rsidR="00BA2E09" w:rsidRPr="00E90A3E" w:rsidRDefault="00BA2E09" w:rsidP="005B02B2">
      <w:pPr>
        <w:pStyle w:val="FootnoteText"/>
        <w:rPr>
          <w:rFonts w:cs="Arial"/>
          <w:szCs w:val="18"/>
        </w:rPr>
      </w:pPr>
      <w:r w:rsidRPr="007201AA">
        <w:rPr>
          <w:rStyle w:val="FootnoteReference"/>
          <w:rFonts w:ascii="Times New Roman" w:hAnsi="Times New Roman" w:cs="Arial"/>
          <w:szCs w:val="18"/>
        </w:rPr>
        <w:footnoteRef/>
      </w:r>
      <w:r w:rsidRPr="007201AA">
        <w:rPr>
          <w:rFonts w:cs="Arial"/>
          <w:szCs w:val="18"/>
        </w:rPr>
        <w:t xml:space="preserve"> Specifically, the modernization of Prigorodnoye district might feature (the exact list of technical measures will be identified based on feasibility study): Establishment of new/co-generation-based district-level heat and hot water supply system; Modernize the district heating system by switching from group sub-stations to building-level sub-stations; Installation of advance heat control system (or cascade heating system); Extend the technological innovations in the city’s water pumping system by replacing old material and introducing state-of-the art systems and sub-systems; LED-based public lighting systems;  Energy efficient retrofit of public and residential buildings; New waste collection and recycling facility; District-level energy management and dispatch center for heat and power; Greening public areas.</w:t>
      </w:r>
    </w:p>
  </w:footnote>
  <w:footnote w:id="16">
    <w:p w14:paraId="440A229D" w14:textId="354261AF" w:rsidR="00BA2E09" w:rsidRPr="008D15C3" w:rsidRDefault="00BA2E09">
      <w:pPr>
        <w:pStyle w:val="FootnoteText"/>
        <w:rPr>
          <w:lang w:val="en-GB"/>
        </w:rPr>
      </w:pPr>
      <w:r>
        <w:rPr>
          <w:rStyle w:val="FootnoteReference"/>
        </w:rPr>
        <w:footnoteRef/>
      </w:r>
      <w:r>
        <w:t xml:space="preserve"> </w:t>
      </w:r>
      <w:r>
        <w:rPr>
          <w:lang w:val="en-GB"/>
        </w:rPr>
        <w:t>This includes a portion (</w:t>
      </w:r>
      <w:r w:rsidRPr="008D15C3">
        <w:rPr>
          <w:lang w:val="en-GB"/>
        </w:rPr>
        <w:t xml:space="preserve">KZT </w:t>
      </w:r>
      <w:r>
        <w:rPr>
          <w:lang w:val="en-GB"/>
        </w:rPr>
        <w:t>400 million) of the co-financing for these action plans counted as baseline co-financing (out of a total programme of KZT 725 million stated in the MEWR co-financing letter).</w:t>
      </w:r>
    </w:p>
  </w:footnote>
  <w:footnote w:id="17">
    <w:p w14:paraId="6AF175E1" w14:textId="0659EE2F" w:rsidR="00601401" w:rsidRPr="00601401" w:rsidRDefault="00601401">
      <w:pPr>
        <w:pStyle w:val="FootnoteText"/>
        <w:rPr>
          <w:lang w:val="en-GB"/>
        </w:rPr>
      </w:pPr>
      <w:r>
        <w:rPr>
          <w:rStyle w:val="FootnoteReference"/>
        </w:rPr>
        <w:footnoteRef/>
      </w:r>
      <w:r>
        <w:t xml:space="preserve"> </w:t>
      </w:r>
      <w:r>
        <w:rPr>
          <w:lang w:val="en-GB"/>
        </w:rPr>
        <w:t>IFC advisory services will support work on institution building and structuring. Up to USD 300 million in additional gearing from IFC as a result of these activities may be invested in component 3, as stated in the co-financing letter.</w:t>
      </w:r>
    </w:p>
  </w:footnote>
  <w:footnote w:id="18">
    <w:p w14:paraId="3A14D487" w14:textId="040FA2C9" w:rsidR="00601401" w:rsidRPr="00601401" w:rsidRDefault="00601401">
      <w:pPr>
        <w:pStyle w:val="FootnoteText"/>
        <w:rPr>
          <w:lang w:val="en-GB"/>
        </w:rPr>
      </w:pPr>
      <w:r>
        <w:rPr>
          <w:rStyle w:val="FootnoteReference"/>
        </w:rPr>
        <w:footnoteRef/>
      </w:r>
      <w:r>
        <w:t xml:space="preserve"> </w:t>
      </w:r>
      <w:r>
        <w:rPr>
          <w:lang w:val="en-GB"/>
        </w:rPr>
        <w:t>This and other MRD co-financing under component 4 represent a portion of the entire state programme for urban modernization.</w:t>
      </w:r>
    </w:p>
  </w:footnote>
  <w:footnote w:id="19">
    <w:p w14:paraId="154E869C" w14:textId="1034B8A5" w:rsidR="00BA2E09" w:rsidRPr="008D15C3" w:rsidRDefault="00BA2E09">
      <w:pPr>
        <w:pStyle w:val="FootnoteText"/>
        <w:rPr>
          <w:lang w:val="en-GB"/>
        </w:rPr>
      </w:pPr>
      <w:r>
        <w:rPr>
          <w:rStyle w:val="FootnoteReference"/>
        </w:rPr>
        <w:footnoteRef/>
      </w:r>
      <w:r>
        <w:t xml:space="preserve">  KZT 180 million in cofinancing consisting of KZT </w:t>
      </w:r>
      <w:r w:rsidRPr="00E60F5E">
        <w:t>157,974,000</w:t>
      </w:r>
      <w:r>
        <w:t xml:space="preserve"> in component 3 and the rest in component 5.</w:t>
      </w:r>
    </w:p>
  </w:footnote>
  <w:footnote w:id="20">
    <w:p w14:paraId="7776FD31" w14:textId="4AB6F4F7" w:rsidR="00BA2E09" w:rsidRPr="006C6731" w:rsidRDefault="00BA2E09">
      <w:pPr>
        <w:pStyle w:val="FootnoteText"/>
        <w:rPr>
          <w:lang w:val="en-GB"/>
        </w:rPr>
      </w:pPr>
      <w:r>
        <w:rPr>
          <w:rStyle w:val="FootnoteReference"/>
        </w:rPr>
        <w:footnoteRef/>
      </w:r>
      <w:r>
        <w:t xml:space="preserve"> </w:t>
      </w:r>
      <w:r>
        <w:rPr>
          <w:lang w:val="en-GB"/>
        </w:rPr>
        <w:t xml:space="preserve"> KZT </w:t>
      </w:r>
      <w:r w:rsidRPr="006C6731">
        <w:rPr>
          <w:lang w:val="en-GB"/>
        </w:rPr>
        <w:t>167,800,000</w:t>
      </w:r>
    </w:p>
  </w:footnote>
  <w:footnote w:id="21">
    <w:p w14:paraId="3E6DE5A0" w14:textId="77777777" w:rsidR="00BA2E09" w:rsidRPr="001B1D9B" w:rsidRDefault="00BA2E09">
      <w:pPr>
        <w:pStyle w:val="FootnoteText"/>
      </w:pPr>
      <w:r>
        <w:rPr>
          <w:rStyle w:val="FootnoteReference"/>
        </w:rPr>
        <w:footnoteRef/>
      </w:r>
      <w:r>
        <w:t xml:space="preserve"> It should be noted that companies with over 50% government ownership are not allowed to borrow money. Also, o</w:t>
      </w:r>
      <w:r w:rsidRPr="00CD7B39">
        <w:t xml:space="preserve">nly oblast Akimats and Akimats of Almaty and Astana (as cities of republican importance) can borrow money using their respective budgets as guarantees. If a city/town in a region needs </w:t>
      </w:r>
      <w:r>
        <w:t xml:space="preserve">commercial </w:t>
      </w:r>
      <w:r w:rsidRPr="00CD7B39">
        <w:t xml:space="preserve">credit, it can only go through an oblast Akimat. In some notable cases this has meant that investments have fallen through since city Akimats do not necessarily have the same priorities as oblast Akimats. A rather crucial detail that can delay and even halt the whole process. Same applies to municipal companies with 50% and more of the state share. </w:t>
      </w:r>
      <w:r>
        <w:t xml:space="preserve">This is not the case for the National Modernization Program. For this, </w:t>
      </w:r>
      <w:r w:rsidRPr="00CE0127">
        <w:t>local authorities should compile a list of residential buildings that are in need for repair</w:t>
      </w:r>
      <w:r>
        <w:t>,</w:t>
      </w:r>
      <w:r w:rsidRPr="00CE0127">
        <w:t xml:space="preserve"> residents of selected buildings should select a set of measures and agree to its financing through the P</w:t>
      </w:r>
      <w:r>
        <w:t>rogram, detailed feasibility studies should be prepared for each building, approved by regional authorities and then sent to MRD for approval via the NMP program. The loans are given to the apartment owners</w:t>
      </w:r>
    </w:p>
  </w:footnote>
  <w:footnote w:id="22">
    <w:p w14:paraId="190F0591" w14:textId="77777777" w:rsidR="00BA2E09" w:rsidRDefault="00BA2E09">
      <w:pPr>
        <w:pStyle w:val="FootnoteText"/>
      </w:pPr>
      <w:r>
        <w:rPr>
          <w:rStyle w:val="FootnoteReference"/>
        </w:rPr>
        <w:footnoteRef/>
      </w:r>
      <w:r>
        <w:t xml:space="preserve"> </w:t>
      </w:r>
      <w:r w:rsidRPr="001C5EA4">
        <w:rPr>
          <w:lang w:val="es-ES_tradnl"/>
        </w:rPr>
        <w:t>2013 UN Guidance for NAMA Design</w:t>
      </w:r>
      <w:r>
        <w:rPr>
          <w:lang w:val="es-ES_tradnl"/>
        </w:rPr>
        <w:t>.</w:t>
      </w:r>
    </w:p>
  </w:footnote>
  <w:footnote w:id="23">
    <w:p w14:paraId="7055485D" w14:textId="77777777" w:rsidR="00BA2E09" w:rsidRDefault="00BA2E09" w:rsidP="005E76E4">
      <w:pPr>
        <w:pStyle w:val="FootnoteText"/>
      </w:pPr>
      <w:r>
        <w:rPr>
          <w:rStyle w:val="FootnoteReference"/>
        </w:rPr>
        <w:footnoteRef/>
      </w:r>
      <w:r>
        <w:t xml:space="preserve"> </w:t>
      </w:r>
      <w:r w:rsidRPr="001C5EA4">
        <w:rPr>
          <w:lang w:val="es-ES_tradnl"/>
        </w:rPr>
        <w:t>2013 UN Guidance for NAMA Design</w:t>
      </w:r>
      <w:r>
        <w:rPr>
          <w:lang w:val="es-ES_tradnl"/>
        </w:rPr>
        <w:t>.</w:t>
      </w:r>
    </w:p>
  </w:footnote>
  <w:footnote w:id="24">
    <w:p w14:paraId="42751C5A" w14:textId="77777777" w:rsidR="006470C0" w:rsidRPr="00782F87" w:rsidRDefault="006470C0" w:rsidP="006470C0">
      <w:pPr>
        <w:pStyle w:val="FootnoteText"/>
      </w:pPr>
      <w:r>
        <w:rPr>
          <w:rStyle w:val="FootnoteReference"/>
        </w:rPr>
        <w:footnoteRef/>
      </w:r>
      <w:r>
        <w:t xml:space="preserve"> At the moment, there’s only a concept that identifies financing needs (about 30 mln US$ as start-up financing), participating institutions (government, National Welfare Fund Samruk-Kazyna, WB, ADB, EBRD), types of activities and target groups (entities in the SER; medium and small businesses),</w:t>
      </w:r>
    </w:p>
  </w:footnote>
  <w:footnote w:id="25">
    <w:p w14:paraId="5550CE1F" w14:textId="77777777" w:rsidR="00BA2E09" w:rsidRDefault="00BA2E09" w:rsidP="00F30B3C">
      <w:pPr>
        <w:pStyle w:val="FootnoteText"/>
      </w:pPr>
      <w:r>
        <w:rPr>
          <w:rStyle w:val="FootnoteReference"/>
        </w:rPr>
        <w:footnoteRef/>
      </w:r>
      <w:r>
        <w:t xml:space="preserve"> Baseline and project emission reductions were estimated following bottom-up approach based on the results of energy audits of one residential building and one kindergarten and a prefeasibility study for the district upgrade. </w:t>
      </w:r>
    </w:p>
  </w:footnote>
  <w:footnote w:id="26">
    <w:p w14:paraId="1800582D" w14:textId="77777777" w:rsidR="00BA2E09" w:rsidRPr="001C5EA4" w:rsidRDefault="00BA2E09" w:rsidP="00E13FA2">
      <w:pPr>
        <w:pStyle w:val="FootnoteText"/>
        <w:rPr>
          <w:lang w:val="es-ES_tradnl"/>
        </w:rPr>
      </w:pPr>
      <w:r>
        <w:rPr>
          <w:rStyle w:val="FootnoteReference"/>
        </w:rPr>
        <w:footnoteRef/>
      </w:r>
      <w:r w:rsidRPr="001C5EA4">
        <w:rPr>
          <w:lang w:val="es-ES_tradnl"/>
        </w:rPr>
        <w:t xml:space="preserve"> 2013 UN Guidance for NAMA Design</w:t>
      </w:r>
    </w:p>
  </w:footnote>
  <w:footnote w:id="27">
    <w:p w14:paraId="604372D0" w14:textId="77777777" w:rsidR="00BA2E09" w:rsidRPr="00983BF2" w:rsidRDefault="00BA2E09" w:rsidP="00E760B9">
      <w:pPr>
        <w:pStyle w:val="FootnoteText"/>
      </w:pPr>
      <w:r>
        <w:rPr>
          <w:rStyle w:val="FootnoteReference"/>
        </w:rPr>
        <w:footnoteRef/>
      </w:r>
      <w:r>
        <w:t xml:space="preserve"> Consistent with UNDP’s mandate to promote gender equality, reflected in the UNDP gender equality strategy 2014-2017, and the </w:t>
      </w:r>
      <w:r w:rsidRPr="00E760B9">
        <w:t>3rd Millennium Development Goal (to end poverty by promoting gender equality)</w:t>
      </w:r>
      <w:r>
        <w:t>, indicators</w:t>
      </w:r>
      <w:r w:rsidRPr="00E760B9">
        <w:t xml:space="preserve"> will </w:t>
      </w:r>
      <w:r>
        <w:t xml:space="preserve">be </w:t>
      </w:r>
      <w:r w:rsidRPr="00E760B9">
        <w:t>collect</w:t>
      </w:r>
      <w:r>
        <w:t>ed</w:t>
      </w:r>
      <w:r w:rsidRPr="00E760B9">
        <w:t xml:space="preserve"> gender-disaggregated and </w:t>
      </w:r>
      <w:r>
        <w:t xml:space="preserve">will aim to </w:t>
      </w:r>
      <w:r w:rsidRPr="00E760B9">
        <w:t>advance gender mainstreaming and social equity</w:t>
      </w:r>
      <w:r>
        <w:t>.</w:t>
      </w:r>
    </w:p>
  </w:footnote>
  <w:footnote w:id="28">
    <w:p w14:paraId="169885CF" w14:textId="77777777" w:rsidR="00BA2E09" w:rsidRPr="005B02B2" w:rsidRDefault="00BA2E09" w:rsidP="00E1433A">
      <w:pPr>
        <w:pStyle w:val="FootnoteText"/>
        <w:rPr>
          <w:rFonts w:cs="Arial"/>
          <w:i/>
          <w:szCs w:val="18"/>
        </w:rPr>
      </w:pPr>
      <w:r w:rsidRPr="005B02B2">
        <w:rPr>
          <w:rStyle w:val="FootnoteReference"/>
          <w:rFonts w:cs="Arial"/>
          <w:szCs w:val="18"/>
        </w:rPr>
        <w:footnoteRef/>
      </w:r>
      <w:r w:rsidRPr="005B02B2">
        <w:rPr>
          <w:rFonts w:cs="Arial"/>
          <w:szCs w:val="18"/>
        </w:rPr>
        <w:t xml:space="preserve"> </w:t>
      </w:r>
      <w:r w:rsidRPr="005B02B2">
        <w:rPr>
          <w:rFonts w:cs="Arial"/>
          <w:i/>
          <w:szCs w:val="18"/>
        </w:rPr>
        <w:t>Objective (Atlas o</w:t>
      </w:r>
      <w:r>
        <w:rPr>
          <w:rFonts w:cs="Arial"/>
          <w:i/>
          <w:szCs w:val="18"/>
        </w:rPr>
        <w:t>utput) monitored quarterly ERBM</w:t>
      </w:r>
      <w:r w:rsidRPr="005B02B2">
        <w:rPr>
          <w:rFonts w:cs="Arial"/>
          <w:i/>
          <w:szCs w:val="18"/>
        </w:rPr>
        <w:t xml:space="preserve"> and annually in APR/PIR</w:t>
      </w:r>
    </w:p>
  </w:footnote>
  <w:footnote w:id="29">
    <w:p w14:paraId="74520D6B" w14:textId="77777777" w:rsidR="00BA2E09" w:rsidRPr="005B02B2" w:rsidRDefault="00BA2E09" w:rsidP="00E1433A">
      <w:pPr>
        <w:pStyle w:val="FootnoteText"/>
        <w:rPr>
          <w:rFonts w:cs="Arial"/>
          <w:i/>
          <w:szCs w:val="18"/>
        </w:rPr>
      </w:pPr>
      <w:r w:rsidRPr="005B02B2">
        <w:rPr>
          <w:rStyle w:val="FootnoteReference"/>
          <w:rFonts w:cs="Arial"/>
          <w:i/>
          <w:szCs w:val="18"/>
        </w:rPr>
        <w:footnoteRef/>
      </w:r>
      <w:r w:rsidRPr="005B02B2">
        <w:rPr>
          <w:rFonts w:cs="Arial"/>
          <w:i/>
          <w:szCs w:val="18"/>
        </w:rPr>
        <w:t xml:space="preserve"> All outcomes monitored annually in the APR/PIR.  It is highly recommended not to have more than 4 outcomes.</w:t>
      </w:r>
    </w:p>
  </w:footnote>
  <w:footnote w:id="30">
    <w:p w14:paraId="0AD9BD0F" w14:textId="77777777" w:rsidR="00BA2E09" w:rsidRDefault="00BA2E09">
      <w:pPr>
        <w:pStyle w:val="FootnoteText"/>
      </w:pPr>
      <w:r>
        <w:rPr>
          <w:rStyle w:val="FootnoteReference"/>
        </w:rPr>
        <w:footnoteRef/>
      </w:r>
      <w:r>
        <w:t xml:space="preserve"> </w:t>
      </w:r>
      <w:r w:rsidRPr="004A2A83">
        <w:rPr>
          <w:szCs w:val="18"/>
        </w:rPr>
        <w:t>In line with standing GEF and UNDP policies, the project will be nationally executed by the Government (referred to as ‘national implementation’ in UNDP terminology). The Government has key control functions related to all aspects of project leadership, management and implementation (e.g. provides the National Project Director, heads and manages the Steering Committee/Project Board, considers and approves key milestones within its jurisdiction – such as annual work plans, budgets, management responses to mid-term and final evaluations, participates in monitoring, etc., as further described in the Management Arrangements). At the same time, under the National Implementation Modality, UNDP can render direct project services on request of Governments. The Government of Kazakhstan has requested such services from UNDP since the national legislation does not allow for direct project execution of international technical assistance by Government entities.</w:t>
      </w:r>
    </w:p>
  </w:footnote>
  <w:footnote w:id="31">
    <w:p w14:paraId="5E368D3D" w14:textId="77777777" w:rsidR="00BA2E09" w:rsidRPr="00351055" w:rsidRDefault="00BA2E09" w:rsidP="001176E9">
      <w:pPr>
        <w:pStyle w:val="FootnoteText"/>
        <w:rPr>
          <w:rFonts w:cs="Arial"/>
          <w:szCs w:val="18"/>
        </w:rPr>
      </w:pPr>
      <w:r w:rsidRPr="00351055">
        <w:rPr>
          <w:rStyle w:val="FootnoteReference"/>
          <w:rFonts w:ascii="Times New Roman" w:hAnsi="Times New Roman" w:cs="Arial"/>
          <w:szCs w:val="18"/>
        </w:rPr>
        <w:footnoteRef/>
      </w:r>
      <w:r w:rsidRPr="00351055">
        <w:rPr>
          <w:rFonts w:cs="Arial"/>
          <w:szCs w:val="18"/>
        </w:rPr>
        <w:t xml:space="preserve"> 2013 Centennial Group NAC KAZ 2050 report [208]</w:t>
      </w:r>
    </w:p>
  </w:footnote>
  <w:footnote w:id="32">
    <w:p w14:paraId="6DD53E1D" w14:textId="77777777" w:rsidR="00BA2E09" w:rsidRPr="005B02B2" w:rsidRDefault="00BA2E09" w:rsidP="00E1433A">
      <w:pPr>
        <w:pStyle w:val="FootnoteText"/>
        <w:rPr>
          <w:rFonts w:cs="Arial"/>
          <w:szCs w:val="18"/>
        </w:rPr>
      </w:pPr>
      <w:r w:rsidRPr="005B02B2">
        <w:rPr>
          <w:rStyle w:val="FootnoteReference"/>
          <w:rFonts w:cs="Arial"/>
          <w:szCs w:val="18"/>
        </w:rPr>
        <w:footnoteRef/>
      </w:r>
      <w:r w:rsidRPr="005B02B2">
        <w:rPr>
          <w:rFonts w:cs="Arial"/>
          <w:szCs w:val="18"/>
        </w:rPr>
        <w:t xml:space="preserve"> </w:t>
      </w:r>
      <w:r w:rsidRPr="005B02B2">
        <w:rPr>
          <w:rStyle w:val="Emphasis"/>
          <w:rFonts w:cs="Arial"/>
          <w:szCs w:val="18"/>
        </w:rPr>
        <w:t>For GEF projects, the agreement with any NGO pre-selected to be the main contractor should include the rationale for having pre-selected that NGO.</w:t>
      </w:r>
    </w:p>
  </w:footnote>
  <w:footnote w:id="33">
    <w:p w14:paraId="28BCE063" w14:textId="77777777" w:rsidR="00BA2E09" w:rsidRPr="001B43F3" w:rsidRDefault="00BA2E09" w:rsidP="00FF6A34">
      <w:pPr>
        <w:rPr>
          <w:sz w:val="18"/>
          <w:szCs w:val="18"/>
        </w:rPr>
      </w:pPr>
      <w:r w:rsidRPr="001B43F3">
        <w:rPr>
          <w:rFonts w:cs="Arial"/>
          <w:sz w:val="18"/>
          <w:szCs w:val="18"/>
          <w:vertAlign w:val="superscript"/>
        </w:rPr>
        <w:footnoteRef/>
      </w:r>
      <w:r w:rsidRPr="001B43F3">
        <w:rPr>
          <w:rFonts w:cs="Arial"/>
          <w:sz w:val="18"/>
          <w:szCs w:val="18"/>
        </w:rPr>
        <w:t xml:space="preserve"> </w:t>
      </w:r>
      <w:r>
        <w:rPr>
          <w:rFonts w:cs="Arial"/>
          <w:sz w:val="18"/>
          <w:szCs w:val="18"/>
        </w:rPr>
        <w:t>S</w:t>
      </w:r>
      <w:r w:rsidRPr="001B43F3">
        <w:rPr>
          <w:rFonts w:cs="Arial"/>
          <w:sz w:val="18"/>
          <w:szCs w:val="18"/>
        </w:rPr>
        <w:t>uch huge discrepancy in data is indicative of flaws in the system of collection of and reporting on waste data</w:t>
      </w:r>
    </w:p>
  </w:footnote>
  <w:footnote w:id="34">
    <w:p w14:paraId="70F9078F" w14:textId="77777777" w:rsidR="00BA2E09" w:rsidRDefault="00BA2E09" w:rsidP="0008719E">
      <w:pPr>
        <w:pStyle w:val="FootnoteText"/>
      </w:pPr>
      <w:r>
        <w:rPr>
          <w:rStyle w:val="FootnoteReference"/>
        </w:rPr>
        <w:footnoteRef/>
      </w:r>
      <w:r>
        <w:t xml:space="preserve"> Calculating GHG benefits of GEF energy efficiency projects, STAP 2013 </w:t>
      </w:r>
    </w:p>
  </w:footnote>
  <w:footnote w:id="35">
    <w:p w14:paraId="1CA3F1BC" w14:textId="77777777" w:rsidR="00BA2E09" w:rsidRDefault="00BA2E09" w:rsidP="0008719E">
      <w:pPr>
        <w:pStyle w:val="FootnoteText"/>
      </w:pPr>
      <w:r>
        <w:rPr>
          <w:rStyle w:val="FootnoteReference"/>
        </w:rPr>
        <w:footnoteRef/>
      </w:r>
      <w:r>
        <w:t xml:space="preserve"> Development of the electricity emission factors in Kazakhstan, EBRD 2012</w:t>
      </w:r>
    </w:p>
  </w:footnote>
  <w:footnote w:id="36">
    <w:p w14:paraId="587D8BA4" w14:textId="77777777" w:rsidR="00BA2E09" w:rsidRDefault="00BA2E09" w:rsidP="0008719E">
      <w:pPr>
        <w:pStyle w:val="FootnoteText"/>
      </w:pPr>
      <w:r>
        <w:rPr>
          <w:rStyle w:val="FootnoteReference"/>
        </w:rPr>
        <w:footnoteRef/>
      </w:r>
      <w:r>
        <w:t xml:space="preserve"> This follows the guidance of the 2013 revised methodology for GHG impact assessment of GEF EE projects.</w:t>
      </w:r>
    </w:p>
  </w:footnote>
  <w:footnote w:id="37">
    <w:p w14:paraId="78CFF7DC" w14:textId="77777777" w:rsidR="007D6892" w:rsidRPr="00A41309" w:rsidRDefault="007D6892" w:rsidP="007D6892">
      <w:pPr>
        <w:pStyle w:val="FootnoteText"/>
      </w:pPr>
      <w:r>
        <w:rPr>
          <w:rStyle w:val="FootnoteReference"/>
        </w:rPr>
        <w:footnoteRef/>
      </w:r>
      <w:r>
        <w:t xml:space="preserve"> First introduced in the WRI</w:t>
      </w:r>
      <w:r w:rsidRPr="00060E26">
        <w:rPr>
          <w:i/>
          <w:lang w:eastAsia="zh-CN"/>
        </w:rPr>
        <w:t xml:space="preserve"> </w:t>
      </w:r>
      <w:r w:rsidRPr="00F620DB">
        <w:rPr>
          <w:i/>
          <w:lang w:eastAsia="zh-CN"/>
        </w:rPr>
        <w:t>GHG Protocol</w:t>
      </w:r>
      <w:r w:rsidRPr="00FB721D">
        <w:rPr>
          <w:lang w:eastAsia="zh-CN"/>
        </w:rPr>
        <w:t xml:space="preserve"> </w:t>
      </w:r>
      <w:r w:rsidRPr="00FB721D">
        <w:rPr>
          <w:i/>
          <w:lang w:eastAsia="zh-CN"/>
        </w:rPr>
        <w:t>Corporate Standard</w:t>
      </w:r>
      <w:r>
        <w:rPr>
          <w:i/>
          <w:lang w:eastAsia="zh-CN"/>
        </w:rPr>
        <w:t xml:space="preserve">, </w:t>
      </w:r>
      <w:r>
        <w:t>the scopes framework has been subsequently adopted by other GHG accounting protocols</w:t>
      </w:r>
      <w:r>
        <w:tab/>
      </w:r>
    </w:p>
  </w:footnote>
  <w:footnote w:id="38">
    <w:p w14:paraId="5D64A5DC" w14:textId="77777777" w:rsidR="007D6892" w:rsidRPr="00DC77B0" w:rsidRDefault="007D6892" w:rsidP="007D6892">
      <w:pPr>
        <w:pStyle w:val="FootnoteText"/>
      </w:pPr>
      <w:r>
        <w:rPr>
          <w:rStyle w:val="FootnoteReference"/>
        </w:rPr>
        <w:footnoteRef/>
      </w:r>
      <w:r>
        <w:t xml:space="preserve"> </w:t>
      </w:r>
      <w:r w:rsidRPr="00FE2778">
        <w:rPr>
          <w:szCs w:val="18"/>
        </w:rPr>
        <w:t xml:space="preserve">A third – </w:t>
      </w:r>
      <w:r w:rsidRPr="00FE2778">
        <w:rPr>
          <w:i/>
          <w:szCs w:val="18"/>
        </w:rPr>
        <w:t>expanded</w:t>
      </w:r>
      <w:r w:rsidRPr="00FE2778">
        <w:rPr>
          <w:szCs w:val="18"/>
        </w:rPr>
        <w:t xml:space="preserve"> – level of reporting is going to be added to future versions of the GPC.</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116E36" w14:textId="77777777" w:rsidR="00BA2E09" w:rsidRPr="00424365" w:rsidRDefault="00BA2E09" w:rsidP="00424365">
    <w:pPr>
      <w:pStyle w:val="Header"/>
      <w:rPr>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A64E3"/>
    <w:multiLevelType w:val="hybridMultilevel"/>
    <w:tmpl w:val="5DFE2C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4380D33"/>
    <w:multiLevelType w:val="hybridMultilevel"/>
    <w:tmpl w:val="00FAAD82"/>
    <w:lvl w:ilvl="0" w:tplc="C69A97F8">
      <w:start w:val="1"/>
      <w:numFmt w:val="bullet"/>
      <w:lvlText w:val=""/>
      <w:lvlJc w:val="left"/>
      <w:pPr>
        <w:tabs>
          <w:tab w:val="num" w:pos="360"/>
        </w:tabs>
        <w:ind w:left="360" w:hanging="360"/>
      </w:pPr>
      <w:rPr>
        <w:rFonts w:ascii="Wingdings" w:hAnsi="Wingdings" w:hint="default"/>
      </w:rPr>
    </w:lvl>
    <w:lvl w:ilvl="1" w:tplc="A2422F72" w:tentative="1">
      <w:start w:val="1"/>
      <w:numFmt w:val="bullet"/>
      <w:lvlText w:val="o"/>
      <w:lvlJc w:val="left"/>
      <w:pPr>
        <w:tabs>
          <w:tab w:val="num" w:pos="1080"/>
        </w:tabs>
        <w:ind w:left="1080" w:hanging="360"/>
      </w:pPr>
      <w:rPr>
        <w:rFonts w:ascii="Courier New" w:hAnsi="Courier New" w:cs="Courier New" w:hint="default"/>
      </w:rPr>
    </w:lvl>
    <w:lvl w:ilvl="2" w:tplc="9D94D4DE" w:tentative="1">
      <w:start w:val="1"/>
      <w:numFmt w:val="bullet"/>
      <w:lvlText w:val=""/>
      <w:lvlJc w:val="left"/>
      <w:pPr>
        <w:tabs>
          <w:tab w:val="num" w:pos="1800"/>
        </w:tabs>
        <w:ind w:left="1800" w:hanging="360"/>
      </w:pPr>
      <w:rPr>
        <w:rFonts w:ascii="Wingdings" w:hAnsi="Wingdings" w:hint="default"/>
      </w:rPr>
    </w:lvl>
    <w:lvl w:ilvl="3" w:tplc="FE6861C8" w:tentative="1">
      <w:start w:val="1"/>
      <w:numFmt w:val="bullet"/>
      <w:lvlText w:val=""/>
      <w:lvlJc w:val="left"/>
      <w:pPr>
        <w:tabs>
          <w:tab w:val="num" w:pos="2520"/>
        </w:tabs>
        <w:ind w:left="2520" w:hanging="360"/>
      </w:pPr>
      <w:rPr>
        <w:rFonts w:ascii="Symbol" w:hAnsi="Symbol" w:hint="default"/>
      </w:rPr>
    </w:lvl>
    <w:lvl w:ilvl="4" w:tplc="8C8409C8" w:tentative="1">
      <w:start w:val="1"/>
      <w:numFmt w:val="bullet"/>
      <w:lvlText w:val="o"/>
      <w:lvlJc w:val="left"/>
      <w:pPr>
        <w:tabs>
          <w:tab w:val="num" w:pos="3240"/>
        </w:tabs>
        <w:ind w:left="3240" w:hanging="360"/>
      </w:pPr>
      <w:rPr>
        <w:rFonts w:ascii="Courier New" w:hAnsi="Courier New" w:cs="Courier New" w:hint="default"/>
      </w:rPr>
    </w:lvl>
    <w:lvl w:ilvl="5" w:tplc="9592A160" w:tentative="1">
      <w:start w:val="1"/>
      <w:numFmt w:val="bullet"/>
      <w:lvlText w:val=""/>
      <w:lvlJc w:val="left"/>
      <w:pPr>
        <w:tabs>
          <w:tab w:val="num" w:pos="3960"/>
        </w:tabs>
        <w:ind w:left="3960" w:hanging="360"/>
      </w:pPr>
      <w:rPr>
        <w:rFonts w:ascii="Wingdings" w:hAnsi="Wingdings" w:hint="default"/>
      </w:rPr>
    </w:lvl>
    <w:lvl w:ilvl="6" w:tplc="5A144B04" w:tentative="1">
      <w:start w:val="1"/>
      <w:numFmt w:val="bullet"/>
      <w:lvlText w:val=""/>
      <w:lvlJc w:val="left"/>
      <w:pPr>
        <w:tabs>
          <w:tab w:val="num" w:pos="4680"/>
        </w:tabs>
        <w:ind w:left="4680" w:hanging="360"/>
      </w:pPr>
      <w:rPr>
        <w:rFonts w:ascii="Symbol" w:hAnsi="Symbol" w:hint="default"/>
      </w:rPr>
    </w:lvl>
    <w:lvl w:ilvl="7" w:tplc="2AF0BE3A" w:tentative="1">
      <w:start w:val="1"/>
      <w:numFmt w:val="bullet"/>
      <w:lvlText w:val="o"/>
      <w:lvlJc w:val="left"/>
      <w:pPr>
        <w:tabs>
          <w:tab w:val="num" w:pos="5400"/>
        </w:tabs>
        <w:ind w:left="5400" w:hanging="360"/>
      </w:pPr>
      <w:rPr>
        <w:rFonts w:ascii="Courier New" w:hAnsi="Courier New" w:cs="Courier New" w:hint="default"/>
      </w:rPr>
    </w:lvl>
    <w:lvl w:ilvl="8" w:tplc="63C6419A" w:tentative="1">
      <w:start w:val="1"/>
      <w:numFmt w:val="bullet"/>
      <w:lvlText w:val=""/>
      <w:lvlJc w:val="left"/>
      <w:pPr>
        <w:tabs>
          <w:tab w:val="num" w:pos="6120"/>
        </w:tabs>
        <w:ind w:left="6120" w:hanging="360"/>
      </w:pPr>
      <w:rPr>
        <w:rFonts w:ascii="Wingdings" w:hAnsi="Wingdings" w:hint="default"/>
      </w:rPr>
    </w:lvl>
  </w:abstractNum>
  <w:abstractNum w:abstractNumId="2">
    <w:nsid w:val="05826AFA"/>
    <w:multiLevelType w:val="hybridMultilevel"/>
    <w:tmpl w:val="10029AA0"/>
    <w:lvl w:ilvl="0" w:tplc="E9F603FC">
      <w:start w:val="1"/>
      <w:numFmt w:val="lowerLetter"/>
      <w:lvlText w:val="%1)"/>
      <w:lvlJc w:val="left"/>
      <w:pPr>
        <w:ind w:left="2655" w:hanging="360"/>
      </w:pPr>
    </w:lvl>
    <w:lvl w:ilvl="1" w:tplc="3FAE891C" w:tentative="1">
      <w:start w:val="1"/>
      <w:numFmt w:val="lowerLetter"/>
      <w:lvlText w:val="%2."/>
      <w:lvlJc w:val="left"/>
      <w:pPr>
        <w:ind w:left="3375" w:hanging="360"/>
      </w:pPr>
    </w:lvl>
    <w:lvl w:ilvl="2" w:tplc="7C8EE394" w:tentative="1">
      <w:start w:val="1"/>
      <w:numFmt w:val="lowerRoman"/>
      <w:lvlText w:val="%3."/>
      <w:lvlJc w:val="right"/>
      <w:pPr>
        <w:ind w:left="4095" w:hanging="180"/>
      </w:pPr>
    </w:lvl>
    <w:lvl w:ilvl="3" w:tplc="52F04C6A">
      <w:start w:val="1"/>
      <w:numFmt w:val="decimal"/>
      <w:lvlText w:val="%4."/>
      <w:lvlJc w:val="left"/>
      <w:pPr>
        <w:ind w:left="4815" w:hanging="360"/>
      </w:pPr>
    </w:lvl>
    <w:lvl w:ilvl="4" w:tplc="01707D82" w:tentative="1">
      <w:start w:val="1"/>
      <w:numFmt w:val="lowerLetter"/>
      <w:lvlText w:val="%5."/>
      <w:lvlJc w:val="left"/>
      <w:pPr>
        <w:ind w:left="5535" w:hanging="360"/>
      </w:pPr>
    </w:lvl>
    <w:lvl w:ilvl="5" w:tplc="6A36297A" w:tentative="1">
      <w:start w:val="1"/>
      <w:numFmt w:val="lowerRoman"/>
      <w:lvlText w:val="%6."/>
      <w:lvlJc w:val="right"/>
      <w:pPr>
        <w:ind w:left="6255" w:hanging="180"/>
      </w:pPr>
    </w:lvl>
    <w:lvl w:ilvl="6" w:tplc="99FE18C0" w:tentative="1">
      <w:start w:val="1"/>
      <w:numFmt w:val="decimal"/>
      <w:lvlText w:val="%7."/>
      <w:lvlJc w:val="left"/>
      <w:pPr>
        <w:ind w:left="6975" w:hanging="360"/>
      </w:pPr>
    </w:lvl>
    <w:lvl w:ilvl="7" w:tplc="E6166B46" w:tentative="1">
      <w:start w:val="1"/>
      <w:numFmt w:val="lowerLetter"/>
      <w:lvlText w:val="%8."/>
      <w:lvlJc w:val="left"/>
      <w:pPr>
        <w:ind w:left="7695" w:hanging="360"/>
      </w:pPr>
    </w:lvl>
    <w:lvl w:ilvl="8" w:tplc="C54C8AF2" w:tentative="1">
      <w:start w:val="1"/>
      <w:numFmt w:val="lowerRoman"/>
      <w:lvlText w:val="%9."/>
      <w:lvlJc w:val="right"/>
      <w:pPr>
        <w:ind w:left="8415" w:hanging="180"/>
      </w:pPr>
    </w:lvl>
  </w:abstractNum>
  <w:abstractNum w:abstractNumId="3">
    <w:nsid w:val="07200172"/>
    <w:multiLevelType w:val="hybridMultilevel"/>
    <w:tmpl w:val="DFF2F7B4"/>
    <w:lvl w:ilvl="0" w:tplc="966E7D46">
      <w:start w:val="1"/>
      <w:numFmt w:val="decimal"/>
      <w:pStyle w:val="Paragraph"/>
      <w:lvlText w:val="%1."/>
      <w:lvlJc w:val="left"/>
      <w:pPr>
        <w:ind w:left="360" w:hanging="360"/>
      </w:pPr>
      <w:rPr>
        <w:rFonts w:ascii="Times New Roman" w:hAnsi="Times New Roman" w:hint="default"/>
        <w:b w:val="0"/>
        <w:i w:val="0"/>
        <w:sz w:val="22"/>
      </w:rPr>
    </w:lvl>
    <w:lvl w:ilvl="1" w:tplc="85B88244">
      <w:start w:val="1"/>
      <w:numFmt w:val="lowerLetter"/>
      <w:lvlText w:val="%2."/>
      <w:lvlJc w:val="left"/>
      <w:pPr>
        <w:ind w:left="1440" w:hanging="360"/>
      </w:pPr>
    </w:lvl>
    <w:lvl w:ilvl="2" w:tplc="D7AA1A82" w:tentative="1">
      <w:start w:val="1"/>
      <w:numFmt w:val="lowerRoman"/>
      <w:lvlText w:val="%3."/>
      <w:lvlJc w:val="right"/>
      <w:pPr>
        <w:ind w:left="2160" w:hanging="180"/>
      </w:pPr>
    </w:lvl>
    <w:lvl w:ilvl="3" w:tplc="66FC6342" w:tentative="1">
      <w:start w:val="1"/>
      <w:numFmt w:val="decimal"/>
      <w:lvlText w:val="%4."/>
      <w:lvlJc w:val="left"/>
      <w:pPr>
        <w:ind w:left="2880" w:hanging="360"/>
      </w:pPr>
    </w:lvl>
    <w:lvl w:ilvl="4" w:tplc="589E3074" w:tentative="1">
      <w:start w:val="1"/>
      <w:numFmt w:val="lowerLetter"/>
      <w:lvlText w:val="%5."/>
      <w:lvlJc w:val="left"/>
      <w:pPr>
        <w:ind w:left="3600" w:hanging="360"/>
      </w:pPr>
    </w:lvl>
    <w:lvl w:ilvl="5" w:tplc="55ECD60E" w:tentative="1">
      <w:start w:val="1"/>
      <w:numFmt w:val="lowerRoman"/>
      <w:lvlText w:val="%6."/>
      <w:lvlJc w:val="right"/>
      <w:pPr>
        <w:ind w:left="4320" w:hanging="180"/>
      </w:pPr>
    </w:lvl>
    <w:lvl w:ilvl="6" w:tplc="4EBCDD08" w:tentative="1">
      <w:start w:val="1"/>
      <w:numFmt w:val="decimal"/>
      <w:lvlText w:val="%7."/>
      <w:lvlJc w:val="left"/>
      <w:pPr>
        <w:ind w:left="5040" w:hanging="360"/>
      </w:pPr>
    </w:lvl>
    <w:lvl w:ilvl="7" w:tplc="205A6142" w:tentative="1">
      <w:start w:val="1"/>
      <w:numFmt w:val="lowerLetter"/>
      <w:lvlText w:val="%8."/>
      <w:lvlJc w:val="left"/>
      <w:pPr>
        <w:ind w:left="5760" w:hanging="360"/>
      </w:pPr>
    </w:lvl>
    <w:lvl w:ilvl="8" w:tplc="B37E55D8" w:tentative="1">
      <w:start w:val="1"/>
      <w:numFmt w:val="lowerRoman"/>
      <w:lvlText w:val="%9."/>
      <w:lvlJc w:val="right"/>
      <w:pPr>
        <w:ind w:left="6480" w:hanging="180"/>
      </w:pPr>
    </w:lvl>
  </w:abstractNum>
  <w:abstractNum w:abstractNumId="4">
    <w:nsid w:val="0DCE40A3"/>
    <w:multiLevelType w:val="hybridMultilevel"/>
    <w:tmpl w:val="BC0EE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D4203A"/>
    <w:multiLevelType w:val="hybridMultilevel"/>
    <w:tmpl w:val="9DE0192E"/>
    <w:lvl w:ilvl="0" w:tplc="C38A17B6">
      <w:start w:val="1"/>
      <w:numFmt w:val="lowerRoman"/>
      <w:pStyle w:val="Bodytextnumbered"/>
      <w:lvlText w:val="%1."/>
      <w:lvlJc w:val="right"/>
      <w:pPr>
        <w:ind w:left="854" w:hanging="360"/>
      </w:pPr>
      <w:rPr>
        <w:rFonts w:hint="default"/>
        <w:b w:val="0"/>
        <w:i w:val="0"/>
        <w:sz w:val="22"/>
        <w:szCs w:val="22"/>
        <w:lang w:val="en-US"/>
      </w:rPr>
    </w:lvl>
    <w:lvl w:ilvl="1" w:tplc="08061A06">
      <w:start w:val="1"/>
      <w:numFmt w:val="lowerRoman"/>
      <w:lvlText w:val="%2."/>
      <w:lvlJc w:val="right"/>
      <w:pPr>
        <w:ind w:left="1574" w:hanging="360"/>
      </w:pPr>
      <w:rPr>
        <w:rFonts w:hint="default"/>
        <w:b w:val="0"/>
        <w:sz w:val="22"/>
      </w:rPr>
    </w:lvl>
    <w:lvl w:ilvl="2" w:tplc="A7ACDEF2">
      <w:start w:val="1"/>
      <w:numFmt w:val="bullet"/>
      <w:lvlText w:val=""/>
      <w:lvlJc w:val="left"/>
      <w:pPr>
        <w:ind w:left="2294" w:hanging="180"/>
      </w:pPr>
      <w:rPr>
        <w:rFonts w:ascii="Symbol" w:hAnsi="Symbol" w:hint="default"/>
      </w:rPr>
    </w:lvl>
    <w:lvl w:ilvl="3" w:tplc="76E82F18" w:tentative="1">
      <w:start w:val="1"/>
      <w:numFmt w:val="decimal"/>
      <w:lvlText w:val="%4."/>
      <w:lvlJc w:val="left"/>
      <w:pPr>
        <w:ind w:left="3014" w:hanging="360"/>
      </w:pPr>
    </w:lvl>
    <w:lvl w:ilvl="4" w:tplc="397A4BE4" w:tentative="1">
      <w:start w:val="1"/>
      <w:numFmt w:val="lowerLetter"/>
      <w:lvlText w:val="%5."/>
      <w:lvlJc w:val="left"/>
      <w:pPr>
        <w:ind w:left="3734" w:hanging="360"/>
      </w:pPr>
    </w:lvl>
    <w:lvl w:ilvl="5" w:tplc="C7D004C2" w:tentative="1">
      <w:start w:val="1"/>
      <w:numFmt w:val="lowerRoman"/>
      <w:lvlText w:val="%6."/>
      <w:lvlJc w:val="right"/>
      <w:pPr>
        <w:ind w:left="4454" w:hanging="180"/>
      </w:pPr>
    </w:lvl>
    <w:lvl w:ilvl="6" w:tplc="D396DF88" w:tentative="1">
      <w:start w:val="1"/>
      <w:numFmt w:val="decimal"/>
      <w:lvlText w:val="%7."/>
      <w:lvlJc w:val="left"/>
      <w:pPr>
        <w:ind w:left="5174" w:hanging="360"/>
      </w:pPr>
    </w:lvl>
    <w:lvl w:ilvl="7" w:tplc="F0B4BB2C" w:tentative="1">
      <w:start w:val="1"/>
      <w:numFmt w:val="lowerLetter"/>
      <w:lvlText w:val="%8."/>
      <w:lvlJc w:val="left"/>
      <w:pPr>
        <w:ind w:left="5894" w:hanging="360"/>
      </w:pPr>
    </w:lvl>
    <w:lvl w:ilvl="8" w:tplc="3B3CDA26" w:tentative="1">
      <w:start w:val="1"/>
      <w:numFmt w:val="lowerRoman"/>
      <w:lvlText w:val="%9."/>
      <w:lvlJc w:val="right"/>
      <w:pPr>
        <w:ind w:left="6614" w:hanging="180"/>
      </w:pPr>
    </w:lvl>
  </w:abstractNum>
  <w:abstractNum w:abstractNumId="6">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7">
    <w:nsid w:val="139E396E"/>
    <w:multiLevelType w:val="hybridMultilevel"/>
    <w:tmpl w:val="E1762B80"/>
    <w:lvl w:ilvl="0" w:tplc="08090001">
      <w:start w:val="1"/>
      <w:numFmt w:val="decimal"/>
      <w:lvlText w:val="%1."/>
      <w:lvlJc w:val="left"/>
      <w:pPr>
        <w:ind w:left="720" w:hanging="360"/>
      </w:p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8">
    <w:nsid w:val="179C76EB"/>
    <w:multiLevelType w:val="hybridMultilevel"/>
    <w:tmpl w:val="E8884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1B05B6"/>
    <w:multiLevelType w:val="hybridMultilevel"/>
    <w:tmpl w:val="F2A4231E"/>
    <w:lvl w:ilvl="0" w:tplc="4FE46A2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nsid w:val="24337734"/>
    <w:multiLevelType w:val="hybridMultilevel"/>
    <w:tmpl w:val="2F1C9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603050B"/>
    <w:multiLevelType w:val="hybridMultilevel"/>
    <w:tmpl w:val="6C5CA2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8376EE2"/>
    <w:multiLevelType w:val="hybridMultilevel"/>
    <w:tmpl w:val="57FEFDD4"/>
    <w:lvl w:ilvl="0" w:tplc="3DCC0FF4">
      <w:start w:val="1"/>
      <w:numFmt w:val="bullet"/>
      <w:lvlText w:val=""/>
      <w:lvlJc w:val="left"/>
      <w:pPr>
        <w:ind w:left="720" w:hanging="360"/>
      </w:pPr>
      <w:rPr>
        <w:rFonts w:ascii="Symbol" w:hAnsi="Symbol" w:hint="default"/>
      </w:rPr>
    </w:lvl>
    <w:lvl w:ilvl="1" w:tplc="42809354">
      <w:start w:val="1"/>
      <w:numFmt w:val="bullet"/>
      <w:lvlText w:val="o"/>
      <w:lvlJc w:val="left"/>
      <w:pPr>
        <w:ind w:left="1440" w:hanging="360"/>
      </w:pPr>
      <w:rPr>
        <w:rFonts w:ascii="Courier New" w:hAnsi="Courier New" w:hint="default"/>
      </w:rPr>
    </w:lvl>
    <w:lvl w:ilvl="2" w:tplc="08090001"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13">
    <w:nsid w:val="29F14106"/>
    <w:multiLevelType w:val="hybridMultilevel"/>
    <w:tmpl w:val="655E2300"/>
    <w:lvl w:ilvl="0" w:tplc="08090001">
      <w:start w:val="1"/>
      <w:numFmt w:val="bullet"/>
      <w:pStyle w:val="Normalbullets"/>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2A442F6D"/>
    <w:multiLevelType w:val="hybridMultilevel"/>
    <w:tmpl w:val="34F054E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Arial"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Arial"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2C0A3615"/>
    <w:multiLevelType w:val="multilevel"/>
    <w:tmpl w:val="1DD0F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BD6599"/>
    <w:multiLevelType w:val="hybridMultilevel"/>
    <w:tmpl w:val="EB9EB28A"/>
    <w:lvl w:ilvl="0" w:tplc="D778B18A">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E9F3D08"/>
    <w:multiLevelType w:val="hybridMultilevel"/>
    <w:tmpl w:val="66343D10"/>
    <w:lvl w:ilvl="0" w:tplc="0809000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08759B1"/>
    <w:multiLevelType w:val="hybridMultilevel"/>
    <w:tmpl w:val="563CD5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nsid w:val="31181A6F"/>
    <w:multiLevelType w:val="hybridMultilevel"/>
    <w:tmpl w:val="5F08214A"/>
    <w:lvl w:ilvl="0" w:tplc="9C82D78E">
      <w:start w:val="1"/>
      <w:numFmt w:val="decimal"/>
      <w:lvlText w:val="%1."/>
      <w:lvlJc w:val="left"/>
      <w:pPr>
        <w:ind w:left="1080" w:hanging="360"/>
      </w:pPr>
      <w:rPr>
        <w:lang w:val="en-G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27C03AE"/>
    <w:multiLevelType w:val="hybridMultilevel"/>
    <w:tmpl w:val="5D421100"/>
    <w:lvl w:ilvl="0" w:tplc="08090001">
      <w:start w:val="1"/>
      <w:numFmt w:val="bullet"/>
      <w:lvlText w:val=""/>
      <w:lvlJc w:val="left"/>
      <w:pPr>
        <w:ind w:left="-2850" w:hanging="360"/>
      </w:pPr>
      <w:rPr>
        <w:rFonts w:ascii="Symbol" w:hAnsi="Symbol" w:hint="default"/>
      </w:rPr>
    </w:lvl>
    <w:lvl w:ilvl="1" w:tplc="08090003">
      <w:start w:val="1"/>
      <w:numFmt w:val="bullet"/>
      <w:pStyle w:val="Bullets2nd"/>
      <w:lvlText w:val="o"/>
      <w:lvlJc w:val="left"/>
      <w:pPr>
        <w:ind w:left="-2130" w:hanging="360"/>
      </w:pPr>
      <w:rPr>
        <w:rFonts w:ascii="Courier New" w:hAnsi="Courier New" w:cs="Courier New" w:hint="default"/>
      </w:rPr>
    </w:lvl>
    <w:lvl w:ilvl="2" w:tplc="08090005">
      <w:start w:val="1"/>
      <w:numFmt w:val="lowerRoman"/>
      <w:lvlText w:val="%3."/>
      <w:lvlJc w:val="right"/>
      <w:pPr>
        <w:ind w:left="-1410" w:hanging="180"/>
      </w:pPr>
    </w:lvl>
    <w:lvl w:ilvl="3" w:tplc="08090001">
      <w:start w:val="1"/>
      <w:numFmt w:val="decimal"/>
      <w:lvlText w:val="%4."/>
      <w:lvlJc w:val="left"/>
      <w:pPr>
        <w:ind w:left="-690" w:hanging="360"/>
      </w:pPr>
    </w:lvl>
    <w:lvl w:ilvl="4" w:tplc="08090003">
      <w:start w:val="1"/>
      <w:numFmt w:val="lowerLetter"/>
      <w:lvlText w:val="%5."/>
      <w:lvlJc w:val="left"/>
      <w:pPr>
        <w:ind w:left="30" w:hanging="360"/>
      </w:pPr>
    </w:lvl>
    <w:lvl w:ilvl="5" w:tplc="08090005">
      <w:start w:val="1"/>
      <w:numFmt w:val="lowerRoman"/>
      <w:lvlText w:val="%6."/>
      <w:lvlJc w:val="right"/>
      <w:pPr>
        <w:ind w:left="750" w:hanging="180"/>
      </w:pPr>
    </w:lvl>
    <w:lvl w:ilvl="6" w:tplc="08090001">
      <w:start w:val="1"/>
      <w:numFmt w:val="decimal"/>
      <w:lvlText w:val="%7."/>
      <w:lvlJc w:val="left"/>
      <w:pPr>
        <w:ind w:left="1470" w:hanging="360"/>
      </w:pPr>
    </w:lvl>
    <w:lvl w:ilvl="7" w:tplc="08090003" w:tentative="1">
      <w:start w:val="1"/>
      <w:numFmt w:val="lowerLetter"/>
      <w:lvlText w:val="%8."/>
      <w:lvlJc w:val="left"/>
      <w:pPr>
        <w:ind w:left="2190" w:hanging="360"/>
      </w:pPr>
    </w:lvl>
    <w:lvl w:ilvl="8" w:tplc="08090005" w:tentative="1">
      <w:start w:val="1"/>
      <w:numFmt w:val="lowerRoman"/>
      <w:lvlText w:val="%9."/>
      <w:lvlJc w:val="right"/>
      <w:pPr>
        <w:ind w:left="2910" w:hanging="180"/>
      </w:pPr>
    </w:lvl>
  </w:abstractNum>
  <w:abstractNum w:abstractNumId="21">
    <w:nsid w:val="33C24C61"/>
    <w:multiLevelType w:val="hybridMultilevel"/>
    <w:tmpl w:val="44B89E98"/>
    <w:lvl w:ilvl="0" w:tplc="506A7B64">
      <w:start w:val="1"/>
      <w:numFmt w:val="decimal"/>
      <w:pStyle w:val="Numberedparas"/>
      <w:lvlText w:val="%1."/>
      <w:lvlJc w:val="left"/>
      <w:pPr>
        <w:tabs>
          <w:tab w:val="num" w:pos="0"/>
        </w:tabs>
        <w:ind w:left="0" w:firstLine="0"/>
      </w:pPr>
      <w:rPr>
        <w:rFonts w:hint="default"/>
      </w:rPr>
    </w:lvl>
    <w:lvl w:ilvl="1" w:tplc="04090019">
      <w:start w:val="1"/>
      <w:numFmt w:val="bullet"/>
      <w:pStyle w:val="StyleBulleted"/>
      <w:lvlText w:val=""/>
      <w:lvlJc w:val="left"/>
      <w:pPr>
        <w:tabs>
          <w:tab w:val="num" w:pos="1440"/>
        </w:tabs>
        <w:ind w:left="1440" w:hanging="360"/>
      </w:pPr>
      <w:rPr>
        <w:rFonts w:ascii="Wingdings" w:hAnsi="Wingding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4376266"/>
    <w:multiLevelType w:val="hybridMultilevel"/>
    <w:tmpl w:val="EF60CEC8"/>
    <w:lvl w:ilvl="0" w:tplc="04090001">
      <w:start w:val="1"/>
      <w:numFmt w:val="lowerLetter"/>
      <w:lvlText w:val="%1)"/>
      <w:lvlJc w:val="left"/>
      <w:pPr>
        <w:ind w:left="-1665" w:hanging="360"/>
      </w:pPr>
    </w:lvl>
    <w:lvl w:ilvl="1" w:tplc="04090003">
      <w:start w:val="1"/>
      <w:numFmt w:val="bullet"/>
      <w:lvlText w:val="-"/>
      <w:lvlJc w:val="left"/>
      <w:pPr>
        <w:ind w:left="-945" w:hanging="360"/>
      </w:pPr>
      <w:rPr>
        <w:rFonts w:ascii="Arial" w:eastAsia="Times New Roman" w:hAnsi="Arial" w:cs="Times New Roman" w:hint="default"/>
      </w:rPr>
    </w:lvl>
    <w:lvl w:ilvl="2" w:tplc="04090005">
      <w:start w:val="1"/>
      <w:numFmt w:val="lowerRoman"/>
      <w:lvlText w:val="%3."/>
      <w:lvlJc w:val="right"/>
      <w:pPr>
        <w:ind w:left="-225" w:hanging="180"/>
      </w:pPr>
    </w:lvl>
    <w:lvl w:ilvl="3" w:tplc="04090001">
      <w:start w:val="1"/>
      <w:numFmt w:val="bullet"/>
      <w:lvlText w:val=""/>
      <w:lvlJc w:val="left"/>
      <w:pPr>
        <w:ind w:left="495" w:hanging="360"/>
      </w:pPr>
      <w:rPr>
        <w:rFonts w:ascii="Symbol" w:hAnsi="Symbol" w:hint="default"/>
      </w:rPr>
    </w:lvl>
    <w:lvl w:ilvl="4" w:tplc="04090003" w:tentative="1">
      <w:start w:val="1"/>
      <w:numFmt w:val="lowerLetter"/>
      <w:lvlText w:val="%5."/>
      <w:lvlJc w:val="left"/>
      <w:pPr>
        <w:ind w:left="1215" w:hanging="360"/>
      </w:pPr>
    </w:lvl>
    <w:lvl w:ilvl="5" w:tplc="04090005" w:tentative="1">
      <w:start w:val="1"/>
      <w:numFmt w:val="lowerRoman"/>
      <w:lvlText w:val="%6."/>
      <w:lvlJc w:val="right"/>
      <w:pPr>
        <w:ind w:left="1935" w:hanging="180"/>
      </w:pPr>
    </w:lvl>
    <w:lvl w:ilvl="6" w:tplc="04090001" w:tentative="1">
      <w:start w:val="1"/>
      <w:numFmt w:val="decimal"/>
      <w:lvlText w:val="%7."/>
      <w:lvlJc w:val="left"/>
      <w:pPr>
        <w:ind w:left="2655" w:hanging="360"/>
      </w:pPr>
    </w:lvl>
    <w:lvl w:ilvl="7" w:tplc="04090003" w:tentative="1">
      <w:start w:val="1"/>
      <w:numFmt w:val="lowerLetter"/>
      <w:lvlText w:val="%8."/>
      <w:lvlJc w:val="left"/>
      <w:pPr>
        <w:ind w:left="3375" w:hanging="360"/>
      </w:pPr>
    </w:lvl>
    <w:lvl w:ilvl="8" w:tplc="04090005" w:tentative="1">
      <w:start w:val="1"/>
      <w:numFmt w:val="lowerRoman"/>
      <w:lvlText w:val="%9."/>
      <w:lvlJc w:val="right"/>
      <w:pPr>
        <w:ind w:left="4095" w:hanging="180"/>
      </w:pPr>
    </w:lvl>
  </w:abstractNum>
  <w:abstractNum w:abstractNumId="23">
    <w:nsid w:val="359848EC"/>
    <w:multiLevelType w:val="hybridMultilevel"/>
    <w:tmpl w:val="8C866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BF14C56"/>
    <w:multiLevelType w:val="hybridMultilevel"/>
    <w:tmpl w:val="B85C2A50"/>
    <w:lvl w:ilvl="0" w:tplc="04090017">
      <w:start w:val="1"/>
      <w:numFmt w:val="bullet"/>
      <w:lvlText w:val=""/>
      <w:lvlJc w:val="left"/>
      <w:pPr>
        <w:tabs>
          <w:tab w:val="num" w:pos="360"/>
        </w:tabs>
        <w:ind w:left="360" w:hanging="360"/>
      </w:pPr>
      <w:rPr>
        <w:rFonts w:ascii="Wingdings" w:hAnsi="Wingdings" w:hint="default"/>
      </w:rPr>
    </w:lvl>
    <w:lvl w:ilvl="1" w:tplc="78B4F2B8">
      <w:start w:val="1"/>
      <w:numFmt w:val="bullet"/>
      <w:lvlText w:val=""/>
      <w:lvlJc w:val="left"/>
      <w:pPr>
        <w:tabs>
          <w:tab w:val="num" w:pos="1152"/>
        </w:tabs>
        <w:ind w:left="1152" w:hanging="432"/>
      </w:pPr>
      <w:rPr>
        <w:rFonts w:ascii="Wingdings" w:hAnsi="Wingdings" w:hint="default"/>
      </w:rPr>
    </w:lvl>
    <w:lvl w:ilvl="2" w:tplc="D778B18A" w:tentative="1">
      <w:start w:val="1"/>
      <w:numFmt w:val="bullet"/>
      <w:lvlText w:val=""/>
      <w:lvlJc w:val="left"/>
      <w:pPr>
        <w:tabs>
          <w:tab w:val="num" w:pos="1800"/>
        </w:tabs>
        <w:ind w:left="1800" w:hanging="360"/>
      </w:pPr>
      <w:rPr>
        <w:rFonts w:ascii="Wingdings" w:hAnsi="Wingdings" w:hint="default"/>
      </w:rPr>
    </w:lvl>
    <w:lvl w:ilvl="3" w:tplc="D778B18A" w:tentative="1">
      <w:start w:val="1"/>
      <w:numFmt w:val="bullet"/>
      <w:lvlText w:val=""/>
      <w:lvlJc w:val="left"/>
      <w:pPr>
        <w:tabs>
          <w:tab w:val="num" w:pos="2520"/>
        </w:tabs>
        <w:ind w:left="2520" w:hanging="360"/>
      </w:pPr>
      <w:rPr>
        <w:rFonts w:ascii="Symbol" w:hAnsi="Symbol" w:hint="default"/>
      </w:rPr>
    </w:lvl>
    <w:lvl w:ilvl="4" w:tplc="D778B18A"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5">
    <w:nsid w:val="3E103EFE"/>
    <w:multiLevelType w:val="hybridMultilevel"/>
    <w:tmpl w:val="9CC48C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3E9761E3"/>
    <w:multiLevelType w:val="hybridMultilevel"/>
    <w:tmpl w:val="10C81E9C"/>
    <w:lvl w:ilvl="0" w:tplc="007874A0">
      <w:start w:val="1"/>
      <w:numFmt w:val="bullet"/>
      <w:lvlText w:val=""/>
      <w:lvlJc w:val="left"/>
      <w:pPr>
        <w:tabs>
          <w:tab w:val="num" w:pos="1800"/>
        </w:tabs>
        <w:ind w:left="1800" w:hanging="360"/>
      </w:pPr>
      <w:rPr>
        <w:rFonts w:ascii="Symbol" w:hAnsi="Symbol" w:hint="default"/>
        <w:color w:val="auto"/>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nsid w:val="419C50E0"/>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43BD5ABA"/>
    <w:multiLevelType w:val="hybridMultilevel"/>
    <w:tmpl w:val="1A127DFE"/>
    <w:lvl w:ilvl="0" w:tplc="68EEDD1C">
      <w:numFmt w:val="bullet"/>
      <w:lvlText w:val="-"/>
      <w:lvlJc w:val="left"/>
      <w:pPr>
        <w:ind w:left="1080" w:hanging="360"/>
      </w:pPr>
      <w:rPr>
        <w:rFonts w:ascii="Arial" w:eastAsia="Times New Roman"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43BE2370"/>
    <w:multiLevelType w:val="hybridMultilevel"/>
    <w:tmpl w:val="662ABFC6"/>
    <w:lvl w:ilvl="0" w:tplc="08090001">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0">
    <w:nsid w:val="450924FB"/>
    <w:multiLevelType w:val="hybridMultilevel"/>
    <w:tmpl w:val="D1A2B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5200D36"/>
    <w:multiLevelType w:val="hybridMultilevel"/>
    <w:tmpl w:val="E25A291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nsid w:val="47716AB6"/>
    <w:multiLevelType w:val="hybridMultilevel"/>
    <w:tmpl w:val="4A4CCD44"/>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nsid w:val="48646E32"/>
    <w:multiLevelType w:val="hybridMultilevel"/>
    <w:tmpl w:val="AAE6DA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E392717"/>
    <w:multiLevelType w:val="hybridMultilevel"/>
    <w:tmpl w:val="549C6A0A"/>
    <w:lvl w:ilvl="0" w:tplc="590A4076">
      <w:start w:val="1"/>
      <w:numFmt w:val="bullet"/>
      <w:pStyle w:val="Bullets1st"/>
      <w:lvlText w:val=""/>
      <w:lvlJc w:val="left"/>
      <w:pPr>
        <w:ind w:left="720" w:hanging="360"/>
      </w:pPr>
      <w:rPr>
        <w:rFonts w:ascii="Symbol" w:hAnsi="Symbol" w:hint="default"/>
      </w:r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start w:val="1"/>
      <w:numFmt w:val="decimal"/>
      <w:lvlText w:val="%4."/>
      <w:lvlJc w:val="left"/>
      <w:pPr>
        <w:ind w:left="2880" w:hanging="360"/>
      </w:pPr>
    </w:lvl>
    <w:lvl w:ilvl="4" w:tplc="04090003">
      <w:start w:val="1"/>
      <w:numFmt w:val="lowerLetter"/>
      <w:lvlText w:val="%5."/>
      <w:lvlJc w:val="left"/>
      <w:pPr>
        <w:ind w:left="3600" w:hanging="360"/>
      </w:pPr>
    </w:lvl>
    <w:lvl w:ilvl="5" w:tplc="04090005">
      <w:start w:val="1"/>
      <w:numFmt w:val="lowerRoman"/>
      <w:lvlText w:val="%6."/>
      <w:lvlJc w:val="right"/>
      <w:pPr>
        <w:ind w:left="4320" w:hanging="180"/>
      </w:pPr>
    </w:lvl>
    <w:lvl w:ilvl="6" w:tplc="0409000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5">
    <w:nsid w:val="4EB40856"/>
    <w:multiLevelType w:val="hybridMultilevel"/>
    <w:tmpl w:val="DDEC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19C12CB"/>
    <w:multiLevelType w:val="hybridMultilevel"/>
    <w:tmpl w:val="29E48AD8"/>
    <w:lvl w:ilvl="0" w:tplc="1A50E25A">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24E30FF"/>
    <w:multiLevelType w:val="hybridMultilevel"/>
    <w:tmpl w:val="A3825FA0"/>
    <w:lvl w:ilvl="0" w:tplc="04090017">
      <w:start w:val="1"/>
      <w:numFmt w:val="bullet"/>
      <w:lvlText w:val=""/>
      <w:lvlJc w:val="left"/>
      <w:pPr>
        <w:tabs>
          <w:tab w:val="num" w:pos="360"/>
        </w:tabs>
        <w:ind w:left="360" w:hanging="360"/>
      </w:pPr>
      <w:rPr>
        <w:rFonts w:ascii="Wingdings" w:hAnsi="Wingdings" w:hint="default"/>
      </w:rPr>
    </w:lvl>
    <w:lvl w:ilvl="1" w:tplc="78B4F2B8"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D778B18A"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8">
    <w:nsid w:val="544228D0"/>
    <w:multiLevelType w:val="hybridMultilevel"/>
    <w:tmpl w:val="51080D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53E033E"/>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0">
    <w:nsid w:val="566D4F3B"/>
    <w:multiLevelType w:val="hybridMultilevel"/>
    <w:tmpl w:val="B3C620E6"/>
    <w:lvl w:ilvl="0" w:tplc="08090001">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1">
    <w:nsid w:val="567F7EE9"/>
    <w:multiLevelType w:val="hybridMultilevel"/>
    <w:tmpl w:val="17CAE9BE"/>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2">
    <w:nsid w:val="5771490F"/>
    <w:multiLevelType w:val="hybridMultilevel"/>
    <w:tmpl w:val="E0EEB6F6"/>
    <w:lvl w:ilvl="0" w:tplc="ADE22ED2">
      <w:start w:val="1"/>
      <w:numFmt w:val="decimal"/>
      <w:pStyle w:val="1brojka"/>
      <w:lvlText w:val="%1."/>
      <w:lvlJc w:val="left"/>
      <w:pPr>
        <w:ind w:left="72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nsid w:val="59914792"/>
    <w:multiLevelType w:val="hybridMultilevel"/>
    <w:tmpl w:val="64D0FA18"/>
    <w:lvl w:ilvl="0" w:tplc="C0505132">
      <w:start w:val="1"/>
      <w:numFmt w:val="decimal"/>
      <w:pStyle w:val="Bodynumbered"/>
      <w:lvlText w:val="%1."/>
      <w:lvlJc w:val="left"/>
      <w:pPr>
        <w:ind w:left="720" w:hanging="360"/>
      </w:pPr>
    </w:lvl>
    <w:lvl w:ilvl="1" w:tplc="4EFA599A">
      <w:start w:val="1"/>
      <w:numFmt w:val="lowerRoman"/>
      <w:lvlText w:val="%2."/>
      <w:lvlJc w:val="right"/>
      <w:pPr>
        <w:ind w:left="1440" w:hanging="360"/>
      </w:pPr>
    </w:lvl>
    <w:lvl w:ilvl="2" w:tplc="4D948444">
      <w:start w:val="1"/>
      <w:numFmt w:val="upperRoman"/>
      <w:lvlText w:val="%3."/>
      <w:lvlJc w:val="left"/>
      <w:pPr>
        <w:ind w:left="2700" w:hanging="720"/>
      </w:pPr>
      <w:rPr>
        <w:rFonts w:hint="default"/>
      </w:rPr>
    </w:lvl>
    <w:lvl w:ilvl="3" w:tplc="CABC20FC" w:tentative="1">
      <w:start w:val="1"/>
      <w:numFmt w:val="decimal"/>
      <w:lvlText w:val="%4."/>
      <w:lvlJc w:val="left"/>
      <w:pPr>
        <w:ind w:left="2880" w:hanging="360"/>
      </w:pPr>
    </w:lvl>
    <w:lvl w:ilvl="4" w:tplc="D5548D7E" w:tentative="1">
      <w:start w:val="1"/>
      <w:numFmt w:val="lowerLetter"/>
      <w:lvlText w:val="%5."/>
      <w:lvlJc w:val="left"/>
      <w:pPr>
        <w:ind w:left="3600" w:hanging="360"/>
      </w:pPr>
    </w:lvl>
    <w:lvl w:ilvl="5" w:tplc="99F8460E" w:tentative="1">
      <w:start w:val="1"/>
      <w:numFmt w:val="lowerRoman"/>
      <w:lvlText w:val="%6."/>
      <w:lvlJc w:val="right"/>
      <w:pPr>
        <w:ind w:left="4320" w:hanging="180"/>
      </w:pPr>
    </w:lvl>
    <w:lvl w:ilvl="6" w:tplc="E40E6B10" w:tentative="1">
      <w:start w:val="1"/>
      <w:numFmt w:val="decimal"/>
      <w:lvlText w:val="%7."/>
      <w:lvlJc w:val="left"/>
      <w:pPr>
        <w:ind w:left="5040" w:hanging="360"/>
      </w:pPr>
    </w:lvl>
    <w:lvl w:ilvl="7" w:tplc="CB040D76" w:tentative="1">
      <w:start w:val="1"/>
      <w:numFmt w:val="lowerLetter"/>
      <w:lvlText w:val="%8."/>
      <w:lvlJc w:val="left"/>
      <w:pPr>
        <w:ind w:left="5760" w:hanging="360"/>
      </w:pPr>
    </w:lvl>
    <w:lvl w:ilvl="8" w:tplc="CE24EADC" w:tentative="1">
      <w:start w:val="1"/>
      <w:numFmt w:val="lowerRoman"/>
      <w:lvlText w:val="%9."/>
      <w:lvlJc w:val="right"/>
      <w:pPr>
        <w:ind w:left="6480" w:hanging="180"/>
      </w:pPr>
    </w:lvl>
  </w:abstractNum>
  <w:abstractNum w:abstractNumId="44">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nsid w:val="5D3E5DD0"/>
    <w:multiLevelType w:val="hybridMultilevel"/>
    <w:tmpl w:val="5E22DC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Aria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Arial"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Arial" w:hint="default"/>
      </w:rPr>
    </w:lvl>
    <w:lvl w:ilvl="8" w:tplc="08090005" w:tentative="1">
      <w:start w:val="1"/>
      <w:numFmt w:val="bullet"/>
      <w:lvlText w:val=""/>
      <w:lvlJc w:val="left"/>
      <w:pPr>
        <w:ind w:left="7200" w:hanging="360"/>
      </w:pPr>
      <w:rPr>
        <w:rFonts w:ascii="Wingdings" w:hAnsi="Wingdings" w:hint="default"/>
      </w:rPr>
    </w:lvl>
  </w:abstractNum>
  <w:abstractNum w:abstractNumId="46">
    <w:nsid w:val="621F17B7"/>
    <w:multiLevelType w:val="hybridMultilevel"/>
    <w:tmpl w:val="11B463A8"/>
    <w:lvl w:ilvl="0" w:tplc="08923AFE">
      <w:start w:val="1"/>
      <w:numFmt w:val="bullet"/>
      <w:lvlText w:val=""/>
      <w:lvlJc w:val="left"/>
      <w:pPr>
        <w:tabs>
          <w:tab w:val="num" w:pos="360"/>
        </w:tabs>
        <w:ind w:left="360" w:hanging="360"/>
      </w:pPr>
      <w:rPr>
        <w:rFonts w:ascii="Wingdings" w:hAnsi="Wingdings" w:hint="default"/>
      </w:rPr>
    </w:lvl>
    <w:lvl w:ilvl="1" w:tplc="08090019" w:tentative="1">
      <w:start w:val="1"/>
      <w:numFmt w:val="bullet"/>
      <w:lvlText w:val="o"/>
      <w:lvlJc w:val="left"/>
      <w:pPr>
        <w:tabs>
          <w:tab w:val="num" w:pos="1080"/>
        </w:tabs>
        <w:ind w:left="1080" w:hanging="360"/>
      </w:pPr>
      <w:rPr>
        <w:rFonts w:ascii="Courier New" w:hAnsi="Courier New" w:hint="default"/>
      </w:rPr>
    </w:lvl>
    <w:lvl w:ilvl="2" w:tplc="0809001B" w:tentative="1">
      <w:start w:val="1"/>
      <w:numFmt w:val="bullet"/>
      <w:lvlText w:val=""/>
      <w:lvlJc w:val="left"/>
      <w:pPr>
        <w:tabs>
          <w:tab w:val="num" w:pos="1800"/>
        </w:tabs>
        <w:ind w:left="1800" w:hanging="360"/>
      </w:pPr>
      <w:rPr>
        <w:rFonts w:ascii="Wingdings" w:hAnsi="Wingdings" w:hint="default"/>
      </w:rPr>
    </w:lvl>
    <w:lvl w:ilvl="3" w:tplc="0809000F" w:tentative="1">
      <w:start w:val="1"/>
      <w:numFmt w:val="bullet"/>
      <w:lvlText w:val=""/>
      <w:lvlJc w:val="left"/>
      <w:pPr>
        <w:tabs>
          <w:tab w:val="num" w:pos="2520"/>
        </w:tabs>
        <w:ind w:left="2520" w:hanging="360"/>
      </w:pPr>
      <w:rPr>
        <w:rFonts w:ascii="Symbol" w:hAnsi="Symbol" w:hint="default"/>
      </w:rPr>
    </w:lvl>
    <w:lvl w:ilvl="4" w:tplc="08090019" w:tentative="1">
      <w:start w:val="1"/>
      <w:numFmt w:val="bullet"/>
      <w:lvlText w:val="o"/>
      <w:lvlJc w:val="left"/>
      <w:pPr>
        <w:tabs>
          <w:tab w:val="num" w:pos="3240"/>
        </w:tabs>
        <w:ind w:left="3240" w:hanging="360"/>
      </w:pPr>
      <w:rPr>
        <w:rFonts w:ascii="Courier New" w:hAnsi="Courier New" w:hint="default"/>
      </w:rPr>
    </w:lvl>
    <w:lvl w:ilvl="5" w:tplc="0809001B" w:tentative="1">
      <w:start w:val="1"/>
      <w:numFmt w:val="bullet"/>
      <w:lvlText w:val=""/>
      <w:lvlJc w:val="left"/>
      <w:pPr>
        <w:tabs>
          <w:tab w:val="num" w:pos="3960"/>
        </w:tabs>
        <w:ind w:left="3960" w:hanging="360"/>
      </w:pPr>
      <w:rPr>
        <w:rFonts w:ascii="Wingdings" w:hAnsi="Wingdings" w:hint="default"/>
      </w:rPr>
    </w:lvl>
    <w:lvl w:ilvl="6" w:tplc="0809000F" w:tentative="1">
      <w:start w:val="1"/>
      <w:numFmt w:val="bullet"/>
      <w:lvlText w:val=""/>
      <w:lvlJc w:val="left"/>
      <w:pPr>
        <w:tabs>
          <w:tab w:val="num" w:pos="4680"/>
        </w:tabs>
        <w:ind w:left="4680" w:hanging="360"/>
      </w:pPr>
      <w:rPr>
        <w:rFonts w:ascii="Symbol" w:hAnsi="Symbol" w:hint="default"/>
      </w:rPr>
    </w:lvl>
    <w:lvl w:ilvl="7" w:tplc="08090019" w:tentative="1">
      <w:start w:val="1"/>
      <w:numFmt w:val="bullet"/>
      <w:lvlText w:val="o"/>
      <w:lvlJc w:val="left"/>
      <w:pPr>
        <w:tabs>
          <w:tab w:val="num" w:pos="5400"/>
        </w:tabs>
        <w:ind w:left="5400" w:hanging="360"/>
      </w:pPr>
      <w:rPr>
        <w:rFonts w:ascii="Courier New" w:hAnsi="Courier New" w:hint="default"/>
      </w:rPr>
    </w:lvl>
    <w:lvl w:ilvl="8" w:tplc="0809001B" w:tentative="1">
      <w:start w:val="1"/>
      <w:numFmt w:val="bullet"/>
      <w:lvlText w:val=""/>
      <w:lvlJc w:val="left"/>
      <w:pPr>
        <w:tabs>
          <w:tab w:val="num" w:pos="6120"/>
        </w:tabs>
        <w:ind w:left="6120" w:hanging="360"/>
      </w:pPr>
      <w:rPr>
        <w:rFonts w:ascii="Wingdings" w:hAnsi="Wingdings" w:hint="default"/>
      </w:rPr>
    </w:lvl>
  </w:abstractNum>
  <w:abstractNum w:abstractNumId="47">
    <w:nsid w:val="639471EB"/>
    <w:multiLevelType w:val="hybridMultilevel"/>
    <w:tmpl w:val="2E106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658C7EA8"/>
    <w:multiLevelType w:val="hybridMultilevel"/>
    <w:tmpl w:val="B7C48B60"/>
    <w:lvl w:ilvl="0" w:tplc="04090017">
      <w:start w:val="1"/>
      <w:numFmt w:val="bullet"/>
      <w:pStyle w:val="Bullets"/>
      <w:lvlText w:val=""/>
      <w:lvlJc w:val="left"/>
      <w:pPr>
        <w:ind w:left="360" w:hanging="360"/>
      </w:pPr>
      <w:rPr>
        <w:rFonts w:ascii="Symbol" w:hAnsi="Symbol" w:hint="default"/>
      </w:rPr>
    </w:lvl>
    <w:lvl w:ilvl="1" w:tplc="04090019">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49">
    <w:nsid w:val="69A22DC1"/>
    <w:multiLevelType w:val="hybridMultilevel"/>
    <w:tmpl w:val="1FF093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6BB71024"/>
    <w:multiLevelType w:val="hybridMultilevel"/>
    <w:tmpl w:val="2EF860D0"/>
    <w:lvl w:ilvl="0" w:tplc="2EA6F34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C484D3D"/>
    <w:multiLevelType w:val="hybridMultilevel"/>
    <w:tmpl w:val="A3440B1C"/>
    <w:lvl w:ilvl="0" w:tplc="0409000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E267C05"/>
    <w:multiLevelType w:val="hybridMultilevel"/>
    <w:tmpl w:val="5C50D41E"/>
    <w:lvl w:ilvl="0" w:tplc="08090001">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53">
    <w:nsid w:val="6F8B7071"/>
    <w:multiLevelType w:val="hybridMultilevel"/>
    <w:tmpl w:val="2ADA3408"/>
    <w:lvl w:ilvl="0" w:tplc="F566F92C">
      <w:start w:val="1"/>
      <w:numFmt w:val="lowerLetter"/>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decimal"/>
      <w:lvlText w:val="%3)"/>
      <w:lvlJc w:val="left"/>
      <w:pPr>
        <w:tabs>
          <w:tab w:val="num" w:pos="2700"/>
        </w:tabs>
        <w:ind w:left="2700" w:hanging="360"/>
      </w:pPr>
      <w:rPr>
        <w:rFonts w:cs="Times New Roman" w:hint="default"/>
      </w:rPr>
    </w:lvl>
    <w:lvl w:ilvl="3" w:tplc="917227CC">
      <w:start w:val="1"/>
      <w:numFmt w:val="upperRoman"/>
      <w:lvlText w:val="%4."/>
      <w:lvlJc w:val="left"/>
      <w:pPr>
        <w:ind w:left="3600" w:hanging="720"/>
      </w:pPr>
      <w:rPr>
        <w:rFonts w:hint="default"/>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4">
    <w:nsid w:val="6FFD1C36"/>
    <w:multiLevelType w:val="hybridMultilevel"/>
    <w:tmpl w:val="6D364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6520C9D"/>
    <w:multiLevelType w:val="hybridMultilevel"/>
    <w:tmpl w:val="110E8610"/>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num w:numId="1">
    <w:abstractNumId w:val="3"/>
  </w:num>
  <w:num w:numId="2">
    <w:abstractNumId w:val="48"/>
  </w:num>
  <w:num w:numId="3">
    <w:abstractNumId w:val="13"/>
  </w:num>
  <w:num w:numId="4">
    <w:abstractNumId w:val="53"/>
  </w:num>
  <w:num w:numId="5">
    <w:abstractNumId w:val="46"/>
  </w:num>
  <w:num w:numId="6">
    <w:abstractNumId w:val="32"/>
  </w:num>
  <w:num w:numId="7">
    <w:abstractNumId w:val="24"/>
  </w:num>
  <w:num w:numId="8">
    <w:abstractNumId w:val="40"/>
  </w:num>
  <w:num w:numId="9">
    <w:abstractNumId w:val="29"/>
  </w:num>
  <w:num w:numId="10">
    <w:abstractNumId w:val="37"/>
  </w:num>
  <w:num w:numId="11">
    <w:abstractNumId w:val="52"/>
  </w:num>
  <w:num w:numId="12">
    <w:abstractNumId w:val="11"/>
  </w:num>
  <w:num w:numId="13">
    <w:abstractNumId w:val="1"/>
  </w:num>
  <w:num w:numId="14">
    <w:abstractNumId w:val="41"/>
  </w:num>
  <w:num w:numId="15">
    <w:abstractNumId w:val="44"/>
  </w:num>
  <w:num w:numId="16">
    <w:abstractNumId w:val="27"/>
  </w:num>
  <w:num w:numId="17">
    <w:abstractNumId w:val="7"/>
  </w:num>
  <w:num w:numId="18">
    <w:abstractNumId w:val="16"/>
  </w:num>
  <w:num w:numId="19">
    <w:abstractNumId w:val="39"/>
  </w:num>
  <w:num w:numId="20">
    <w:abstractNumId w:val="43"/>
  </w:num>
  <w:num w:numId="21">
    <w:abstractNumId w:val="0"/>
  </w:num>
  <w:num w:numId="22">
    <w:abstractNumId w:val="5"/>
  </w:num>
  <w:num w:numId="23">
    <w:abstractNumId w:val="34"/>
  </w:num>
  <w:num w:numId="24">
    <w:abstractNumId w:val="20"/>
  </w:num>
  <w:num w:numId="25">
    <w:abstractNumId w:val="2"/>
  </w:num>
  <w:num w:numId="26">
    <w:abstractNumId w:val="22"/>
  </w:num>
  <w:num w:numId="27">
    <w:abstractNumId w:val="12"/>
  </w:num>
  <w:num w:numId="28">
    <w:abstractNumId w:val="17"/>
  </w:num>
  <w:num w:numId="29">
    <w:abstractNumId w:val="45"/>
  </w:num>
  <w:num w:numId="30">
    <w:abstractNumId w:val="42"/>
  </w:num>
  <w:num w:numId="31">
    <w:abstractNumId w:val="14"/>
  </w:num>
  <w:num w:numId="32">
    <w:abstractNumId w:val="47"/>
  </w:num>
  <w:num w:numId="33">
    <w:abstractNumId w:val="26"/>
  </w:num>
  <w:num w:numId="34">
    <w:abstractNumId w:val="19"/>
  </w:num>
  <w:num w:numId="35">
    <w:abstractNumId w:val="49"/>
  </w:num>
  <w:num w:numId="36">
    <w:abstractNumId w:val="31"/>
  </w:num>
  <w:num w:numId="37">
    <w:abstractNumId w:val="15"/>
  </w:num>
  <w:num w:numId="38">
    <w:abstractNumId w:val="9"/>
  </w:num>
  <w:num w:numId="39">
    <w:abstractNumId w:val="21"/>
  </w:num>
  <w:num w:numId="40">
    <w:abstractNumId w:val="25"/>
  </w:num>
  <w:num w:numId="41">
    <w:abstractNumId w:val="18"/>
  </w:num>
  <w:num w:numId="42">
    <w:abstractNumId w:val="30"/>
  </w:num>
  <w:num w:numId="43">
    <w:abstractNumId w:val="35"/>
  </w:num>
  <w:num w:numId="44">
    <w:abstractNumId w:val="4"/>
  </w:num>
  <w:num w:numId="45">
    <w:abstractNumId w:val="8"/>
  </w:num>
  <w:num w:numId="46">
    <w:abstractNumId w:val="10"/>
  </w:num>
  <w:num w:numId="47">
    <w:abstractNumId w:val="54"/>
  </w:num>
  <w:num w:numId="48">
    <w:abstractNumId w:val="50"/>
  </w:num>
  <w:num w:numId="49">
    <w:abstractNumId w:val="43"/>
    <w:lvlOverride w:ilvl="0">
      <w:startOverride w:val="1"/>
    </w:lvlOverride>
  </w:num>
  <w:num w:numId="50">
    <w:abstractNumId w:val="43"/>
    <w:lvlOverride w:ilvl="0">
      <w:startOverride w:val="1"/>
    </w:lvlOverride>
  </w:num>
  <w:num w:numId="51">
    <w:abstractNumId w:val="6"/>
  </w:num>
  <w:num w:numId="52">
    <w:abstractNumId w:val="28"/>
  </w:num>
  <w:num w:numId="53">
    <w:abstractNumId w:val="36"/>
  </w:num>
  <w:num w:numId="54">
    <w:abstractNumId w:val="51"/>
  </w:num>
  <w:num w:numId="55">
    <w:abstractNumId w:val="23"/>
  </w:num>
  <w:num w:numId="56">
    <w:abstractNumId w:val="55"/>
  </w:num>
  <w:num w:numId="57">
    <w:abstractNumId w:val="33"/>
  </w:num>
  <w:num w:numId="58">
    <w:abstractNumId w:val="38"/>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A8"/>
    <w:rsid w:val="00001D86"/>
    <w:rsid w:val="00001E8B"/>
    <w:rsid w:val="0000278F"/>
    <w:rsid w:val="00002A5F"/>
    <w:rsid w:val="00002CE3"/>
    <w:rsid w:val="00003C72"/>
    <w:rsid w:val="00004157"/>
    <w:rsid w:val="00004862"/>
    <w:rsid w:val="00005125"/>
    <w:rsid w:val="00005456"/>
    <w:rsid w:val="000057AA"/>
    <w:rsid w:val="00005845"/>
    <w:rsid w:val="0000683B"/>
    <w:rsid w:val="000075A3"/>
    <w:rsid w:val="000100B4"/>
    <w:rsid w:val="000101B0"/>
    <w:rsid w:val="0001093E"/>
    <w:rsid w:val="0001134C"/>
    <w:rsid w:val="0001188A"/>
    <w:rsid w:val="000122EA"/>
    <w:rsid w:val="000125B2"/>
    <w:rsid w:val="000131D9"/>
    <w:rsid w:val="00013ADE"/>
    <w:rsid w:val="00014BF6"/>
    <w:rsid w:val="00015653"/>
    <w:rsid w:val="00015860"/>
    <w:rsid w:val="000158B5"/>
    <w:rsid w:val="00015B6A"/>
    <w:rsid w:val="000164ED"/>
    <w:rsid w:val="000177F6"/>
    <w:rsid w:val="00017D90"/>
    <w:rsid w:val="000203A8"/>
    <w:rsid w:val="000205AF"/>
    <w:rsid w:val="00020AA0"/>
    <w:rsid w:val="00021004"/>
    <w:rsid w:val="000217F5"/>
    <w:rsid w:val="00022401"/>
    <w:rsid w:val="0002243B"/>
    <w:rsid w:val="0002252F"/>
    <w:rsid w:val="00022DE9"/>
    <w:rsid w:val="00023435"/>
    <w:rsid w:val="000234A8"/>
    <w:rsid w:val="00023A76"/>
    <w:rsid w:val="00023C29"/>
    <w:rsid w:val="00024495"/>
    <w:rsid w:val="0002463B"/>
    <w:rsid w:val="0002489D"/>
    <w:rsid w:val="000255E8"/>
    <w:rsid w:val="00025C9A"/>
    <w:rsid w:val="00025E57"/>
    <w:rsid w:val="000260FF"/>
    <w:rsid w:val="00026455"/>
    <w:rsid w:val="000266D2"/>
    <w:rsid w:val="0002762E"/>
    <w:rsid w:val="00030007"/>
    <w:rsid w:val="00031E16"/>
    <w:rsid w:val="00031E84"/>
    <w:rsid w:val="0003214C"/>
    <w:rsid w:val="00032241"/>
    <w:rsid w:val="000323E3"/>
    <w:rsid w:val="00032E37"/>
    <w:rsid w:val="00033F65"/>
    <w:rsid w:val="000341EA"/>
    <w:rsid w:val="00034508"/>
    <w:rsid w:val="000348DE"/>
    <w:rsid w:val="0003544E"/>
    <w:rsid w:val="00035830"/>
    <w:rsid w:val="00036776"/>
    <w:rsid w:val="00036A5C"/>
    <w:rsid w:val="00036F60"/>
    <w:rsid w:val="000377AB"/>
    <w:rsid w:val="0003782E"/>
    <w:rsid w:val="00037A3E"/>
    <w:rsid w:val="00037E21"/>
    <w:rsid w:val="00040511"/>
    <w:rsid w:val="000413BF"/>
    <w:rsid w:val="00041A23"/>
    <w:rsid w:val="00041E0C"/>
    <w:rsid w:val="00043249"/>
    <w:rsid w:val="000432BC"/>
    <w:rsid w:val="000445AD"/>
    <w:rsid w:val="00044654"/>
    <w:rsid w:val="00044655"/>
    <w:rsid w:val="0004466C"/>
    <w:rsid w:val="00044B8D"/>
    <w:rsid w:val="00044FDD"/>
    <w:rsid w:val="000459A0"/>
    <w:rsid w:val="000464F1"/>
    <w:rsid w:val="00046804"/>
    <w:rsid w:val="00046CF8"/>
    <w:rsid w:val="000477B7"/>
    <w:rsid w:val="00050021"/>
    <w:rsid w:val="000509F3"/>
    <w:rsid w:val="0005135E"/>
    <w:rsid w:val="0005159D"/>
    <w:rsid w:val="00052009"/>
    <w:rsid w:val="000527E0"/>
    <w:rsid w:val="00053494"/>
    <w:rsid w:val="00053B30"/>
    <w:rsid w:val="00053BC5"/>
    <w:rsid w:val="000540EE"/>
    <w:rsid w:val="0005443D"/>
    <w:rsid w:val="00054895"/>
    <w:rsid w:val="000548D9"/>
    <w:rsid w:val="000549A0"/>
    <w:rsid w:val="00054B0C"/>
    <w:rsid w:val="00054CD1"/>
    <w:rsid w:val="00054EB2"/>
    <w:rsid w:val="00055372"/>
    <w:rsid w:val="00055972"/>
    <w:rsid w:val="00055AC7"/>
    <w:rsid w:val="00056113"/>
    <w:rsid w:val="000561E4"/>
    <w:rsid w:val="00056567"/>
    <w:rsid w:val="00056B16"/>
    <w:rsid w:val="000575CF"/>
    <w:rsid w:val="00057B8C"/>
    <w:rsid w:val="00057E03"/>
    <w:rsid w:val="00057F1E"/>
    <w:rsid w:val="0006004C"/>
    <w:rsid w:val="0006010A"/>
    <w:rsid w:val="0006041E"/>
    <w:rsid w:val="00060E4F"/>
    <w:rsid w:val="00061536"/>
    <w:rsid w:val="00062063"/>
    <w:rsid w:val="00062792"/>
    <w:rsid w:val="00062E78"/>
    <w:rsid w:val="00063762"/>
    <w:rsid w:val="00063935"/>
    <w:rsid w:val="00063E7C"/>
    <w:rsid w:val="00064A64"/>
    <w:rsid w:val="0006562F"/>
    <w:rsid w:val="00066A40"/>
    <w:rsid w:val="0006793B"/>
    <w:rsid w:val="00067C2A"/>
    <w:rsid w:val="00067FC8"/>
    <w:rsid w:val="00070127"/>
    <w:rsid w:val="00070B1A"/>
    <w:rsid w:val="0007137A"/>
    <w:rsid w:val="00072768"/>
    <w:rsid w:val="00072DC0"/>
    <w:rsid w:val="000734D7"/>
    <w:rsid w:val="000734EF"/>
    <w:rsid w:val="0007404F"/>
    <w:rsid w:val="000748FE"/>
    <w:rsid w:val="00074B7D"/>
    <w:rsid w:val="00074D27"/>
    <w:rsid w:val="00075056"/>
    <w:rsid w:val="00075100"/>
    <w:rsid w:val="00075324"/>
    <w:rsid w:val="000761BB"/>
    <w:rsid w:val="00076C5F"/>
    <w:rsid w:val="00077232"/>
    <w:rsid w:val="00077367"/>
    <w:rsid w:val="00080091"/>
    <w:rsid w:val="00080BD1"/>
    <w:rsid w:val="00080EAA"/>
    <w:rsid w:val="00081540"/>
    <w:rsid w:val="00081B5A"/>
    <w:rsid w:val="00082B33"/>
    <w:rsid w:val="00082B40"/>
    <w:rsid w:val="00082E59"/>
    <w:rsid w:val="0008309A"/>
    <w:rsid w:val="00083273"/>
    <w:rsid w:val="0008485F"/>
    <w:rsid w:val="00085230"/>
    <w:rsid w:val="00086D18"/>
    <w:rsid w:val="00086FA9"/>
    <w:rsid w:val="0008719E"/>
    <w:rsid w:val="000874F4"/>
    <w:rsid w:val="000902FD"/>
    <w:rsid w:val="00090BF9"/>
    <w:rsid w:val="00090D3E"/>
    <w:rsid w:val="0009100C"/>
    <w:rsid w:val="0009107D"/>
    <w:rsid w:val="000923DC"/>
    <w:rsid w:val="0009371A"/>
    <w:rsid w:val="000938C2"/>
    <w:rsid w:val="000944FE"/>
    <w:rsid w:val="00094E53"/>
    <w:rsid w:val="00095885"/>
    <w:rsid w:val="00096087"/>
    <w:rsid w:val="00096807"/>
    <w:rsid w:val="00097017"/>
    <w:rsid w:val="000971A7"/>
    <w:rsid w:val="000973F9"/>
    <w:rsid w:val="00097A1E"/>
    <w:rsid w:val="00097A22"/>
    <w:rsid w:val="00097F0F"/>
    <w:rsid w:val="000A024F"/>
    <w:rsid w:val="000A0289"/>
    <w:rsid w:val="000A0830"/>
    <w:rsid w:val="000A08E0"/>
    <w:rsid w:val="000A0B46"/>
    <w:rsid w:val="000A0F4C"/>
    <w:rsid w:val="000A1339"/>
    <w:rsid w:val="000A1533"/>
    <w:rsid w:val="000A20B0"/>
    <w:rsid w:val="000A21B8"/>
    <w:rsid w:val="000A2C62"/>
    <w:rsid w:val="000A2F7D"/>
    <w:rsid w:val="000A3778"/>
    <w:rsid w:val="000A4287"/>
    <w:rsid w:val="000A44E4"/>
    <w:rsid w:val="000A4779"/>
    <w:rsid w:val="000A47FB"/>
    <w:rsid w:val="000A485D"/>
    <w:rsid w:val="000A498F"/>
    <w:rsid w:val="000A5408"/>
    <w:rsid w:val="000A5FFD"/>
    <w:rsid w:val="000A60FE"/>
    <w:rsid w:val="000A6186"/>
    <w:rsid w:val="000A6CEB"/>
    <w:rsid w:val="000A6EF8"/>
    <w:rsid w:val="000A798A"/>
    <w:rsid w:val="000A7B8A"/>
    <w:rsid w:val="000B0E27"/>
    <w:rsid w:val="000B1BA8"/>
    <w:rsid w:val="000B36AF"/>
    <w:rsid w:val="000B3A46"/>
    <w:rsid w:val="000B3E3C"/>
    <w:rsid w:val="000B4499"/>
    <w:rsid w:val="000B48A6"/>
    <w:rsid w:val="000B5072"/>
    <w:rsid w:val="000B5E17"/>
    <w:rsid w:val="000B6775"/>
    <w:rsid w:val="000C0415"/>
    <w:rsid w:val="000C1847"/>
    <w:rsid w:val="000C1D2C"/>
    <w:rsid w:val="000C1D92"/>
    <w:rsid w:val="000C2571"/>
    <w:rsid w:val="000C295E"/>
    <w:rsid w:val="000C352C"/>
    <w:rsid w:val="000C3D1A"/>
    <w:rsid w:val="000C4743"/>
    <w:rsid w:val="000C4DDD"/>
    <w:rsid w:val="000C506D"/>
    <w:rsid w:val="000C533E"/>
    <w:rsid w:val="000C53C5"/>
    <w:rsid w:val="000C5C1D"/>
    <w:rsid w:val="000C5F12"/>
    <w:rsid w:val="000C6635"/>
    <w:rsid w:val="000C66BF"/>
    <w:rsid w:val="000C746E"/>
    <w:rsid w:val="000C78C6"/>
    <w:rsid w:val="000D00F9"/>
    <w:rsid w:val="000D048C"/>
    <w:rsid w:val="000D05BB"/>
    <w:rsid w:val="000D0818"/>
    <w:rsid w:val="000D0ABB"/>
    <w:rsid w:val="000D0FD6"/>
    <w:rsid w:val="000D11EC"/>
    <w:rsid w:val="000D1449"/>
    <w:rsid w:val="000D1E42"/>
    <w:rsid w:val="000D1EE9"/>
    <w:rsid w:val="000D285B"/>
    <w:rsid w:val="000D2DF2"/>
    <w:rsid w:val="000D3449"/>
    <w:rsid w:val="000D3D7D"/>
    <w:rsid w:val="000D43BE"/>
    <w:rsid w:val="000D451E"/>
    <w:rsid w:val="000D4E89"/>
    <w:rsid w:val="000D55CD"/>
    <w:rsid w:val="000D65C1"/>
    <w:rsid w:val="000E0655"/>
    <w:rsid w:val="000E0DAD"/>
    <w:rsid w:val="000E11D0"/>
    <w:rsid w:val="000E2363"/>
    <w:rsid w:val="000E2CEB"/>
    <w:rsid w:val="000E3117"/>
    <w:rsid w:val="000E3178"/>
    <w:rsid w:val="000E3C19"/>
    <w:rsid w:val="000E4C70"/>
    <w:rsid w:val="000E506E"/>
    <w:rsid w:val="000E586B"/>
    <w:rsid w:val="000E6178"/>
    <w:rsid w:val="000E7618"/>
    <w:rsid w:val="000E7AD0"/>
    <w:rsid w:val="000F0E78"/>
    <w:rsid w:val="000F17C2"/>
    <w:rsid w:val="000F1A04"/>
    <w:rsid w:val="000F225E"/>
    <w:rsid w:val="000F2B73"/>
    <w:rsid w:val="000F2C3A"/>
    <w:rsid w:val="000F2CB7"/>
    <w:rsid w:val="000F3057"/>
    <w:rsid w:val="000F32EE"/>
    <w:rsid w:val="000F3503"/>
    <w:rsid w:val="000F3C84"/>
    <w:rsid w:val="000F4082"/>
    <w:rsid w:val="000F4475"/>
    <w:rsid w:val="000F468D"/>
    <w:rsid w:val="000F4751"/>
    <w:rsid w:val="000F477E"/>
    <w:rsid w:val="000F4CD3"/>
    <w:rsid w:val="000F51C9"/>
    <w:rsid w:val="000F55A3"/>
    <w:rsid w:val="000F5CDD"/>
    <w:rsid w:val="000F5F63"/>
    <w:rsid w:val="000F6146"/>
    <w:rsid w:val="000F622F"/>
    <w:rsid w:val="000F6317"/>
    <w:rsid w:val="000F635E"/>
    <w:rsid w:val="000F64F0"/>
    <w:rsid w:val="000F6504"/>
    <w:rsid w:val="000F6AFE"/>
    <w:rsid w:val="000F75D5"/>
    <w:rsid w:val="000F7D76"/>
    <w:rsid w:val="00101841"/>
    <w:rsid w:val="00101F60"/>
    <w:rsid w:val="00102C1E"/>
    <w:rsid w:val="00102E80"/>
    <w:rsid w:val="00102FB0"/>
    <w:rsid w:val="00103E01"/>
    <w:rsid w:val="001047C6"/>
    <w:rsid w:val="00105D4D"/>
    <w:rsid w:val="00105EF0"/>
    <w:rsid w:val="001060F5"/>
    <w:rsid w:val="001068EA"/>
    <w:rsid w:val="00106D42"/>
    <w:rsid w:val="00107472"/>
    <w:rsid w:val="00107D07"/>
    <w:rsid w:val="001107FC"/>
    <w:rsid w:val="0011085E"/>
    <w:rsid w:val="00110869"/>
    <w:rsid w:val="00110B0F"/>
    <w:rsid w:val="00111347"/>
    <w:rsid w:val="0011158A"/>
    <w:rsid w:val="00111710"/>
    <w:rsid w:val="00111777"/>
    <w:rsid w:val="00111C94"/>
    <w:rsid w:val="00112F30"/>
    <w:rsid w:val="00113106"/>
    <w:rsid w:val="001134AE"/>
    <w:rsid w:val="00113B22"/>
    <w:rsid w:val="0011459A"/>
    <w:rsid w:val="001149D1"/>
    <w:rsid w:val="00114FBD"/>
    <w:rsid w:val="00115757"/>
    <w:rsid w:val="00115B6D"/>
    <w:rsid w:val="00115EED"/>
    <w:rsid w:val="0011725F"/>
    <w:rsid w:val="001176E9"/>
    <w:rsid w:val="00120135"/>
    <w:rsid w:val="0012047E"/>
    <w:rsid w:val="001206E3"/>
    <w:rsid w:val="00121376"/>
    <w:rsid w:val="00121DBA"/>
    <w:rsid w:val="00122301"/>
    <w:rsid w:val="00122C26"/>
    <w:rsid w:val="00123B59"/>
    <w:rsid w:val="00124080"/>
    <w:rsid w:val="001252EE"/>
    <w:rsid w:val="0012547F"/>
    <w:rsid w:val="00126D7F"/>
    <w:rsid w:val="001274AB"/>
    <w:rsid w:val="00127659"/>
    <w:rsid w:val="00127866"/>
    <w:rsid w:val="00127D0D"/>
    <w:rsid w:val="001304B5"/>
    <w:rsid w:val="00130603"/>
    <w:rsid w:val="0013084B"/>
    <w:rsid w:val="001313F3"/>
    <w:rsid w:val="001317A1"/>
    <w:rsid w:val="00131A2B"/>
    <w:rsid w:val="00132F1D"/>
    <w:rsid w:val="00133902"/>
    <w:rsid w:val="001348D8"/>
    <w:rsid w:val="00134AAF"/>
    <w:rsid w:val="00134F15"/>
    <w:rsid w:val="00135392"/>
    <w:rsid w:val="00135706"/>
    <w:rsid w:val="00137C16"/>
    <w:rsid w:val="00137F67"/>
    <w:rsid w:val="00140EE1"/>
    <w:rsid w:val="00140FA1"/>
    <w:rsid w:val="001411C6"/>
    <w:rsid w:val="00141927"/>
    <w:rsid w:val="00141B89"/>
    <w:rsid w:val="00142B69"/>
    <w:rsid w:val="00142D7F"/>
    <w:rsid w:val="00143544"/>
    <w:rsid w:val="00143B00"/>
    <w:rsid w:val="00143B91"/>
    <w:rsid w:val="00143F97"/>
    <w:rsid w:val="001443C3"/>
    <w:rsid w:val="001447EB"/>
    <w:rsid w:val="00144AC2"/>
    <w:rsid w:val="00145010"/>
    <w:rsid w:val="00145816"/>
    <w:rsid w:val="00145C39"/>
    <w:rsid w:val="00146350"/>
    <w:rsid w:val="0014662F"/>
    <w:rsid w:val="0014673C"/>
    <w:rsid w:val="00146D5A"/>
    <w:rsid w:val="00146DAE"/>
    <w:rsid w:val="00147529"/>
    <w:rsid w:val="001503E9"/>
    <w:rsid w:val="0015056C"/>
    <w:rsid w:val="00150C86"/>
    <w:rsid w:val="00151D99"/>
    <w:rsid w:val="0015223A"/>
    <w:rsid w:val="0015241F"/>
    <w:rsid w:val="00152D55"/>
    <w:rsid w:val="0015357B"/>
    <w:rsid w:val="00153794"/>
    <w:rsid w:val="00153DFA"/>
    <w:rsid w:val="00154881"/>
    <w:rsid w:val="00155458"/>
    <w:rsid w:val="00155610"/>
    <w:rsid w:val="0015568A"/>
    <w:rsid w:val="00155911"/>
    <w:rsid w:val="00155A66"/>
    <w:rsid w:val="00155ECA"/>
    <w:rsid w:val="0015600E"/>
    <w:rsid w:val="001566BA"/>
    <w:rsid w:val="0015686F"/>
    <w:rsid w:val="00156889"/>
    <w:rsid w:val="00156C3E"/>
    <w:rsid w:val="001571F9"/>
    <w:rsid w:val="0015737E"/>
    <w:rsid w:val="00157CFD"/>
    <w:rsid w:val="00157E85"/>
    <w:rsid w:val="0016045E"/>
    <w:rsid w:val="0016054C"/>
    <w:rsid w:val="00160F58"/>
    <w:rsid w:val="001614E1"/>
    <w:rsid w:val="001617DC"/>
    <w:rsid w:val="00161809"/>
    <w:rsid w:val="0016180B"/>
    <w:rsid w:val="00161F04"/>
    <w:rsid w:val="00162560"/>
    <w:rsid w:val="001638EC"/>
    <w:rsid w:val="001643BA"/>
    <w:rsid w:val="00164D85"/>
    <w:rsid w:val="00164DA2"/>
    <w:rsid w:val="00165F70"/>
    <w:rsid w:val="00166EBA"/>
    <w:rsid w:val="00166F0B"/>
    <w:rsid w:val="00167101"/>
    <w:rsid w:val="0017005A"/>
    <w:rsid w:val="00172B6E"/>
    <w:rsid w:val="00172BBE"/>
    <w:rsid w:val="00172E20"/>
    <w:rsid w:val="0017399E"/>
    <w:rsid w:val="00174835"/>
    <w:rsid w:val="001748C7"/>
    <w:rsid w:val="00174F5B"/>
    <w:rsid w:val="00174F8B"/>
    <w:rsid w:val="001755F4"/>
    <w:rsid w:val="00175918"/>
    <w:rsid w:val="00176215"/>
    <w:rsid w:val="0017626D"/>
    <w:rsid w:val="0017651C"/>
    <w:rsid w:val="00176704"/>
    <w:rsid w:val="0017674A"/>
    <w:rsid w:val="00176DEF"/>
    <w:rsid w:val="0017747C"/>
    <w:rsid w:val="001774AD"/>
    <w:rsid w:val="001774BC"/>
    <w:rsid w:val="00177A33"/>
    <w:rsid w:val="00177F10"/>
    <w:rsid w:val="0018089C"/>
    <w:rsid w:val="00181244"/>
    <w:rsid w:val="001816DA"/>
    <w:rsid w:val="00181D07"/>
    <w:rsid w:val="00181F85"/>
    <w:rsid w:val="0018211F"/>
    <w:rsid w:val="00182292"/>
    <w:rsid w:val="00182770"/>
    <w:rsid w:val="00182B17"/>
    <w:rsid w:val="00183CCE"/>
    <w:rsid w:val="00184AA4"/>
    <w:rsid w:val="00184B18"/>
    <w:rsid w:val="0018509D"/>
    <w:rsid w:val="00185527"/>
    <w:rsid w:val="00185667"/>
    <w:rsid w:val="00185D47"/>
    <w:rsid w:val="00185FE5"/>
    <w:rsid w:val="0018637D"/>
    <w:rsid w:val="00186748"/>
    <w:rsid w:val="00186D11"/>
    <w:rsid w:val="0019037C"/>
    <w:rsid w:val="00190860"/>
    <w:rsid w:val="001909E5"/>
    <w:rsid w:val="00191D2F"/>
    <w:rsid w:val="00191F69"/>
    <w:rsid w:val="00192102"/>
    <w:rsid w:val="00192618"/>
    <w:rsid w:val="00192812"/>
    <w:rsid w:val="001939D9"/>
    <w:rsid w:val="00193BFC"/>
    <w:rsid w:val="00194333"/>
    <w:rsid w:val="00194BA9"/>
    <w:rsid w:val="00194EE1"/>
    <w:rsid w:val="00195F54"/>
    <w:rsid w:val="00196502"/>
    <w:rsid w:val="00196AC3"/>
    <w:rsid w:val="00196E4C"/>
    <w:rsid w:val="0019742F"/>
    <w:rsid w:val="00197758"/>
    <w:rsid w:val="00197B08"/>
    <w:rsid w:val="00197DE3"/>
    <w:rsid w:val="001A0103"/>
    <w:rsid w:val="001A1150"/>
    <w:rsid w:val="001A1BF2"/>
    <w:rsid w:val="001A1E4A"/>
    <w:rsid w:val="001A2986"/>
    <w:rsid w:val="001A29AC"/>
    <w:rsid w:val="001A2D26"/>
    <w:rsid w:val="001A497E"/>
    <w:rsid w:val="001A49C9"/>
    <w:rsid w:val="001A579A"/>
    <w:rsid w:val="001A584F"/>
    <w:rsid w:val="001A594E"/>
    <w:rsid w:val="001A60F2"/>
    <w:rsid w:val="001A7113"/>
    <w:rsid w:val="001A7D44"/>
    <w:rsid w:val="001B030E"/>
    <w:rsid w:val="001B063C"/>
    <w:rsid w:val="001B0DA6"/>
    <w:rsid w:val="001B0DD9"/>
    <w:rsid w:val="001B0F8B"/>
    <w:rsid w:val="001B14E4"/>
    <w:rsid w:val="001B1BCE"/>
    <w:rsid w:val="001B1D9B"/>
    <w:rsid w:val="001B22CF"/>
    <w:rsid w:val="001B238D"/>
    <w:rsid w:val="001B25DA"/>
    <w:rsid w:val="001B3329"/>
    <w:rsid w:val="001B3622"/>
    <w:rsid w:val="001B3854"/>
    <w:rsid w:val="001B3A9E"/>
    <w:rsid w:val="001B43BC"/>
    <w:rsid w:val="001B56A2"/>
    <w:rsid w:val="001B5A8E"/>
    <w:rsid w:val="001B6B6B"/>
    <w:rsid w:val="001C05C4"/>
    <w:rsid w:val="001C0663"/>
    <w:rsid w:val="001C0BBD"/>
    <w:rsid w:val="001C127F"/>
    <w:rsid w:val="001C1A16"/>
    <w:rsid w:val="001C1E5A"/>
    <w:rsid w:val="001C1F91"/>
    <w:rsid w:val="001C2A72"/>
    <w:rsid w:val="001C2B79"/>
    <w:rsid w:val="001C4A7A"/>
    <w:rsid w:val="001C502A"/>
    <w:rsid w:val="001C505F"/>
    <w:rsid w:val="001C53C6"/>
    <w:rsid w:val="001C5460"/>
    <w:rsid w:val="001C576B"/>
    <w:rsid w:val="001C577A"/>
    <w:rsid w:val="001C60E3"/>
    <w:rsid w:val="001C64FC"/>
    <w:rsid w:val="001C677D"/>
    <w:rsid w:val="001C7024"/>
    <w:rsid w:val="001C7564"/>
    <w:rsid w:val="001C7827"/>
    <w:rsid w:val="001D085B"/>
    <w:rsid w:val="001D0B24"/>
    <w:rsid w:val="001D0B98"/>
    <w:rsid w:val="001D0F8F"/>
    <w:rsid w:val="001D124F"/>
    <w:rsid w:val="001D15C1"/>
    <w:rsid w:val="001D1EB5"/>
    <w:rsid w:val="001D2097"/>
    <w:rsid w:val="001D2681"/>
    <w:rsid w:val="001D2A8F"/>
    <w:rsid w:val="001D3679"/>
    <w:rsid w:val="001D45FA"/>
    <w:rsid w:val="001D54F0"/>
    <w:rsid w:val="001D7CB4"/>
    <w:rsid w:val="001D7E35"/>
    <w:rsid w:val="001E0176"/>
    <w:rsid w:val="001E0F01"/>
    <w:rsid w:val="001E1BF9"/>
    <w:rsid w:val="001E3017"/>
    <w:rsid w:val="001E401E"/>
    <w:rsid w:val="001E5562"/>
    <w:rsid w:val="001E5CAF"/>
    <w:rsid w:val="001E61F7"/>
    <w:rsid w:val="001E78BD"/>
    <w:rsid w:val="001E7C29"/>
    <w:rsid w:val="001E7F71"/>
    <w:rsid w:val="001F0014"/>
    <w:rsid w:val="001F0209"/>
    <w:rsid w:val="001F020D"/>
    <w:rsid w:val="001F0632"/>
    <w:rsid w:val="001F0D77"/>
    <w:rsid w:val="001F0DE9"/>
    <w:rsid w:val="001F131B"/>
    <w:rsid w:val="001F1973"/>
    <w:rsid w:val="001F2143"/>
    <w:rsid w:val="001F2382"/>
    <w:rsid w:val="001F4133"/>
    <w:rsid w:val="001F44E0"/>
    <w:rsid w:val="001F49F2"/>
    <w:rsid w:val="001F4B06"/>
    <w:rsid w:val="001F4BA5"/>
    <w:rsid w:val="001F51F2"/>
    <w:rsid w:val="001F52AD"/>
    <w:rsid w:val="001F61BB"/>
    <w:rsid w:val="001F627B"/>
    <w:rsid w:val="001F731B"/>
    <w:rsid w:val="001F77EF"/>
    <w:rsid w:val="001F7909"/>
    <w:rsid w:val="001F7BE8"/>
    <w:rsid w:val="00200A03"/>
    <w:rsid w:val="00200AF5"/>
    <w:rsid w:val="002018E2"/>
    <w:rsid w:val="002022B1"/>
    <w:rsid w:val="00202506"/>
    <w:rsid w:val="00202E24"/>
    <w:rsid w:val="0020342A"/>
    <w:rsid w:val="0020351D"/>
    <w:rsid w:val="00203A61"/>
    <w:rsid w:val="00203C11"/>
    <w:rsid w:val="0020477E"/>
    <w:rsid w:val="00204C05"/>
    <w:rsid w:val="00204E38"/>
    <w:rsid w:val="00205234"/>
    <w:rsid w:val="0020563D"/>
    <w:rsid w:val="00205829"/>
    <w:rsid w:val="00205A02"/>
    <w:rsid w:val="00205B65"/>
    <w:rsid w:val="002068FA"/>
    <w:rsid w:val="002078C3"/>
    <w:rsid w:val="002106F7"/>
    <w:rsid w:val="00210C35"/>
    <w:rsid w:val="00211045"/>
    <w:rsid w:val="00211AE1"/>
    <w:rsid w:val="00211BEA"/>
    <w:rsid w:val="0021263D"/>
    <w:rsid w:val="002128F2"/>
    <w:rsid w:val="00212E44"/>
    <w:rsid w:val="00212ED0"/>
    <w:rsid w:val="00213AEE"/>
    <w:rsid w:val="00213D8D"/>
    <w:rsid w:val="00214157"/>
    <w:rsid w:val="00214320"/>
    <w:rsid w:val="002157E8"/>
    <w:rsid w:val="0021581F"/>
    <w:rsid w:val="00215FB2"/>
    <w:rsid w:val="002160FE"/>
    <w:rsid w:val="002161E5"/>
    <w:rsid w:val="00216441"/>
    <w:rsid w:val="002165C8"/>
    <w:rsid w:val="0021677F"/>
    <w:rsid w:val="002168D9"/>
    <w:rsid w:val="0021693A"/>
    <w:rsid w:val="00216D60"/>
    <w:rsid w:val="00217471"/>
    <w:rsid w:val="00217B01"/>
    <w:rsid w:val="00220076"/>
    <w:rsid w:val="0022073C"/>
    <w:rsid w:val="00220AA1"/>
    <w:rsid w:val="00221020"/>
    <w:rsid w:val="00221CCB"/>
    <w:rsid w:val="00221ED4"/>
    <w:rsid w:val="0022282B"/>
    <w:rsid w:val="0022359C"/>
    <w:rsid w:val="002239A2"/>
    <w:rsid w:val="00223E6D"/>
    <w:rsid w:val="002242E9"/>
    <w:rsid w:val="00224417"/>
    <w:rsid w:val="002244ED"/>
    <w:rsid w:val="00224938"/>
    <w:rsid w:val="002250C4"/>
    <w:rsid w:val="00225248"/>
    <w:rsid w:val="002260A4"/>
    <w:rsid w:val="0022640B"/>
    <w:rsid w:val="00226791"/>
    <w:rsid w:val="00226ADE"/>
    <w:rsid w:val="00226D1B"/>
    <w:rsid w:val="00227811"/>
    <w:rsid w:val="00227D00"/>
    <w:rsid w:val="0023034D"/>
    <w:rsid w:val="00230A7B"/>
    <w:rsid w:val="002310EA"/>
    <w:rsid w:val="00231380"/>
    <w:rsid w:val="00231598"/>
    <w:rsid w:val="002317AF"/>
    <w:rsid w:val="00231CF8"/>
    <w:rsid w:val="00231E36"/>
    <w:rsid w:val="00233370"/>
    <w:rsid w:val="00233434"/>
    <w:rsid w:val="00233830"/>
    <w:rsid w:val="00233B1C"/>
    <w:rsid w:val="00233F11"/>
    <w:rsid w:val="002343A9"/>
    <w:rsid w:val="00234D24"/>
    <w:rsid w:val="00234D78"/>
    <w:rsid w:val="00234E8E"/>
    <w:rsid w:val="00234E92"/>
    <w:rsid w:val="0023548F"/>
    <w:rsid w:val="00235F3D"/>
    <w:rsid w:val="002369B0"/>
    <w:rsid w:val="00236A33"/>
    <w:rsid w:val="00236A9D"/>
    <w:rsid w:val="00236E5E"/>
    <w:rsid w:val="00237FE5"/>
    <w:rsid w:val="00240789"/>
    <w:rsid w:val="00240BF7"/>
    <w:rsid w:val="002410B0"/>
    <w:rsid w:val="00241CD9"/>
    <w:rsid w:val="0024278F"/>
    <w:rsid w:val="00242B34"/>
    <w:rsid w:val="00243069"/>
    <w:rsid w:val="002438D9"/>
    <w:rsid w:val="002438E1"/>
    <w:rsid w:val="00243DCD"/>
    <w:rsid w:val="00244F41"/>
    <w:rsid w:val="002456D9"/>
    <w:rsid w:val="002462B2"/>
    <w:rsid w:val="00246405"/>
    <w:rsid w:val="00246539"/>
    <w:rsid w:val="00247233"/>
    <w:rsid w:val="00247730"/>
    <w:rsid w:val="002479BE"/>
    <w:rsid w:val="00247DAF"/>
    <w:rsid w:val="00247F33"/>
    <w:rsid w:val="002500E5"/>
    <w:rsid w:val="00250105"/>
    <w:rsid w:val="00250821"/>
    <w:rsid w:val="0025203A"/>
    <w:rsid w:val="0025211D"/>
    <w:rsid w:val="0025249D"/>
    <w:rsid w:val="002525B0"/>
    <w:rsid w:val="002537BB"/>
    <w:rsid w:val="00254005"/>
    <w:rsid w:val="00254F75"/>
    <w:rsid w:val="00254FC2"/>
    <w:rsid w:val="002572B9"/>
    <w:rsid w:val="002603D4"/>
    <w:rsid w:val="00260802"/>
    <w:rsid w:val="00260E56"/>
    <w:rsid w:val="002610BE"/>
    <w:rsid w:val="002612D0"/>
    <w:rsid w:val="0026145E"/>
    <w:rsid w:val="0026179E"/>
    <w:rsid w:val="00261AFA"/>
    <w:rsid w:val="00261F8B"/>
    <w:rsid w:val="00262BFE"/>
    <w:rsid w:val="00262E1F"/>
    <w:rsid w:val="00263814"/>
    <w:rsid w:val="002638A7"/>
    <w:rsid w:val="00263CD5"/>
    <w:rsid w:val="002647B5"/>
    <w:rsid w:val="002654C0"/>
    <w:rsid w:val="002657EF"/>
    <w:rsid w:val="002664F9"/>
    <w:rsid w:val="002668C2"/>
    <w:rsid w:val="00266ED9"/>
    <w:rsid w:val="00267145"/>
    <w:rsid w:val="002709F1"/>
    <w:rsid w:val="00270C8B"/>
    <w:rsid w:val="00270E7B"/>
    <w:rsid w:val="00271599"/>
    <w:rsid w:val="00271B34"/>
    <w:rsid w:val="00271C5D"/>
    <w:rsid w:val="00271CFC"/>
    <w:rsid w:val="00272435"/>
    <w:rsid w:val="0027284E"/>
    <w:rsid w:val="00272ABC"/>
    <w:rsid w:val="00273186"/>
    <w:rsid w:val="0027330C"/>
    <w:rsid w:val="00273F23"/>
    <w:rsid w:val="00274187"/>
    <w:rsid w:val="00274190"/>
    <w:rsid w:val="002745C0"/>
    <w:rsid w:val="00274AD6"/>
    <w:rsid w:val="0027585A"/>
    <w:rsid w:val="00276422"/>
    <w:rsid w:val="002765D8"/>
    <w:rsid w:val="002767C0"/>
    <w:rsid w:val="00277114"/>
    <w:rsid w:val="00277383"/>
    <w:rsid w:val="002773F8"/>
    <w:rsid w:val="002777BA"/>
    <w:rsid w:val="00277DFD"/>
    <w:rsid w:val="0028083C"/>
    <w:rsid w:val="002811A8"/>
    <w:rsid w:val="002814C1"/>
    <w:rsid w:val="00281E03"/>
    <w:rsid w:val="0028206C"/>
    <w:rsid w:val="002820FC"/>
    <w:rsid w:val="0028279F"/>
    <w:rsid w:val="00282A9E"/>
    <w:rsid w:val="00283533"/>
    <w:rsid w:val="002838A5"/>
    <w:rsid w:val="00283BC6"/>
    <w:rsid w:val="002842AC"/>
    <w:rsid w:val="0028478A"/>
    <w:rsid w:val="00284BA8"/>
    <w:rsid w:val="00284C4E"/>
    <w:rsid w:val="0028508A"/>
    <w:rsid w:val="00285F14"/>
    <w:rsid w:val="00286E02"/>
    <w:rsid w:val="00287241"/>
    <w:rsid w:val="002872A4"/>
    <w:rsid w:val="00287491"/>
    <w:rsid w:val="0028789A"/>
    <w:rsid w:val="0028791C"/>
    <w:rsid w:val="0028799E"/>
    <w:rsid w:val="00287B08"/>
    <w:rsid w:val="00290145"/>
    <w:rsid w:val="002906AA"/>
    <w:rsid w:val="002908AB"/>
    <w:rsid w:val="00290A80"/>
    <w:rsid w:val="00291BF8"/>
    <w:rsid w:val="00292737"/>
    <w:rsid w:val="00292797"/>
    <w:rsid w:val="00292E8A"/>
    <w:rsid w:val="00293647"/>
    <w:rsid w:val="00293D40"/>
    <w:rsid w:val="00293E2C"/>
    <w:rsid w:val="0029468D"/>
    <w:rsid w:val="002946AC"/>
    <w:rsid w:val="00294CE8"/>
    <w:rsid w:val="002956B3"/>
    <w:rsid w:val="00296497"/>
    <w:rsid w:val="00296C6F"/>
    <w:rsid w:val="00296D6B"/>
    <w:rsid w:val="00297B5C"/>
    <w:rsid w:val="002A05C3"/>
    <w:rsid w:val="002A0900"/>
    <w:rsid w:val="002A118F"/>
    <w:rsid w:val="002A1376"/>
    <w:rsid w:val="002A1923"/>
    <w:rsid w:val="002A222F"/>
    <w:rsid w:val="002A2552"/>
    <w:rsid w:val="002A28A0"/>
    <w:rsid w:val="002A2F09"/>
    <w:rsid w:val="002A3557"/>
    <w:rsid w:val="002A3786"/>
    <w:rsid w:val="002A38BB"/>
    <w:rsid w:val="002A528B"/>
    <w:rsid w:val="002A58F3"/>
    <w:rsid w:val="002A5AD3"/>
    <w:rsid w:val="002A5C87"/>
    <w:rsid w:val="002A5E27"/>
    <w:rsid w:val="002A5FA6"/>
    <w:rsid w:val="002A62FD"/>
    <w:rsid w:val="002A6344"/>
    <w:rsid w:val="002A63B3"/>
    <w:rsid w:val="002A6841"/>
    <w:rsid w:val="002A6BEC"/>
    <w:rsid w:val="002A7441"/>
    <w:rsid w:val="002A79D3"/>
    <w:rsid w:val="002B00D4"/>
    <w:rsid w:val="002B0F37"/>
    <w:rsid w:val="002B1456"/>
    <w:rsid w:val="002B19A4"/>
    <w:rsid w:val="002B2ABA"/>
    <w:rsid w:val="002B2F61"/>
    <w:rsid w:val="002B3222"/>
    <w:rsid w:val="002B32E3"/>
    <w:rsid w:val="002B3CFB"/>
    <w:rsid w:val="002B43A2"/>
    <w:rsid w:val="002B4784"/>
    <w:rsid w:val="002B505C"/>
    <w:rsid w:val="002B51C9"/>
    <w:rsid w:val="002B5220"/>
    <w:rsid w:val="002B5ABD"/>
    <w:rsid w:val="002B62CB"/>
    <w:rsid w:val="002B6694"/>
    <w:rsid w:val="002B6846"/>
    <w:rsid w:val="002B7E61"/>
    <w:rsid w:val="002C09FC"/>
    <w:rsid w:val="002C133E"/>
    <w:rsid w:val="002C15CA"/>
    <w:rsid w:val="002C172A"/>
    <w:rsid w:val="002C1804"/>
    <w:rsid w:val="002C23EF"/>
    <w:rsid w:val="002C27BE"/>
    <w:rsid w:val="002C2DE0"/>
    <w:rsid w:val="002C3276"/>
    <w:rsid w:val="002C3673"/>
    <w:rsid w:val="002C3867"/>
    <w:rsid w:val="002C3F19"/>
    <w:rsid w:val="002C47C5"/>
    <w:rsid w:val="002C4C59"/>
    <w:rsid w:val="002C510E"/>
    <w:rsid w:val="002C629B"/>
    <w:rsid w:val="002C69AE"/>
    <w:rsid w:val="002C78D7"/>
    <w:rsid w:val="002D0513"/>
    <w:rsid w:val="002D16C4"/>
    <w:rsid w:val="002D17F8"/>
    <w:rsid w:val="002D1D27"/>
    <w:rsid w:val="002D2257"/>
    <w:rsid w:val="002D25F7"/>
    <w:rsid w:val="002D2714"/>
    <w:rsid w:val="002D38E5"/>
    <w:rsid w:val="002D421E"/>
    <w:rsid w:val="002D4975"/>
    <w:rsid w:val="002D49DD"/>
    <w:rsid w:val="002D4A31"/>
    <w:rsid w:val="002D4DF8"/>
    <w:rsid w:val="002D5074"/>
    <w:rsid w:val="002D5328"/>
    <w:rsid w:val="002D5383"/>
    <w:rsid w:val="002D5860"/>
    <w:rsid w:val="002D59BE"/>
    <w:rsid w:val="002D5B0C"/>
    <w:rsid w:val="002D6B4D"/>
    <w:rsid w:val="002D72F3"/>
    <w:rsid w:val="002D7431"/>
    <w:rsid w:val="002D752D"/>
    <w:rsid w:val="002D78F3"/>
    <w:rsid w:val="002D7ADF"/>
    <w:rsid w:val="002E1C7E"/>
    <w:rsid w:val="002E31EC"/>
    <w:rsid w:val="002E337C"/>
    <w:rsid w:val="002E48FD"/>
    <w:rsid w:val="002E4970"/>
    <w:rsid w:val="002E49FD"/>
    <w:rsid w:val="002E57BB"/>
    <w:rsid w:val="002E617F"/>
    <w:rsid w:val="002E6666"/>
    <w:rsid w:val="002E709D"/>
    <w:rsid w:val="002E7733"/>
    <w:rsid w:val="002F01E0"/>
    <w:rsid w:val="002F193A"/>
    <w:rsid w:val="002F1AC5"/>
    <w:rsid w:val="002F1D35"/>
    <w:rsid w:val="002F3236"/>
    <w:rsid w:val="002F3761"/>
    <w:rsid w:val="002F4657"/>
    <w:rsid w:val="002F4685"/>
    <w:rsid w:val="002F47DC"/>
    <w:rsid w:val="002F5065"/>
    <w:rsid w:val="002F5094"/>
    <w:rsid w:val="002F6128"/>
    <w:rsid w:val="002F6148"/>
    <w:rsid w:val="002F7027"/>
    <w:rsid w:val="002F7BF3"/>
    <w:rsid w:val="002F7D93"/>
    <w:rsid w:val="0030017C"/>
    <w:rsid w:val="0030092A"/>
    <w:rsid w:val="00301044"/>
    <w:rsid w:val="003011A0"/>
    <w:rsid w:val="00301738"/>
    <w:rsid w:val="00301F3D"/>
    <w:rsid w:val="003020BD"/>
    <w:rsid w:val="00302288"/>
    <w:rsid w:val="003024B7"/>
    <w:rsid w:val="003027DB"/>
    <w:rsid w:val="0030398D"/>
    <w:rsid w:val="003039EF"/>
    <w:rsid w:val="00303C7B"/>
    <w:rsid w:val="00304259"/>
    <w:rsid w:val="003055CB"/>
    <w:rsid w:val="00305738"/>
    <w:rsid w:val="00305A10"/>
    <w:rsid w:val="00306048"/>
    <w:rsid w:val="003065F7"/>
    <w:rsid w:val="0030661A"/>
    <w:rsid w:val="00306C5C"/>
    <w:rsid w:val="00306E2C"/>
    <w:rsid w:val="00306F1A"/>
    <w:rsid w:val="0030798F"/>
    <w:rsid w:val="00307B5A"/>
    <w:rsid w:val="003107C2"/>
    <w:rsid w:val="00310AA9"/>
    <w:rsid w:val="00310CAE"/>
    <w:rsid w:val="003122C4"/>
    <w:rsid w:val="00312677"/>
    <w:rsid w:val="00312E79"/>
    <w:rsid w:val="003142FA"/>
    <w:rsid w:val="00314B45"/>
    <w:rsid w:val="00315ADA"/>
    <w:rsid w:val="00315C4E"/>
    <w:rsid w:val="00315F58"/>
    <w:rsid w:val="00317025"/>
    <w:rsid w:val="0031715A"/>
    <w:rsid w:val="0031730F"/>
    <w:rsid w:val="0031784F"/>
    <w:rsid w:val="00317881"/>
    <w:rsid w:val="003179FD"/>
    <w:rsid w:val="00320044"/>
    <w:rsid w:val="00320666"/>
    <w:rsid w:val="003209B7"/>
    <w:rsid w:val="00320DF2"/>
    <w:rsid w:val="00321457"/>
    <w:rsid w:val="0032183A"/>
    <w:rsid w:val="0032188C"/>
    <w:rsid w:val="00322406"/>
    <w:rsid w:val="0032260E"/>
    <w:rsid w:val="0032280E"/>
    <w:rsid w:val="00323437"/>
    <w:rsid w:val="003234CA"/>
    <w:rsid w:val="00323536"/>
    <w:rsid w:val="00323613"/>
    <w:rsid w:val="00324873"/>
    <w:rsid w:val="003250AD"/>
    <w:rsid w:val="003255CA"/>
    <w:rsid w:val="0032735B"/>
    <w:rsid w:val="00327BDD"/>
    <w:rsid w:val="0033072B"/>
    <w:rsid w:val="00330863"/>
    <w:rsid w:val="00331487"/>
    <w:rsid w:val="003315F6"/>
    <w:rsid w:val="00331AD5"/>
    <w:rsid w:val="00331BEE"/>
    <w:rsid w:val="00333636"/>
    <w:rsid w:val="003336FB"/>
    <w:rsid w:val="0033391A"/>
    <w:rsid w:val="00333AB1"/>
    <w:rsid w:val="0033444C"/>
    <w:rsid w:val="003347D2"/>
    <w:rsid w:val="00334F0C"/>
    <w:rsid w:val="00335154"/>
    <w:rsid w:val="00335A0C"/>
    <w:rsid w:val="00335E8B"/>
    <w:rsid w:val="0033635D"/>
    <w:rsid w:val="003364CC"/>
    <w:rsid w:val="003366A6"/>
    <w:rsid w:val="00336AEE"/>
    <w:rsid w:val="00336B96"/>
    <w:rsid w:val="0033712F"/>
    <w:rsid w:val="003375C3"/>
    <w:rsid w:val="00337768"/>
    <w:rsid w:val="00337AEC"/>
    <w:rsid w:val="003401ED"/>
    <w:rsid w:val="00340781"/>
    <w:rsid w:val="00340A20"/>
    <w:rsid w:val="00340E23"/>
    <w:rsid w:val="00341005"/>
    <w:rsid w:val="0034162F"/>
    <w:rsid w:val="003416D9"/>
    <w:rsid w:val="0034178C"/>
    <w:rsid w:val="003419C7"/>
    <w:rsid w:val="00341D7C"/>
    <w:rsid w:val="003421CC"/>
    <w:rsid w:val="0034324F"/>
    <w:rsid w:val="0034342B"/>
    <w:rsid w:val="003436D8"/>
    <w:rsid w:val="0034481F"/>
    <w:rsid w:val="003449ED"/>
    <w:rsid w:val="00344F5D"/>
    <w:rsid w:val="003451C7"/>
    <w:rsid w:val="0034575E"/>
    <w:rsid w:val="00345FF5"/>
    <w:rsid w:val="00346F20"/>
    <w:rsid w:val="003470C2"/>
    <w:rsid w:val="00347998"/>
    <w:rsid w:val="00347F8D"/>
    <w:rsid w:val="00347FAB"/>
    <w:rsid w:val="0035027B"/>
    <w:rsid w:val="00351055"/>
    <w:rsid w:val="003512CF"/>
    <w:rsid w:val="00351AC2"/>
    <w:rsid w:val="00352558"/>
    <w:rsid w:val="003531C7"/>
    <w:rsid w:val="00353F26"/>
    <w:rsid w:val="0035406A"/>
    <w:rsid w:val="00354F0E"/>
    <w:rsid w:val="00355B1D"/>
    <w:rsid w:val="00355D08"/>
    <w:rsid w:val="00356510"/>
    <w:rsid w:val="00356BB7"/>
    <w:rsid w:val="00357164"/>
    <w:rsid w:val="003571CD"/>
    <w:rsid w:val="0035786D"/>
    <w:rsid w:val="00357938"/>
    <w:rsid w:val="00357F46"/>
    <w:rsid w:val="00361028"/>
    <w:rsid w:val="0036165F"/>
    <w:rsid w:val="003616E6"/>
    <w:rsid w:val="00361728"/>
    <w:rsid w:val="0036189E"/>
    <w:rsid w:val="003622A7"/>
    <w:rsid w:val="00362677"/>
    <w:rsid w:val="00362855"/>
    <w:rsid w:val="00363B0B"/>
    <w:rsid w:val="00363DBD"/>
    <w:rsid w:val="003640F7"/>
    <w:rsid w:val="00364E2C"/>
    <w:rsid w:val="003650FF"/>
    <w:rsid w:val="00365385"/>
    <w:rsid w:val="00365FC2"/>
    <w:rsid w:val="003669F4"/>
    <w:rsid w:val="003673A0"/>
    <w:rsid w:val="003678B2"/>
    <w:rsid w:val="00367AD4"/>
    <w:rsid w:val="003707A4"/>
    <w:rsid w:val="0037132E"/>
    <w:rsid w:val="003714D3"/>
    <w:rsid w:val="0037228D"/>
    <w:rsid w:val="00372FF7"/>
    <w:rsid w:val="00373232"/>
    <w:rsid w:val="00374126"/>
    <w:rsid w:val="003743CE"/>
    <w:rsid w:val="00374482"/>
    <w:rsid w:val="003747AD"/>
    <w:rsid w:val="003750DD"/>
    <w:rsid w:val="003758BF"/>
    <w:rsid w:val="003758CA"/>
    <w:rsid w:val="0037737A"/>
    <w:rsid w:val="003777AE"/>
    <w:rsid w:val="003805E7"/>
    <w:rsid w:val="003806CD"/>
    <w:rsid w:val="003806E9"/>
    <w:rsid w:val="0038085F"/>
    <w:rsid w:val="00380B7C"/>
    <w:rsid w:val="00380CBD"/>
    <w:rsid w:val="00380F6A"/>
    <w:rsid w:val="003810DA"/>
    <w:rsid w:val="003811C1"/>
    <w:rsid w:val="00381757"/>
    <w:rsid w:val="0038267D"/>
    <w:rsid w:val="00382814"/>
    <w:rsid w:val="003831E3"/>
    <w:rsid w:val="00383AAE"/>
    <w:rsid w:val="00383E4E"/>
    <w:rsid w:val="00383ECC"/>
    <w:rsid w:val="003840D3"/>
    <w:rsid w:val="0038417E"/>
    <w:rsid w:val="003847E4"/>
    <w:rsid w:val="00384956"/>
    <w:rsid w:val="00385BFD"/>
    <w:rsid w:val="0038689C"/>
    <w:rsid w:val="00386971"/>
    <w:rsid w:val="00386F0C"/>
    <w:rsid w:val="00386F9A"/>
    <w:rsid w:val="00387287"/>
    <w:rsid w:val="003875E8"/>
    <w:rsid w:val="00390FD9"/>
    <w:rsid w:val="00391F78"/>
    <w:rsid w:val="00392188"/>
    <w:rsid w:val="00392E99"/>
    <w:rsid w:val="00392F24"/>
    <w:rsid w:val="00393241"/>
    <w:rsid w:val="003942EE"/>
    <w:rsid w:val="0039462F"/>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D61"/>
    <w:rsid w:val="003A0F8A"/>
    <w:rsid w:val="003A0FAF"/>
    <w:rsid w:val="003A102F"/>
    <w:rsid w:val="003A11EA"/>
    <w:rsid w:val="003A1BE9"/>
    <w:rsid w:val="003A1C9A"/>
    <w:rsid w:val="003A2EF2"/>
    <w:rsid w:val="003A3403"/>
    <w:rsid w:val="003A4074"/>
    <w:rsid w:val="003A466E"/>
    <w:rsid w:val="003A46A8"/>
    <w:rsid w:val="003A4A9C"/>
    <w:rsid w:val="003A5299"/>
    <w:rsid w:val="003A5372"/>
    <w:rsid w:val="003A54A5"/>
    <w:rsid w:val="003A592A"/>
    <w:rsid w:val="003A5A46"/>
    <w:rsid w:val="003A5B9D"/>
    <w:rsid w:val="003A68B4"/>
    <w:rsid w:val="003A70F8"/>
    <w:rsid w:val="003B091E"/>
    <w:rsid w:val="003B0971"/>
    <w:rsid w:val="003B0B3E"/>
    <w:rsid w:val="003B0E68"/>
    <w:rsid w:val="003B11C3"/>
    <w:rsid w:val="003B17C5"/>
    <w:rsid w:val="003B18E3"/>
    <w:rsid w:val="003B1B69"/>
    <w:rsid w:val="003B215C"/>
    <w:rsid w:val="003B2233"/>
    <w:rsid w:val="003B328F"/>
    <w:rsid w:val="003B32FC"/>
    <w:rsid w:val="003B3B2B"/>
    <w:rsid w:val="003B45DC"/>
    <w:rsid w:val="003B54E0"/>
    <w:rsid w:val="003B5C2D"/>
    <w:rsid w:val="003B6162"/>
    <w:rsid w:val="003B6528"/>
    <w:rsid w:val="003B6735"/>
    <w:rsid w:val="003B68DF"/>
    <w:rsid w:val="003B7A89"/>
    <w:rsid w:val="003C0568"/>
    <w:rsid w:val="003C0EA7"/>
    <w:rsid w:val="003C1611"/>
    <w:rsid w:val="003C1C76"/>
    <w:rsid w:val="003C2312"/>
    <w:rsid w:val="003C2BF3"/>
    <w:rsid w:val="003C2D66"/>
    <w:rsid w:val="003C2F90"/>
    <w:rsid w:val="003C3B22"/>
    <w:rsid w:val="003C3E2F"/>
    <w:rsid w:val="003C4FE3"/>
    <w:rsid w:val="003C500C"/>
    <w:rsid w:val="003C586A"/>
    <w:rsid w:val="003C64D3"/>
    <w:rsid w:val="003D3E2D"/>
    <w:rsid w:val="003D461A"/>
    <w:rsid w:val="003D4868"/>
    <w:rsid w:val="003D5B3A"/>
    <w:rsid w:val="003D6AD1"/>
    <w:rsid w:val="003D6C8A"/>
    <w:rsid w:val="003D6E31"/>
    <w:rsid w:val="003D6FE3"/>
    <w:rsid w:val="003D77D8"/>
    <w:rsid w:val="003E03CE"/>
    <w:rsid w:val="003E1C96"/>
    <w:rsid w:val="003E1F71"/>
    <w:rsid w:val="003E266B"/>
    <w:rsid w:val="003E29DE"/>
    <w:rsid w:val="003E2B56"/>
    <w:rsid w:val="003E4580"/>
    <w:rsid w:val="003E4EE2"/>
    <w:rsid w:val="003E5B2E"/>
    <w:rsid w:val="003E5C8B"/>
    <w:rsid w:val="003E60D8"/>
    <w:rsid w:val="003E6852"/>
    <w:rsid w:val="003E72F6"/>
    <w:rsid w:val="003E7392"/>
    <w:rsid w:val="003E73EB"/>
    <w:rsid w:val="003E785A"/>
    <w:rsid w:val="003E7860"/>
    <w:rsid w:val="003E7D93"/>
    <w:rsid w:val="003E7DA0"/>
    <w:rsid w:val="003E7E3D"/>
    <w:rsid w:val="003F00DD"/>
    <w:rsid w:val="003F123E"/>
    <w:rsid w:val="003F13B3"/>
    <w:rsid w:val="003F1421"/>
    <w:rsid w:val="003F22CA"/>
    <w:rsid w:val="003F2425"/>
    <w:rsid w:val="003F2900"/>
    <w:rsid w:val="003F2D3D"/>
    <w:rsid w:val="003F2F54"/>
    <w:rsid w:val="003F354C"/>
    <w:rsid w:val="003F3AE0"/>
    <w:rsid w:val="003F3BC5"/>
    <w:rsid w:val="003F492C"/>
    <w:rsid w:val="003F5B16"/>
    <w:rsid w:val="003F6490"/>
    <w:rsid w:val="003F67A9"/>
    <w:rsid w:val="003F7169"/>
    <w:rsid w:val="003F7249"/>
    <w:rsid w:val="003F77BC"/>
    <w:rsid w:val="00400132"/>
    <w:rsid w:val="0040014B"/>
    <w:rsid w:val="00400802"/>
    <w:rsid w:val="00400E97"/>
    <w:rsid w:val="00400EC8"/>
    <w:rsid w:val="0040122B"/>
    <w:rsid w:val="00401F01"/>
    <w:rsid w:val="004024C9"/>
    <w:rsid w:val="0040253E"/>
    <w:rsid w:val="00403AFF"/>
    <w:rsid w:val="00403EA8"/>
    <w:rsid w:val="00405975"/>
    <w:rsid w:val="00406452"/>
    <w:rsid w:val="00406578"/>
    <w:rsid w:val="004065BF"/>
    <w:rsid w:val="004067B2"/>
    <w:rsid w:val="00406CA5"/>
    <w:rsid w:val="00406ED4"/>
    <w:rsid w:val="00407483"/>
    <w:rsid w:val="00407586"/>
    <w:rsid w:val="0040793A"/>
    <w:rsid w:val="00407C7F"/>
    <w:rsid w:val="00407CE5"/>
    <w:rsid w:val="00410E7B"/>
    <w:rsid w:val="0041108A"/>
    <w:rsid w:val="004113D4"/>
    <w:rsid w:val="00411519"/>
    <w:rsid w:val="00412510"/>
    <w:rsid w:val="00412A28"/>
    <w:rsid w:val="0041323A"/>
    <w:rsid w:val="00414B3B"/>
    <w:rsid w:val="00414E78"/>
    <w:rsid w:val="00414F03"/>
    <w:rsid w:val="004156F1"/>
    <w:rsid w:val="00415C0B"/>
    <w:rsid w:val="004162B1"/>
    <w:rsid w:val="00416B45"/>
    <w:rsid w:val="00416BDF"/>
    <w:rsid w:val="00416D14"/>
    <w:rsid w:val="00416D58"/>
    <w:rsid w:val="0041701A"/>
    <w:rsid w:val="004173B6"/>
    <w:rsid w:val="00417B1D"/>
    <w:rsid w:val="00417C3C"/>
    <w:rsid w:val="00417D9F"/>
    <w:rsid w:val="0042018B"/>
    <w:rsid w:val="004209B7"/>
    <w:rsid w:val="00420C9D"/>
    <w:rsid w:val="00421E4E"/>
    <w:rsid w:val="0042220A"/>
    <w:rsid w:val="00422B33"/>
    <w:rsid w:val="00422D9E"/>
    <w:rsid w:val="00423735"/>
    <w:rsid w:val="00423EAD"/>
    <w:rsid w:val="00423F5D"/>
    <w:rsid w:val="00424365"/>
    <w:rsid w:val="00424483"/>
    <w:rsid w:val="004248E2"/>
    <w:rsid w:val="00424E8C"/>
    <w:rsid w:val="004268C3"/>
    <w:rsid w:val="00430D70"/>
    <w:rsid w:val="0043121A"/>
    <w:rsid w:val="004316DE"/>
    <w:rsid w:val="00432BB0"/>
    <w:rsid w:val="0043423D"/>
    <w:rsid w:val="0043514A"/>
    <w:rsid w:val="004358DB"/>
    <w:rsid w:val="00435F65"/>
    <w:rsid w:val="0043644E"/>
    <w:rsid w:val="0043779C"/>
    <w:rsid w:val="00437834"/>
    <w:rsid w:val="004378B8"/>
    <w:rsid w:val="00437AC4"/>
    <w:rsid w:val="004400EF"/>
    <w:rsid w:val="00440470"/>
    <w:rsid w:val="004405FA"/>
    <w:rsid w:val="0044077A"/>
    <w:rsid w:val="004411BA"/>
    <w:rsid w:val="004414EB"/>
    <w:rsid w:val="00441749"/>
    <w:rsid w:val="00441F64"/>
    <w:rsid w:val="004421E1"/>
    <w:rsid w:val="00442495"/>
    <w:rsid w:val="00442B9D"/>
    <w:rsid w:val="00442D4D"/>
    <w:rsid w:val="00442E1A"/>
    <w:rsid w:val="00442E8C"/>
    <w:rsid w:val="00443AAA"/>
    <w:rsid w:val="00444597"/>
    <w:rsid w:val="004445B5"/>
    <w:rsid w:val="00445150"/>
    <w:rsid w:val="00445633"/>
    <w:rsid w:val="00445C35"/>
    <w:rsid w:val="0044609E"/>
    <w:rsid w:val="00446D08"/>
    <w:rsid w:val="004470DE"/>
    <w:rsid w:val="0044712D"/>
    <w:rsid w:val="00447756"/>
    <w:rsid w:val="004501B9"/>
    <w:rsid w:val="00450604"/>
    <w:rsid w:val="00450A7C"/>
    <w:rsid w:val="004514C0"/>
    <w:rsid w:val="0045185A"/>
    <w:rsid w:val="00452195"/>
    <w:rsid w:val="00453D4C"/>
    <w:rsid w:val="00454052"/>
    <w:rsid w:val="004541AC"/>
    <w:rsid w:val="004546F5"/>
    <w:rsid w:val="004547F9"/>
    <w:rsid w:val="00454932"/>
    <w:rsid w:val="00454A59"/>
    <w:rsid w:val="00454D3E"/>
    <w:rsid w:val="00456028"/>
    <w:rsid w:val="00456AA7"/>
    <w:rsid w:val="0045750B"/>
    <w:rsid w:val="004602F7"/>
    <w:rsid w:val="00460DB4"/>
    <w:rsid w:val="004615EE"/>
    <w:rsid w:val="004620D0"/>
    <w:rsid w:val="00462AA0"/>
    <w:rsid w:val="00463248"/>
    <w:rsid w:val="004634A9"/>
    <w:rsid w:val="00463DDF"/>
    <w:rsid w:val="00464D42"/>
    <w:rsid w:val="0046500E"/>
    <w:rsid w:val="0046544E"/>
    <w:rsid w:val="0046565B"/>
    <w:rsid w:val="00465A54"/>
    <w:rsid w:val="00465F2D"/>
    <w:rsid w:val="00466632"/>
    <w:rsid w:val="004669B2"/>
    <w:rsid w:val="0046717A"/>
    <w:rsid w:val="004673D9"/>
    <w:rsid w:val="00467BF4"/>
    <w:rsid w:val="00467F61"/>
    <w:rsid w:val="0047010E"/>
    <w:rsid w:val="00470442"/>
    <w:rsid w:val="004705B3"/>
    <w:rsid w:val="0047136E"/>
    <w:rsid w:val="00471A18"/>
    <w:rsid w:val="00471C19"/>
    <w:rsid w:val="004723D1"/>
    <w:rsid w:val="0047242D"/>
    <w:rsid w:val="00472782"/>
    <w:rsid w:val="00472F5D"/>
    <w:rsid w:val="00473313"/>
    <w:rsid w:val="004747CD"/>
    <w:rsid w:val="0047541A"/>
    <w:rsid w:val="00475907"/>
    <w:rsid w:val="00475BC8"/>
    <w:rsid w:val="0047620B"/>
    <w:rsid w:val="004763E0"/>
    <w:rsid w:val="00480204"/>
    <w:rsid w:val="00480B1E"/>
    <w:rsid w:val="00480CE7"/>
    <w:rsid w:val="00481FE1"/>
    <w:rsid w:val="00482271"/>
    <w:rsid w:val="00482879"/>
    <w:rsid w:val="00482F1D"/>
    <w:rsid w:val="00483FA3"/>
    <w:rsid w:val="00483FCB"/>
    <w:rsid w:val="00484B9D"/>
    <w:rsid w:val="00484F36"/>
    <w:rsid w:val="0048528B"/>
    <w:rsid w:val="0048540A"/>
    <w:rsid w:val="004855BD"/>
    <w:rsid w:val="00485E6A"/>
    <w:rsid w:val="00485F26"/>
    <w:rsid w:val="004863C3"/>
    <w:rsid w:val="0048713A"/>
    <w:rsid w:val="004914CA"/>
    <w:rsid w:val="00491C6B"/>
    <w:rsid w:val="00491C9F"/>
    <w:rsid w:val="00492198"/>
    <w:rsid w:val="004923E4"/>
    <w:rsid w:val="00492513"/>
    <w:rsid w:val="004932C0"/>
    <w:rsid w:val="004936EF"/>
    <w:rsid w:val="004937E8"/>
    <w:rsid w:val="00493BE4"/>
    <w:rsid w:val="00493C90"/>
    <w:rsid w:val="00493F18"/>
    <w:rsid w:val="0049415E"/>
    <w:rsid w:val="004946C8"/>
    <w:rsid w:val="00494E04"/>
    <w:rsid w:val="004951D6"/>
    <w:rsid w:val="00495218"/>
    <w:rsid w:val="00495BB7"/>
    <w:rsid w:val="00495CF0"/>
    <w:rsid w:val="00495EDC"/>
    <w:rsid w:val="004962CF"/>
    <w:rsid w:val="004976C2"/>
    <w:rsid w:val="004A03A0"/>
    <w:rsid w:val="004A1146"/>
    <w:rsid w:val="004A1157"/>
    <w:rsid w:val="004A2302"/>
    <w:rsid w:val="004A2786"/>
    <w:rsid w:val="004A281B"/>
    <w:rsid w:val="004A2A83"/>
    <w:rsid w:val="004A311B"/>
    <w:rsid w:val="004A3369"/>
    <w:rsid w:val="004A39D9"/>
    <w:rsid w:val="004A40E3"/>
    <w:rsid w:val="004A632D"/>
    <w:rsid w:val="004A6F41"/>
    <w:rsid w:val="004A6F99"/>
    <w:rsid w:val="004A721C"/>
    <w:rsid w:val="004A7D62"/>
    <w:rsid w:val="004B024E"/>
    <w:rsid w:val="004B13C1"/>
    <w:rsid w:val="004B153F"/>
    <w:rsid w:val="004B189A"/>
    <w:rsid w:val="004B1F50"/>
    <w:rsid w:val="004B27A7"/>
    <w:rsid w:val="004B27DC"/>
    <w:rsid w:val="004B2D0B"/>
    <w:rsid w:val="004B46EC"/>
    <w:rsid w:val="004B612C"/>
    <w:rsid w:val="004B6303"/>
    <w:rsid w:val="004B69B5"/>
    <w:rsid w:val="004B6C12"/>
    <w:rsid w:val="004B70C2"/>
    <w:rsid w:val="004B7231"/>
    <w:rsid w:val="004B79B1"/>
    <w:rsid w:val="004B7E6C"/>
    <w:rsid w:val="004C059F"/>
    <w:rsid w:val="004C05DE"/>
    <w:rsid w:val="004C0675"/>
    <w:rsid w:val="004C0680"/>
    <w:rsid w:val="004C0C60"/>
    <w:rsid w:val="004C1065"/>
    <w:rsid w:val="004C10E9"/>
    <w:rsid w:val="004C127C"/>
    <w:rsid w:val="004C1DCA"/>
    <w:rsid w:val="004C2261"/>
    <w:rsid w:val="004C2DEA"/>
    <w:rsid w:val="004C2E7E"/>
    <w:rsid w:val="004C314C"/>
    <w:rsid w:val="004C33C6"/>
    <w:rsid w:val="004C3956"/>
    <w:rsid w:val="004C3CE0"/>
    <w:rsid w:val="004C427B"/>
    <w:rsid w:val="004C4C9A"/>
    <w:rsid w:val="004C4E4A"/>
    <w:rsid w:val="004C52E0"/>
    <w:rsid w:val="004C5303"/>
    <w:rsid w:val="004C708B"/>
    <w:rsid w:val="004C7878"/>
    <w:rsid w:val="004D025E"/>
    <w:rsid w:val="004D1035"/>
    <w:rsid w:val="004D16E4"/>
    <w:rsid w:val="004D2095"/>
    <w:rsid w:val="004D232D"/>
    <w:rsid w:val="004D279D"/>
    <w:rsid w:val="004D2D60"/>
    <w:rsid w:val="004D7940"/>
    <w:rsid w:val="004E1255"/>
    <w:rsid w:val="004E163A"/>
    <w:rsid w:val="004E1A4B"/>
    <w:rsid w:val="004E1C0F"/>
    <w:rsid w:val="004E1FAC"/>
    <w:rsid w:val="004E2B11"/>
    <w:rsid w:val="004E35AF"/>
    <w:rsid w:val="004E3D58"/>
    <w:rsid w:val="004E474F"/>
    <w:rsid w:val="004E49D7"/>
    <w:rsid w:val="004E4A21"/>
    <w:rsid w:val="004E4AE0"/>
    <w:rsid w:val="004E581E"/>
    <w:rsid w:val="004E5B57"/>
    <w:rsid w:val="004E5DFB"/>
    <w:rsid w:val="004E60D7"/>
    <w:rsid w:val="004E664E"/>
    <w:rsid w:val="004E69BA"/>
    <w:rsid w:val="004E76AD"/>
    <w:rsid w:val="004E7AEA"/>
    <w:rsid w:val="004E7C49"/>
    <w:rsid w:val="004F02C7"/>
    <w:rsid w:val="004F05A5"/>
    <w:rsid w:val="004F0EEC"/>
    <w:rsid w:val="004F130A"/>
    <w:rsid w:val="004F148D"/>
    <w:rsid w:val="004F182F"/>
    <w:rsid w:val="004F187F"/>
    <w:rsid w:val="004F1895"/>
    <w:rsid w:val="004F1E6B"/>
    <w:rsid w:val="004F2706"/>
    <w:rsid w:val="004F28ED"/>
    <w:rsid w:val="004F2A0D"/>
    <w:rsid w:val="004F2C39"/>
    <w:rsid w:val="004F3A51"/>
    <w:rsid w:val="004F4269"/>
    <w:rsid w:val="004F42F4"/>
    <w:rsid w:val="004F4BE2"/>
    <w:rsid w:val="004F4EBD"/>
    <w:rsid w:val="004F530D"/>
    <w:rsid w:val="004F6800"/>
    <w:rsid w:val="004F7F0C"/>
    <w:rsid w:val="004F7FDD"/>
    <w:rsid w:val="00500A1A"/>
    <w:rsid w:val="00500B8F"/>
    <w:rsid w:val="00500DF2"/>
    <w:rsid w:val="0050143A"/>
    <w:rsid w:val="00501B2E"/>
    <w:rsid w:val="00501D16"/>
    <w:rsid w:val="005022C0"/>
    <w:rsid w:val="0050245C"/>
    <w:rsid w:val="00502BB8"/>
    <w:rsid w:val="005042D6"/>
    <w:rsid w:val="005046D4"/>
    <w:rsid w:val="00504F56"/>
    <w:rsid w:val="0050502B"/>
    <w:rsid w:val="00505275"/>
    <w:rsid w:val="00505585"/>
    <w:rsid w:val="0051029D"/>
    <w:rsid w:val="00510412"/>
    <w:rsid w:val="005106F3"/>
    <w:rsid w:val="005114DF"/>
    <w:rsid w:val="0051274E"/>
    <w:rsid w:val="00512A3A"/>
    <w:rsid w:val="00512A7C"/>
    <w:rsid w:val="005137A4"/>
    <w:rsid w:val="00513C34"/>
    <w:rsid w:val="00513D34"/>
    <w:rsid w:val="00513EE9"/>
    <w:rsid w:val="00514147"/>
    <w:rsid w:val="00514E61"/>
    <w:rsid w:val="00515394"/>
    <w:rsid w:val="005160A2"/>
    <w:rsid w:val="00516797"/>
    <w:rsid w:val="0051694E"/>
    <w:rsid w:val="005169FC"/>
    <w:rsid w:val="00516BF1"/>
    <w:rsid w:val="00517C88"/>
    <w:rsid w:val="00520701"/>
    <w:rsid w:val="0052111B"/>
    <w:rsid w:val="00521598"/>
    <w:rsid w:val="00521AC6"/>
    <w:rsid w:val="00521FA0"/>
    <w:rsid w:val="0052260A"/>
    <w:rsid w:val="00522997"/>
    <w:rsid w:val="00522AD1"/>
    <w:rsid w:val="00522F3F"/>
    <w:rsid w:val="00525831"/>
    <w:rsid w:val="00525F93"/>
    <w:rsid w:val="00525FCE"/>
    <w:rsid w:val="005262AA"/>
    <w:rsid w:val="005266A7"/>
    <w:rsid w:val="0052677E"/>
    <w:rsid w:val="005274AB"/>
    <w:rsid w:val="005279BA"/>
    <w:rsid w:val="00527E48"/>
    <w:rsid w:val="00527E4D"/>
    <w:rsid w:val="005301E8"/>
    <w:rsid w:val="00530BD3"/>
    <w:rsid w:val="005313EB"/>
    <w:rsid w:val="00531502"/>
    <w:rsid w:val="005317E6"/>
    <w:rsid w:val="0053197A"/>
    <w:rsid w:val="005319A3"/>
    <w:rsid w:val="00532410"/>
    <w:rsid w:val="00532524"/>
    <w:rsid w:val="00532951"/>
    <w:rsid w:val="00533223"/>
    <w:rsid w:val="005339C9"/>
    <w:rsid w:val="00533EC7"/>
    <w:rsid w:val="00533ED1"/>
    <w:rsid w:val="0053535D"/>
    <w:rsid w:val="00535497"/>
    <w:rsid w:val="00535750"/>
    <w:rsid w:val="00536189"/>
    <w:rsid w:val="005369DE"/>
    <w:rsid w:val="00536E7F"/>
    <w:rsid w:val="00537145"/>
    <w:rsid w:val="00537D50"/>
    <w:rsid w:val="00537E2E"/>
    <w:rsid w:val="00540C4F"/>
    <w:rsid w:val="0054128F"/>
    <w:rsid w:val="005416AE"/>
    <w:rsid w:val="00541C73"/>
    <w:rsid w:val="00541E6F"/>
    <w:rsid w:val="00542026"/>
    <w:rsid w:val="005421E0"/>
    <w:rsid w:val="0054268D"/>
    <w:rsid w:val="00542C07"/>
    <w:rsid w:val="005433AC"/>
    <w:rsid w:val="0054375D"/>
    <w:rsid w:val="00543B41"/>
    <w:rsid w:val="00544099"/>
    <w:rsid w:val="00544EF1"/>
    <w:rsid w:val="00544F78"/>
    <w:rsid w:val="00545053"/>
    <w:rsid w:val="00545077"/>
    <w:rsid w:val="00545728"/>
    <w:rsid w:val="005464E9"/>
    <w:rsid w:val="0054685E"/>
    <w:rsid w:val="0054733C"/>
    <w:rsid w:val="0054791C"/>
    <w:rsid w:val="00547B50"/>
    <w:rsid w:val="0055000C"/>
    <w:rsid w:val="005507B6"/>
    <w:rsid w:val="00550B07"/>
    <w:rsid w:val="00550BAE"/>
    <w:rsid w:val="005517F0"/>
    <w:rsid w:val="0055273C"/>
    <w:rsid w:val="00552F78"/>
    <w:rsid w:val="00553B40"/>
    <w:rsid w:val="00553C20"/>
    <w:rsid w:val="0055440C"/>
    <w:rsid w:val="005547C6"/>
    <w:rsid w:val="00554FA6"/>
    <w:rsid w:val="005550B6"/>
    <w:rsid w:val="005557EC"/>
    <w:rsid w:val="00555F2A"/>
    <w:rsid w:val="0055612B"/>
    <w:rsid w:val="00556D02"/>
    <w:rsid w:val="00556F2B"/>
    <w:rsid w:val="00557C92"/>
    <w:rsid w:val="00557DF6"/>
    <w:rsid w:val="00560154"/>
    <w:rsid w:val="00560175"/>
    <w:rsid w:val="00560D3E"/>
    <w:rsid w:val="0056147F"/>
    <w:rsid w:val="00561A2E"/>
    <w:rsid w:val="00561A50"/>
    <w:rsid w:val="005636AF"/>
    <w:rsid w:val="0056378E"/>
    <w:rsid w:val="005637A8"/>
    <w:rsid w:val="00563CE2"/>
    <w:rsid w:val="00563ED4"/>
    <w:rsid w:val="0056539A"/>
    <w:rsid w:val="0056545E"/>
    <w:rsid w:val="0056598B"/>
    <w:rsid w:val="00565B7D"/>
    <w:rsid w:val="00565BB3"/>
    <w:rsid w:val="0056626E"/>
    <w:rsid w:val="0056703B"/>
    <w:rsid w:val="00567184"/>
    <w:rsid w:val="0056796C"/>
    <w:rsid w:val="00567A64"/>
    <w:rsid w:val="00567BB2"/>
    <w:rsid w:val="00567DB7"/>
    <w:rsid w:val="00567F04"/>
    <w:rsid w:val="005702B3"/>
    <w:rsid w:val="005707F8"/>
    <w:rsid w:val="00570B09"/>
    <w:rsid w:val="005715A4"/>
    <w:rsid w:val="005719B4"/>
    <w:rsid w:val="005722AF"/>
    <w:rsid w:val="00572387"/>
    <w:rsid w:val="00573AC4"/>
    <w:rsid w:val="00573FB1"/>
    <w:rsid w:val="00574A47"/>
    <w:rsid w:val="005751FA"/>
    <w:rsid w:val="00575820"/>
    <w:rsid w:val="00575BFE"/>
    <w:rsid w:val="0057611C"/>
    <w:rsid w:val="00576E59"/>
    <w:rsid w:val="0057778E"/>
    <w:rsid w:val="00577C2F"/>
    <w:rsid w:val="00577C93"/>
    <w:rsid w:val="00577EE8"/>
    <w:rsid w:val="00580096"/>
    <w:rsid w:val="00580408"/>
    <w:rsid w:val="00580530"/>
    <w:rsid w:val="00580730"/>
    <w:rsid w:val="005808AC"/>
    <w:rsid w:val="00580ECC"/>
    <w:rsid w:val="00581007"/>
    <w:rsid w:val="00581510"/>
    <w:rsid w:val="00581DB5"/>
    <w:rsid w:val="00582C71"/>
    <w:rsid w:val="00582EA0"/>
    <w:rsid w:val="005859CD"/>
    <w:rsid w:val="005862CE"/>
    <w:rsid w:val="00586716"/>
    <w:rsid w:val="00586A91"/>
    <w:rsid w:val="00586AA2"/>
    <w:rsid w:val="00586AC4"/>
    <w:rsid w:val="00586B0F"/>
    <w:rsid w:val="0058768C"/>
    <w:rsid w:val="005876A4"/>
    <w:rsid w:val="00590685"/>
    <w:rsid w:val="00590EC3"/>
    <w:rsid w:val="00591868"/>
    <w:rsid w:val="00591F11"/>
    <w:rsid w:val="00593402"/>
    <w:rsid w:val="005936CF"/>
    <w:rsid w:val="00593A31"/>
    <w:rsid w:val="00594316"/>
    <w:rsid w:val="0059479C"/>
    <w:rsid w:val="005952C0"/>
    <w:rsid w:val="005957B5"/>
    <w:rsid w:val="00595A23"/>
    <w:rsid w:val="00595B3C"/>
    <w:rsid w:val="00596316"/>
    <w:rsid w:val="005965C6"/>
    <w:rsid w:val="005966D3"/>
    <w:rsid w:val="00596F55"/>
    <w:rsid w:val="0059774D"/>
    <w:rsid w:val="00597A09"/>
    <w:rsid w:val="00597C3A"/>
    <w:rsid w:val="005A0367"/>
    <w:rsid w:val="005A105E"/>
    <w:rsid w:val="005A10F0"/>
    <w:rsid w:val="005A1227"/>
    <w:rsid w:val="005A1C30"/>
    <w:rsid w:val="005A2BE1"/>
    <w:rsid w:val="005A2DC8"/>
    <w:rsid w:val="005A3205"/>
    <w:rsid w:val="005A3310"/>
    <w:rsid w:val="005A3676"/>
    <w:rsid w:val="005A5282"/>
    <w:rsid w:val="005A5463"/>
    <w:rsid w:val="005A558C"/>
    <w:rsid w:val="005A5BAF"/>
    <w:rsid w:val="005A5BCA"/>
    <w:rsid w:val="005A5CCB"/>
    <w:rsid w:val="005A6F8D"/>
    <w:rsid w:val="005A726D"/>
    <w:rsid w:val="005A7391"/>
    <w:rsid w:val="005A7695"/>
    <w:rsid w:val="005A7714"/>
    <w:rsid w:val="005A7882"/>
    <w:rsid w:val="005A7B3E"/>
    <w:rsid w:val="005A7CDC"/>
    <w:rsid w:val="005B0195"/>
    <w:rsid w:val="005B02B2"/>
    <w:rsid w:val="005B06E4"/>
    <w:rsid w:val="005B18BE"/>
    <w:rsid w:val="005B2392"/>
    <w:rsid w:val="005B27BF"/>
    <w:rsid w:val="005B35B0"/>
    <w:rsid w:val="005B3695"/>
    <w:rsid w:val="005B39B9"/>
    <w:rsid w:val="005B4071"/>
    <w:rsid w:val="005B47FC"/>
    <w:rsid w:val="005B4C71"/>
    <w:rsid w:val="005B5602"/>
    <w:rsid w:val="005B632E"/>
    <w:rsid w:val="005B6EDE"/>
    <w:rsid w:val="005C014E"/>
    <w:rsid w:val="005C03B2"/>
    <w:rsid w:val="005C105E"/>
    <w:rsid w:val="005C1F44"/>
    <w:rsid w:val="005C20FE"/>
    <w:rsid w:val="005C2467"/>
    <w:rsid w:val="005C426F"/>
    <w:rsid w:val="005C44F6"/>
    <w:rsid w:val="005C4A67"/>
    <w:rsid w:val="005C5761"/>
    <w:rsid w:val="005C58E3"/>
    <w:rsid w:val="005C7701"/>
    <w:rsid w:val="005C7C21"/>
    <w:rsid w:val="005D0B7F"/>
    <w:rsid w:val="005D0C12"/>
    <w:rsid w:val="005D1077"/>
    <w:rsid w:val="005D1739"/>
    <w:rsid w:val="005D1A4B"/>
    <w:rsid w:val="005D2B18"/>
    <w:rsid w:val="005D304B"/>
    <w:rsid w:val="005D321F"/>
    <w:rsid w:val="005D352D"/>
    <w:rsid w:val="005D39F2"/>
    <w:rsid w:val="005D3A6F"/>
    <w:rsid w:val="005D4312"/>
    <w:rsid w:val="005D44C4"/>
    <w:rsid w:val="005D48A1"/>
    <w:rsid w:val="005D4F97"/>
    <w:rsid w:val="005D6B4F"/>
    <w:rsid w:val="005D7001"/>
    <w:rsid w:val="005D77E2"/>
    <w:rsid w:val="005E0DFE"/>
    <w:rsid w:val="005E11D3"/>
    <w:rsid w:val="005E1246"/>
    <w:rsid w:val="005E1454"/>
    <w:rsid w:val="005E1664"/>
    <w:rsid w:val="005E218B"/>
    <w:rsid w:val="005E29B9"/>
    <w:rsid w:val="005E29E3"/>
    <w:rsid w:val="005E36C4"/>
    <w:rsid w:val="005E3913"/>
    <w:rsid w:val="005E4534"/>
    <w:rsid w:val="005E5190"/>
    <w:rsid w:val="005E5220"/>
    <w:rsid w:val="005E527F"/>
    <w:rsid w:val="005E58ED"/>
    <w:rsid w:val="005E5FBE"/>
    <w:rsid w:val="005E6183"/>
    <w:rsid w:val="005E651C"/>
    <w:rsid w:val="005E6888"/>
    <w:rsid w:val="005E7068"/>
    <w:rsid w:val="005E76E4"/>
    <w:rsid w:val="005E7BED"/>
    <w:rsid w:val="005F0B16"/>
    <w:rsid w:val="005F0D8C"/>
    <w:rsid w:val="005F0F12"/>
    <w:rsid w:val="005F145D"/>
    <w:rsid w:val="005F28F9"/>
    <w:rsid w:val="005F2BFF"/>
    <w:rsid w:val="005F2E51"/>
    <w:rsid w:val="005F3015"/>
    <w:rsid w:val="005F3465"/>
    <w:rsid w:val="005F393D"/>
    <w:rsid w:val="005F41A2"/>
    <w:rsid w:val="005F41B2"/>
    <w:rsid w:val="005F41E5"/>
    <w:rsid w:val="005F48B6"/>
    <w:rsid w:val="005F517F"/>
    <w:rsid w:val="005F67B4"/>
    <w:rsid w:val="005F69DB"/>
    <w:rsid w:val="005F6AD4"/>
    <w:rsid w:val="006003B3"/>
    <w:rsid w:val="006013CB"/>
    <w:rsid w:val="00601401"/>
    <w:rsid w:val="00601A3D"/>
    <w:rsid w:val="00602EAA"/>
    <w:rsid w:val="00603A45"/>
    <w:rsid w:val="00604002"/>
    <w:rsid w:val="00604F06"/>
    <w:rsid w:val="00605567"/>
    <w:rsid w:val="006058C4"/>
    <w:rsid w:val="00606BE6"/>
    <w:rsid w:val="00610567"/>
    <w:rsid w:val="0061064E"/>
    <w:rsid w:val="00611364"/>
    <w:rsid w:val="00611F3D"/>
    <w:rsid w:val="006121FA"/>
    <w:rsid w:val="00612959"/>
    <w:rsid w:val="006130D4"/>
    <w:rsid w:val="0061335F"/>
    <w:rsid w:val="006134F6"/>
    <w:rsid w:val="00613D12"/>
    <w:rsid w:val="00615AD2"/>
    <w:rsid w:val="00615FEA"/>
    <w:rsid w:val="006176EA"/>
    <w:rsid w:val="006206C5"/>
    <w:rsid w:val="00621653"/>
    <w:rsid w:val="00621F8E"/>
    <w:rsid w:val="00622AD0"/>
    <w:rsid w:val="006244A3"/>
    <w:rsid w:val="00624591"/>
    <w:rsid w:val="006245C6"/>
    <w:rsid w:val="006245D5"/>
    <w:rsid w:val="0062598B"/>
    <w:rsid w:val="00625AA2"/>
    <w:rsid w:val="00625D06"/>
    <w:rsid w:val="00625D19"/>
    <w:rsid w:val="00625D5D"/>
    <w:rsid w:val="00625EAB"/>
    <w:rsid w:val="0062685C"/>
    <w:rsid w:val="00626ABF"/>
    <w:rsid w:val="00626B6E"/>
    <w:rsid w:val="00626FD3"/>
    <w:rsid w:val="00627A38"/>
    <w:rsid w:val="00627A89"/>
    <w:rsid w:val="00627B86"/>
    <w:rsid w:val="00630419"/>
    <w:rsid w:val="00630AF6"/>
    <w:rsid w:val="00630B28"/>
    <w:rsid w:val="00631301"/>
    <w:rsid w:val="00631377"/>
    <w:rsid w:val="006316F2"/>
    <w:rsid w:val="0063265D"/>
    <w:rsid w:val="00632E93"/>
    <w:rsid w:val="00633084"/>
    <w:rsid w:val="00633BA5"/>
    <w:rsid w:val="00633BAF"/>
    <w:rsid w:val="0063442A"/>
    <w:rsid w:val="0063448F"/>
    <w:rsid w:val="006346BC"/>
    <w:rsid w:val="006347E9"/>
    <w:rsid w:val="00634920"/>
    <w:rsid w:val="00634C6E"/>
    <w:rsid w:val="00635405"/>
    <w:rsid w:val="0063568A"/>
    <w:rsid w:val="00635A28"/>
    <w:rsid w:val="00636010"/>
    <w:rsid w:val="00636252"/>
    <w:rsid w:val="006364A0"/>
    <w:rsid w:val="006367A0"/>
    <w:rsid w:val="0063796B"/>
    <w:rsid w:val="006407FF"/>
    <w:rsid w:val="00640B3F"/>
    <w:rsid w:val="00640DBE"/>
    <w:rsid w:val="006414DC"/>
    <w:rsid w:val="006423C0"/>
    <w:rsid w:val="00642788"/>
    <w:rsid w:val="006428D0"/>
    <w:rsid w:val="006437B3"/>
    <w:rsid w:val="006438FE"/>
    <w:rsid w:val="00643EF7"/>
    <w:rsid w:val="00645F6C"/>
    <w:rsid w:val="00646055"/>
    <w:rsid w:val="006470C0"/>
    <w:rsid w:val="00647344"/>
    <w:rsid w:val="006474A7"/>
    <w:rsid w:val="00647CBD"/>
    <w:rsid w:val="00647E1F"/>
    <w:rsid w:val="00647FE3"/>
    <w:rsid w:val="006508A6"/>
    <w:rsid w:val="00650A38"/>
    <w:rsid w:val="00650D2A"/>
    <w:rsid w:val="00650E35"/>
    <w:rsid w:val="00650E5A"/>
    <w:rsid w:val="00650F25"/>
    <w:rsid w:val="0065154C"/>
    <w:rsid w:val="006517DC"/>
    <w:rsid w:val="00652DD1"/>
    <w:rsid w:val="006535C8"/>
    <w:rsid w:val="0065459C"/>
    <w:rsid w:val="00654F52"/>
    <w:rsid w:val="006550C1"/>
    <w:rsid w:val="0065558C"/>
    <w:rsid w:val="00655758"/>
    <w:rsid w:val="006559DA"/>
    <w:rsid w:val="00656B40"/>
    <w:rsid w:val="00656F05"/>
    <w:rsid w:val="006570AE"/>
    <w:rsid w:val="006576E3"/>
    <w:rsid w:val="00660AB1"/>
    <w:rsid w:val="006613D1"/>
    <w:rsid w:val="006615C8"/>
    <w:rsid w:val="00661989"/>
    <w:rsid w:val="0066278E"/>
    <w:rsid w:val="00662A70"/>
    <w:rsid w:val="00662D3D"/>
    <w:rsid w:val="006640E0"/>
    <w:rsid w:val="0066422B"/>
    <w:rsid w:val="006642E3"/>
    <w:rsid w:val="00664646"/>
    <w:rsid w:val="0066468D"/>
    <w:rsid w:val="00665AC8"/>
    <w:rsid w:val="00665AEF"/>
    <w:rsid w:val="00665EA0"/>
    <w:rsid w:val="00665FAC"/>
    <w:rsid w:val="00666034"/>
    <w:rsid w:val="006670FC"/>
    <w:rsid w:val="00667604"/>
    <w:rsid w:val="00667627"/>
    <w:rsid w:val="006677E0"/>
    <w:rsid w:val="00667B10"/>
    <w:rsid w:val="00667E02"/>
    <w:rsid w:val="00670138"/>
    <w:rsid w:val="006703D0"/>
    <w:rsid w:val="00670466"/>
    <w:rsid w:val="00670823"/>
    <w:rsid w:val="00670C06"/>
    <w:rsid w:val="00671678"/>
    <w:rsid w:val="00671EF0"/>
    <w:rsid w:val="006729E7"/>
    <w:rsid w:val="00672EC3"/>
    <w:rsid w:val="00673CE8"/>
    <w:rsid w:val="00674C8F"/>
    <w:rsid w:val="00675432"/>
    <w:rsid w:val="00675D07"/>
    <w:rsid w:val="00675E8C"/>
    <w:rsid w:val="00675FD8"/>
    <w:rsid w:val="006765DE"/>
    <w:rsid w:val="0067783C"/>
    <w:rsid w:val="00680685"/>
    <w:rsid w:val="006806D3"/>
    <w:rsid w:val="00681937"/>
    <w:rsid w:val="006820C5"/>
    <w:rsid w:val="00682175"/>
    <w:rsid w:val="0068219D"/>
    <w:rsid w:val="006827E0"/>
    <w:rsid w:val="00682D89"/>
    <w:rsid w:val="00682E0D"/>
    <w:rsid w:val="0068307F"/>
    <w:rsid w:val="0068369F"/>
    <w:rsid w:val="0068382C"/>
    <w:rsid w:val="00683BC5"/>
    <w:rsid w:val="00683DBA"/>
    <w:rsid w:val="00685432"/>
    <w:rsid w:val="006856A7"/>
    <w:rsid w:val="00685CB0"/>
    <w:rsid w:val="0068646D"/>
    <w:rsid w:val="00686EC4"/>
    <w:rsid w:val="00690501"/>
    <w:rsid w:val="00690FD3"/>
    <w:rsid w:val="00691110"/>
    <w:rsid w:val="00691434"/>
    <w:rsid w:val="006914F8"/>
    <w:rsid w:val="006915DE"/>
    <w:rsid w:val="00691BB2"/>
    <w:rsid w:val="006921E6"/>
    <w:rsid w:val="00692602"/>
    <w:rsid w:val="0069368E"/>
    <w:rsid w:val="00694786"/>
    <w:rsid w:val="00694ECB"/>
    <w:rsid w:val="006967EE"/>
    <w:rsid w:val="00697C0E"/>
    <w:rsid w:val="006A05E3"/>
    <w:rsid w:val="006A08F0"/>
    <w:rsid w:val="006A2559"/>
    <w:rsid w:val="006A3578"/>
    <w:rsid w:val="006A4914"/>
    <w:rsid w:val="006A5802"/>
    <w:rsid w:val="006A599D"/>
    <w:rsid w:val="006A610C"/>
    <w:rsid w:val="006A611E"/>
    <w:rsid w:val="006A62A7"/>
    <w:rsid w:val="006A6D78"/>
    <w:rsid w:val="006A79F2"/>
    <w:rsid w:val="006A7C21"/>
    <w:rsid w:val="006B0A04"/>
    <w:rsid w:val="006B1446"/>
    <w:rsid w:val="006B181B"/>
    <w:rsid w:val="006B1B7F"/>
    <w:rsid w:val="006B1E13"/>
    <w:rsid w:val="006B27B7"/>
    <w:rsid w:val="006B36B9"/>
    <w:rsid w:val="006B3F2D"/>
    <w:rsid w:val="006B4E1D"/>
    <w:rsid w:val="006B4F6A"/>
    <w:rsid w:val="006B5500"/>
    <w:rsid w:val="006B5629"/>
    <w:rsid w:val="006B78C7"/>
    <w:rsid w:val="006B7E0D"/>
    <w:rsid w:val="006C196B"/>
    <w:rsid w:val="006C1A36"/>
    <w:rsid w:val="006C1B1C"/>
    <w:rsid w:val="006C1B8E"/>
    <w:rsid w:val="006C1F00"/>
    <w:rsid w:val="006C2923"/>
    <w:rsid w:val="006C2D0C"/>
    <w:rsid w:val="006C2D1E"/>
    <w:rsid w:val="006C3557"/>
    <w:rsid w:val="006C3698"/>
    <w:rsid w:val="006C4102"/>
    <w:rsid w:val="006C4582"/>
    <w:rsid w:val="006C45A0"/>
    <w:rsid w:val="006C45C1"/>
    <w:rsid w:val="006C4FAE"/>
    <w:rsid w:val="006C512C"/>
    <w:rsid w:val="006C5B17"/>
    <w:rsid w:val="006C6072"/>
    <w:rsid w:val="006C6731"/>
    <w:rsid w:val="006C7027"/>
    <w:rsid w:val="006C70CC"/>
    <w:rsid w:val="006D1842"/>
    <w:rsid w:val="006D1CD5"/>
    <w:rsid w:val="006D2049"/>
    <w:rsid w:val="006D2C73"/>
    <w:rsid w:val="006D3A59"/>
    <w:rsid w:val="006D43CA"/>
    <w:rsid w:val="006D5911"/>
    <w:rsid w:val="006D5FDB"/>
    <w:rsid w:val="006D66DF"/>
    <w:rsid w:val="006D6763"/>
    <w:rsid w:val="006D67F8"/>
    <w:rsid w:val="006D6807"/>
    <w:rsid w:val="006D6B6D"/>
    <w:rsid w:val="006D6D42"/>
    <w:rsid w:val="006D76A4"/>
    <w:rsid w:val="006D7BED"/>
    <w:rsid w:val="006E037C"/>
    <w:rsid w:val="006E0441"/>
    <w:rsid w:val="006E1F90"/>
    <w:rsid w:val="006E2315"/>
    <w:rsid w:val="006E23FE"/>
    <w:rsid w:val="006E2A3A"/>
    <w:rsid w:val="006E2A88"/>
    <w:rsid w:val="006E3197"/>
    <w:rsid w:val="006E3851"/>
    <w:rsid w:val="006E3E42"/>
    <w:rsid w:val="006E4088"/>
    <w:rsid w:val="006E40C1"/>
    <w:rsid w:val="006E4128"/>
    <w:rsid w:val="006E4871"/>
    <w:rsid w:val="006E4A87"/>
    <w:rsid w:val="006E582F"/>
    <w:rsid w:val="006E5B14"/>
    <w:rsid w:val="006E709F"/>
    <w:rsid w:val="006E7394"/>
    <w:rsid w:val="006E772E"/>
    <w:rsid w:val="006E7929"/>
    <w:rsid w:val="006E7EA0"/>
    <w:rsid w:val="006F0051"/>
    <w:rsid w:val="006F0E20"/>
    <w:rsid w:val="006F1217"/>
    <w:rsid w:val="006F13A5"/>
    <w:rsid w:val="006F1BAB"/>
    <w:rsid w:val="006F1D31"/>
    <w:rsid w:val="006F1F2F"/>
    <w:rsid w:val="006F2142"/>
    <w:rsid w:val="006F305C"/>
    <w:rsid w:val="006F308D"/>
    <w:rsid w:val="006F3193"/>
    <w:rsid w:val="006F37AA"/>
    <w:rsid w:val="006F3972"/>
    <w:rsid w:val="006F3AFD"/>
    <w:rsid w:val="006F461E"/>
    <w:rsid w:val="006F47AD"/>
    <w:rsid w:val="006F48A8"/>
    <w:rsid w:val="006F4910"/>
    <w:rsid w:val="006F4CD7"/>
    <w:rsid w:val="006F52C8"/>
    <w:rsid w:val="006F5941"/>
    <w:rsid w:val="006F6400"/>
    <w:rsid w:val="006F66A1"/>
    <w:rsid w:val="006F67CB"/>
    <w:rsid w:val="006F7150"/>
    <w:rsid w:val="006F7397"/>
    <w:rsid w:val="007001D3"/>
    <w:rsid w:val="00700206"/>
    <w:rsid w:val="007004A4"/>
    <w:rsid w:val="007008FA"/>
    <w:rsid w:val="00700A21"/>
    <w:rsid w:val="00700B85"/>
    <w:rsid w:val="00700D7C"/>
    <w:rsid w:val="007013C0"/>
    <w:rsid w:val="0070195A"/>
    <w:rsid w:val="00701E91"/>
    <w:rsid w:val="0070216B"/>
    <w:rsid w:val="00703A36"/>
    <w:rsid w:val="007051F8"/>
    <w:rsid w:val="007059DF"/>
    <w:rsid w:val="0070606B"/>
    <w:rsid w:val="00706B5E"/>
    <w:rsid w:val="00707482"/>
    <w:rsid w:val="007079DE"/>
    <w:rsid w:val="00707EDF"/>
    <w:rsid w:val="00710283"/>
    <w:rsid w:val="0071098E"/>
    <w:rsid w:val="0071172A"/>
    <w:rsid w:val="00711D15"/>
    <w:rsid w:val="00711FFD"/>
    <w:rsid w:val="00712FC9"/>
    <w:rsid w:val="007134BC"/>
    <w:rsid w:val="007143C9"/>
    <w:rsid w:val="00715559"/>
    <w:rsid w:val="00715E49"/>
    <w:rsid w:val="00715EDA"/>
    <w:rsid w:val="00715F88"/>
    <w:rsid w:val="00716624"/>
    <w:rsid w:val="0071668C"/>
    <w:rsid w:val="00716832"/>
    <w:rsid w:val="007175F4"/>
    <w:rsid w:val="00717C81"/>
    <w:rsid w:val="007201AA"/>
    <w:rsid w:val="00720284"/>
    <w:rsid w:val="00720382"/>
    <w:rsid w:val="00720790"/>
    <w:rsid w:val="00720F89"/>
    <w:rsid w:val="0072141E"/>
    <w:rsid w:val="007230A0"/>
    <w:rsid w:val="007233AF"/>
    <w:rsid w:val="0072349E"/>
    <w:rsid w:val="007236DC"/>
    <w:rsid w:val="00723C31"/>
    <w:rsid w:val="00723EA4"/>
    <w:rsid w:val="00724288"/>
    <w:rsid w:val="0072475F"/>
    <w:rsid w:val="00724D5D"/>
    <w:rsid w:val="00724E39"/>
    <w:rsid w:val="00726406"/>
    <w:rsid w:val="00730ABC"/>
    <w:rsid w:val="00730B4A"/>
    <w:rsid w:val="007315E6"/>
    <w:rsid w:val="007315E7"/>
    <w:rsid w:val="00731C11"/>
    <w:rsid w:val="00732217"/>
    <w:rsid w:val="00732600"/>
    <w:rsid w:val="00732712"/>
    <w:rsid w:val="00732F43"/>
    <w:rsid w:val="00733258"/>
    <w:rsid w:val="0073393D"/>
    <w:rsid w:val="00733A97"/>
    <w:rsid w:val="0073479D"/>
    <w:rsid w:val="00734DFD"/>
    <w:rsid w:val="00735482"/>
    <w:rsid w:val="00736733"/>
    <w:rsid w:val="0073673A"/>
    <w:rsid w:val="00736B97"/>
    <w:rsid w:val="00736DBB"/>
    <w:rsid w:val="00740309"/>
    <w:rsid w:val="0074040A"/>
    <w:rsid w:val="00740665"/>
    <w:rsid w:val="00742B41"/>
    <w:rsid w:val="00743544"/>
    <w:rsid w:val="00744050"/>
    <w:rsid w:val="007440E9"/>
    <w:rsid w:val="007442F7"/>
    <w:rsid w:val="00746B6A"/>
    <w:rsid w:val="00746FD3"/>
    <w:rsid w:val="007471CE"/>
    <w:rsid w:val="007473E3"/>
    <w:rsid w:val="00747952"/>
    <w:rsid w:val="00747FC1"/>
    <w:rsid w:val="0075064F"/>
    <w:rsid w:val="0075070A"/>
    <w:rsid w:val="007508D3"/>
    <w:rsid w:val="007510AE"/>
    <w:rsid w:val="007513A1"/>
    <w:rsid w:val="00751975"/>
    <w:rsid w:val="007521FF"/>
    <w:rsid w:val="007523E4"/>
    <w:rsid w:val="00752D03"/>
    <w:rsid w:val="00752DE4"/>
    <w:rsid w:val="00753293"/>
    <w:rsid w:val="00753CC9"/>
    <w:rsid w:val="00753EC9"/>
    <w:rsid w:val="00754034"/>
    <w:rsid w:val="0075427C"/>
    <w:rsid w:val="00754C5D"/>
    <w:rsid w:val="00754DDC"/>
    <w:rsid w:val="007556C7"/>
    <w:rsid w:val="00757417"/>
    <w:rsid w:val="00757B4A"/>
    <w:rsid w:val="007603C5"/>
    <w:rsid w:val="00760503"/>
    <w:rsid w:val="00760587"/>
    <w:rsid w:val="0076097B"/>
    <w:rsid w:val="00760A49"/>
    <w:rsid w:val="00760D3A"/>
    <w:rsid w:val="00761042"/>
    <w:rsid w:val="00761BD3"/>
    <w:rsid w:val="00761CDB"/>
    <w:rsid w:val="00762199"/>
    <w:rsid w:val="007622B3"/>
    <w:rsid w:val="007638DF"/>
    <w:rsid w:val="0076454B"/>
    <w:rsid w:val="00764918"/>
    <w:rsid w:val="007649D2"/>
    <w:rsid w:val="007654AE"/>
    <w:rsid w:val="00765713"/>
    <w:rsid w:val="0076581D"/>
    <w:rsid w:val="007675DE"/>
    <w:rsid w:val="00767992"/>
    <w:rsid w:val="00767B1D"/>
    <w:rsid w:val="0077065D"/>
    <w:rsid w:val="00770B83"/>
    <w:rsid w:val="00770DC8"/>
    <w:rsid w:val="007719DA"/>
    <w:rsid w:val="00772018"/>
    <w:rsid w:val="00772100"/>
    <w:rsid w:val="007721B5"/>
    <w:rsid w:val="0077331E"/>
    <w:rsid w:val="007739AC"/>
    <w:rsid w:val="00773E0A"/>
    <w:rsid w:val="00774B54"/>
    <w:rsid w:val="00774DE4"/>
    <w:rsid w:val="0077509F"/>
    <w:rsid w:val="00775366"/>
    <w:rsid w:val="00775EE3"/>
    <w:rsid w:val="00780DCC"/>
    <w:rsid w:val="00781FB8"/>
    <w:rsid w:val="00782B8A"/>
    <w:rsid w:val="00782F87"/>
    <w:rsid w:val="0078365D"/>
    <w:rsid w:val="0078397E"/>
    <w:rsid w:val="00783D91"/>
    <w:rsid w:val="007842A9"/>
    <w:rsid w:val="007846E7"/>
    <w:rsid w:val="00784852"/>
    <w:rsid w:val="007848E4"/>
    <w:rsid w:val="00784D5B"/>
    <w:rsid w:val="00785427"/>
    <w:rsid w:val="0078600F"/>
    <w:rsid w:val="00786926"/>
    <w:rsid w:val="00786A63"/>
    <w:rsid w:val="00787406"/>
    <w:rsid w:val="007877D6"/>
    <w:rsid w:val="007878A9"/>
    <w:rsid w:val="00787D88"/>
    <w:rsid w:val="007902F4"/>
    <w:rsid w:val="00790D40"/>
    <w:rsid w:val="00790E66"/>
    <w:rsid w:val="007910E4"/>
    <w:rsid w:val="00791151"/>
    <w:rsid w:val="007911A4"/>
    <w:rsid w:val="00791951"/>
    <w:rsid w:val="00791C9A"/>
    <w:rsid w:val="0079226E"/>
    <w:rsid w:val="00792D0A"/>
    <w:rsid w:val="007934EC"/>
    <w:rsid w:val="00793791"/>
    <w:rsid w:val="007938D0"/>
    <w:rsid w:val="00793E7F"/>
    <w:rsid w:val="00794E5C"/>
    <w:rsid w:val="007952E3"/>
    <w:rsid w:val="007956DE"/>
    <w:rsid w:val="00796317"/>
    <w:rsid w:val="00796397"/>
    <w:rsid w:val="00796666"/>
    <w:rsid w:val="00796807"/>
    <w:rsid w:val="00796AA2"/>
    <w:rsid w:val="00796E87"/>
    <w:rsid w:val="0079709B"/>
    <w:rsid w:val="007977B5"/>
    <w:rsid w:val="00797CB0"/>
    <w:rsid w:val="007A0B1C"/>
    <w:rsid w:val="007A0CCB"/>
    <w:rsid w:val="007A13F6"/>
    <w:rsid w:val="007A2ABF"/>
    <w:rsid w:val="007A2E9D"/>
    <w:rsid w:val="007A3BB6"/>
    <w:rsid w:val="007A44AD"/>
    <w:rsid w:val="007A478F"/>
    <w:rsid w:val="007A53A9"/>
    <w:rsid w:val="007A55E3"/>
    <w:rsid w:val="007A5C67"/>
    <w:rsid w:val="007A67D3"/>
    <w:rsid w:val="007A746B"/>
    <w:rsid w:val="007A7744"/>
    <w:rsid w:val="007A7F2F"/>
    <w:rsid w:val="007B0BE7"/>
    <w:rsid w:val="007B0C9A"/>
    <w:rsid w:val="007B0F04"/>
    <w:rsid w:val="007B1503"/>
    <w:rsid w:val="007B19B2"/>
    <w:rsid w:val="007B1D5A"/>
    <w:rsid w:val="007B3D2E"/>
    <w:rsid w:val="007B4257"/>
    <w:rsid w:val="007B47BF"/>
    <w:rsid w:val="007B555D"/>
    <w:rsid w:val="007B60D5"/>
    <w:rsid w:val="007B6147"/>
    <w:rsid w:val="007B6ECA"/>
    <w:rsid w:val="007B7326"/>
    <w:rsid w:val="007B7CA2"/>
    <w:rsid w:val="007B7D91"/>
    <w:rsid w:val="007B7FF2"/>
    <w:rsid w:val="007C0246"/>
    <w:rsid w:val="007C05B6"/>
    <w:rsid w:val="007C0977"/>
    <w:rsid w:val="007C0B7B"/>
    <w:rsid w:val="007C1019"/>
    <w:rsid w:val="007C1E74"/>
    <w:rsid w:val="007C2A2F"/>
    <w:rsid w:val="007C3023"/>
    <w:rsid w:val="007C34DF"/>
    <w:rsid w:val="007C3DC0"/>
    <w:rsid w:val="007C42E3"/>
    <w:rsid w:val="007C5AE7"/>
    <w:rsid w:val="007C6114"/>
    <w:rsid w:val="007C635E"/>
    <w:rsid w:val="007C6E13"/>
    <w:rsid w:val="007C6E71"/>
    <w:rsid w:val="007C6ED6"/>
    <w:rsid w:val="007C79F8"/>
    <w:rsid w:val="007D17F4"/>
    <w:rsid w:val="007D2DC7"/>
    <w:rsid w:val="007D3075"/>
    <w:rsid w:val="007D32A8"/>
    <w:rsid w:val="007D338C"/>
    <w:rsid w:val="007D33F8"/>
    <w:rsid w:val="007D4B28"/>
    <w:rsid w:val="007D4C66"/>
    <w:rsid w:val="007D4FC6"/>
    <w:rsid w:val="007D56ED"/>
    <w:rsid w:val="007D58EB"/>
    <w:rsid w:val="007D5911"/>
    <w:rsid w:val="007D60EA"/>
    <w:rsid w:val="007D6892"/>
    <w:rsid w:val="007D6BFA"/>
    <w:rsid w:val="007D6DB9"/>
    <w:rsid w:val="007D6E9B"/>
    <w:rsid w:val="007D6F7C"/>
    <w:rsid w:val="007D7877"/>
    <w:rsid w:val="007D792E"/>
    <w:rsid w:val="007D7CFF"/>
    <w:rsid w:val="007D7DF9"/>
    <w:rsid w:val="007E0122"/>
    <w:rsid w:val="007E03A9"/>
    <w:rsid w:val="007E2D03"/>
    <w:rsid w:val="007E3375"/>
    <w:rsid w:val="007E3A98"/>
    <w:rsid w:val="007E3AA7"/>
    <w:rsid w:val="007E40A9"/>
    <w:rsid w:val="007E4136"/>
    <w:rsid w:val="007E48EF"/>
    <w:rsid w:val="007E59A4"/>
    <w:rsid w:val="007E5AA0"/>
    <w:rsid w:val="007E60FB"/>
    <w:rsid w:val="007E7295"/>
    <w:rsid w:val="007E7AC9"/>
    <w:rsid w:val="007E7C4B"/>
    <w:rsid w:val="007F0287"/>
    <w:rsid w:val="007F0302"/>
    <w:rsid w:val="007F0AD0"/>
    <w:rsid w:val="007F1D81"/>
    <w:rsid w:val="007F27D0"/>
    <w:rsid w:val="007F2ADD"/>
    <w:rsid w:val="007F35C8"/>
    <w:rsid w:val="007F3C35"/>
    <w:rsid w:val="007F3C36"/>
    <w:rsid w:val="007F4AAC"/>
    <w:rsid w:val="007F4E03"/>
    <w:rsid w:val="007F4FB7"/>
    <w:rsid w:val="007F5125"/>
    <w:rsid w:val="007F52D1"/>
    <w:rsid w:val="007F5357"/>
    <w:rsid w:val="007F57A5"/>
    <w:rsid w:val="007F58BD"/>
    <w:rsid w:val="007F6407"/>
    <w:rsid w:val="007F653B"/>
    <w:rsid w:val="0080030E"/>
    <w:rsid w:val="00801885"/>
    <w:rsid w:val="008019E4"/>
    <w:rsid w:val="008028DF"/>
    <w:rsid w:val="00803A0E"/>
    <w:rsid w:val="008042E0"/>
    <w:rsid w:val="00804A61"/>
    <w:rsid w:val="0080519E"/>
    <w:rsid w:val="008061CA"/>
    <w:rsid w:val="00806AED"/>
    <w:rsid w:val="00807435"/>
    <w:rsid w:val="00807AE4"/>
    <w:rsid w:val="00810025"/>
    <w:rsid w:val="00810591"/>
    <w:rsid w:val="00810A26"/>
    <w:rsid w:val="00810A80"/>
    <w:rsid w:val="00810FD9"/>
    <w:rsid w:val="008110FE"/>
    <w:rsid w:val="00811350"/>
    <w:rsid w:val="00811F12"/>
    <w:rsid w:val="00811F60"/>
    <w:rsid w:val="0081249B"/>
    <w:rsid w:val="0081321A"/>
    <w:rsid w:val="00813A8E"/>
    <w:rsid w:val="00814B96"/>
    <w:rsid w:val="00815277"/>
    <w:rsid w:val="008158DB"/>
    <w:rsid w:val="00815C1C"/>
    <w:rsid w:val="008163F5"/>
    <w:rsid w:val="008165F1"/>
    <w:rsid w:val="008169C0"/>
    <w:rsid w:val="00816BDB"/>
    <w:rsid w:val="008213F4"/>
    <w:rsid w:val="008217E3"/>
    <w:rsid w:val="00821E53"/>
    <w:rsid w:val="008224ED"/>
    <w:rsid w:val="0082267F"/>
    <w:rsid w:val="008233C4"/>
    <w:rsid w:val="00823E32"/>
    <w:rsid w:val="00824685"/>
    <w:rsid w:val="0082490B"/>
    <w:rsid w:val="00824C1E"/>
    <w:rsid w:val="00824DB6"/>
    <w:rsid w:val="00825878"/>
    <w:rsid w:val="00825D2C"/>
    <w:rsid w:val="00825FB2"/>
    <w:rsid w:val="00826B14"/>
    <w:rsid w:val="00826C9B"/>
    <w:rsid w:val="00826EA0"/>
    <w:rsid w:val="00826EFD"/>
    <w:rsid w:val="0082707E"/>
    <w:rsid w:val="008276A4"/>
    <w:rsid w:val="0083040D"/>
    <w:rsid w:val="008308EC"/>
    <w:rsid w:val="008309D4"/>
    <w:rsid w:val="00831D6F"/>
    <w:rsid w:val="00832210"/>
    <w:rsid w:val="008322BD"/>
    <w:rsid w:val="00832D37"/>
    <w:rsid w:val="00832D93"/>
    <w:rsid w:val="00833BC2"/>
    <w:rsid w:val="00833C8F"/>
    <w:rsid w:val="00833DD5"/>
    <w:rsid w:val="008343BF"/>
    <w:rsid w:val="008343C9"/>
    <w:rsid w:val="00834B68"/>
    <w:rsid w:val="00834FC2"/>
    <w:rsid w:val="008368E8"/>
    <w:rsid w:val="00836A41"/>
    <w:rsid w:val="00837BDA"/>
    <w:rsid w:val="008405EC"/>
    <w:rsid w:val="0084188F"/>
    <w:rsid w:val="00841D0A"/>
    <w:rsid w:val="00841FC9"/>
    <w:rsid w:val="0084204E"/>
    <w:rsid w:val="008423A0"/>
    <w:rsid w:val="008427AA"/>
    <w:rsid w:val="008428EC"/>
    <w:rsid w:val="00842DB8"/>
    <w:rsid w:val="00843159"/>
    <w:rsid w:val="00843895"/>
    <w:rsid w:val="008443F5"/>
    <w:rsid w:val="008449E0"/>
    <w:rsid w:val="00845077"/>
    <w:rsid w:val="00846FE0"/>
    <w:rsid w:val="00847AB0"/>
    <w:rsid w:val="0085142B"/>
    <w:rsid w:val="0085298A"/>
    <w:rsid w:val="00852BE3"/>
    <w:rsid w:val="00852C5A"/>
    <w:rsid w:val="00852F5B"/>
    <w:rsid w:val="0085364F"/>
    <w:rsid w:val="0085423A"/>
    <w:rsid w:val="0085452F"/>
    <w:rsid w:val="00854E83"/>
    <w:rsid w:val="0085501E"/>
    <w:rsid w:val="00855272"/>
    <w:rsid w:val="00855695"/>
    <w:rsid w:val="00855974"/>
    <w:rsid w:val="008561B6"/>
    <w:rsid w:val="0085629B"/>
    <w:rsid w:val="00856A2C"/>
    <w:rsid w:val="008571D4"/>
    <w:rsid w:val="008606FD"/>
    <w:rsid w:val="00861607"/>
    <w:rsid w:val="00861B9A"/>
    <w:rsid w:val="00862196"/>
    <w:rsid w:val="0086219E"/>
    <w:rsid w:val="0086371F"/>
    <w:rsid w:val="008638A7"/>
    <w:rsid w:val="00863B22"/>
    <w:rsid w:val="0086407F"/>
    <w:rsid w:val="008640F4"/>
    <w:rsid w:val="00864468"/>
    <w:rsid w:val="008647F9"/>
    <w:rsid w:val="008650F8"/>
    <w:rsid w:val="00865184"/>
    <w:rsid w:val="008653D7"/>
    <w:rsid w:val="00865C94"/>
    <w:rsid w:val="00866416"/>
    <w:rsid w:val="00867E75"/>
    <w:rsid w:val="00870206"/>
    <w:rsid w:val="00870394"/>
    <w:rsid w:val="00870D61"/>
    <w:rsid w:val="00870DB4"/>
    <w:rsid w:val="00871931"/>
    <w:rsid w:val="00872665"/>
    <w:rsid w:val="00872D48"/>
    <w:rsid w:val="00872DA4"/>
    <w:rsid w:val="008747AE"/>
    <w:rsid w:val="00875203"/>
    <w:rsid w:val="00875F6E"/>
    <w:rsid w:val="00876132"/>
    <w:rsid w:val="00876AE9"/>
    <w:rsid w:val="00876C64"/>
    <w:rsid w:val="008776C0"/>
    <w:rsid w:val="008803FF"/>
    <w:rsid w:val="008805A1"/>
    <w:rsid w:val="008811CA"/>
    <w:rsid w:val="00881B56"/>
    <w:rsid w:val="00881CA0"/>
    <w:rsid w:val="00881FE1"/>
    <w:rsid w:val="0088356A"/>
    <w:rsid w:val="008836FB"/>
    <w:rsid w:val="00884F69"/>
    <w:rsid w:val="00886C14"/>
    <w:rsid w:val="008873A8"/>
    <w:rsid w:val="008879E9"/>
    <w:rsid w:val="00887AA1"/>
    <w:rsid w:val="00887C90"/>
    <w:rsid w:val="00890195"/>
    <w:rsid w:val="00890845"/>
    <w:rsid w:val="00890C9A"/>
    <w:rsid w:val="00890CC6"/>
    <w:rsid w:val="008919DB"/>
    <w:rsid w:val="00891A9E"/>
    <w:rsid w:val="00891B71"/>
    <w:rsid w:val="008927A0"/>
    <w:rsid w:val="00892DF0"/>
    <w:rsid w:val="00893243"/>
    <w:rsid w:val="008934A9"/>
    <w:rsid w:val="008948C7"/>
    <w:rsid w:val="00894D47"/>
    <w:rsid w:val="0089624E"/>
    <w:rsid w:val="008966D4"/>
    <w:rsid w:val="00896DB6"/>
    <w:rsid w:val="008976A4"/>
    <w:rsid w:val="00897773"/>
    <w:rsid w:val="008A048B"/>
    <w:rsid w:val="008A0C8F"/>
    <w:rsid w:val="008A0FC7"/>
    <w:rsid w:val="008A1B63"/>
    <w:rsid w:val="008A2447"/>
    <w:rsid w:val="008A347C"/>
    <w:rsid w:val="008A3645"/>
    <w:rsid w:val="008A40B2"/>
    <w:rsid w:val="008A49F4"/>
    <w:rsid w:val="008A5C8C"/>
    <w:rsid w:val="008A6548"/>
    <w:rsid w:val="008A6C89"/>
    <w:rsid w:val="008B0E4B"/>
    <w:rsid w:val="008B0F0C"/>
    <w:rsid w:val="008B26F5"/>
    <w:rsid w:val="008B26FE"/>
    <w:rsid w:val="008B3177"/>
    <w:rsid w:val="008B3690"/>
    <w:rsid w:val="008B3CF0"/>
    <w:rsid w:val="008B44BD"/>
    <w:rsid w:val="008B5186"/>
    <w:rsid w:val="008B51DB"/>
    <w:rsid w:val="008B52C3"/>
    <w:rsid w:val="008B55F8"/>
    <w:rsid w:val="008B6670"/>
    <w:rsid w:val="008B681D"/>
    <w:rsid w:val="008C00DB"/>
    <w:rsid w:val="008C06DA"/>
    <w:rsid w:val="008C21EA"/>
    <w:rsid w:val="008C27C6"/>
    <w:rsid w:val="008C2EDC"/>
    <w:rsid w:val="008C335A"/>
    <w:rsid w:val="008C33EC"/>
    <w:rsid w:val="008C427F"/>
    <w:rsid w:val="008C4BD6"/>
    <w:rsid w:val="008C527C"/>
    <w:rsid w:val="008C5646"/>
    <w:rsid w:val="008C5C73"/>
    <w:rsid w:val="008C6272"/>
    <w:rsid w:val="008C677D"/>
    <w:rsid w:val="008C6F0C"/>
    <w:rsid w:val="008C70F7"/>
    <w:rsid w:val="008C7547"/>
    <w:rsid w:val="008D0E81"/>
    <w:rsid w:val="008D15C3"/>
    <w:rsid w:val="008D1705"/>
    <w:rsid w:val="008D1CF3"/>
    <w:rsid w:val="008D1EBA"/>
    <w:rsid w:val="008D2FB7"/>
    <w:rsid w:val="008D338C"/>
    <w:rsid w:val="008D390F"/>
    <w:rsid w:val="008D486A"/>
    <w:rsid w:val="008D552A"/>
    <w:rsid w:val="008D6A1D"/>
    <w:rsid w:val="008D6DE4"/>
    <w:rsid w:val="008D6E8C"/>
    <w:rsid w:val="008D78A2"/>
    <w:rsid w:val="008E12EE"/>
    <w:rsid w:val="008E1554"/>
    <w:rsid w:val="008E1B6D"/>
    <w:rsid w:val="008E251A"/>
    <w:rsid w:val="008E27C2"/>
    <w:rsid w:val="008E3106"/>
    <w:rsid w:val="008E31DD"/>
    <w:rsid w:val="008E3242"/>
    <w:rsid w:val="008E3527"/>
    <w:rsid w:val="008E355F"/>
    <w:rsid w:val="008E4727"/>
    <w:rsid w:val="008E5310"/>
    <w:rsid w:val="008E5C1F"/>
    <w:rsid w:val="008E6D2F"/>
    <w:rsid w:val="008E7428"/>
    <w:rsid w:val="008E7842"/>
    <w:rsid w:val="008F08EA"/>
    <w:rsid w:val="008F0C64"/>
    <w:rsid w:val="008F1069"/>
    <w:rsid w:val="008F194D"/>
    <w:rsid w:val="008F19B4"/>
    <w:rsid w:val="008F1BB8"/>
    <w:rsid w:val="008F2362"/>
    <w:rsid w:val="008F2451"/>
    <w:rsid w:val="008F2F73"/>
    <w:rsid w:val="008F3357"/>
    <w:rsid w:val="008F3FF3"/>
    <w:rsid w:val="008F4431"/>
    <w:rsid w:val="008F45C4"/>
    <w:rsid w:val="008F486A"/>
    <w:rsid w:val="008F5693"/>
    <w:rsid w:val="008F5E11"/>
    <w:rsid w:val="008F6495"/>
    <w:rsid w:val="008F665F"/>
    <w:rsid w:val="008F68B9"/>
    <w:rsid w:val="008F6FAB"/>
    <w:rsid w:val="008F7A1D"/>
    <w:rsid w:val="008F7AFD"/>
    <w:rsid w:val="008F7F77"/>
    <w:rsid w:val="00900031"/>
    <w:rsid w:val="0090108B"/>
    <w:rsid w:val="009011B2"/>
    <w:rsid w:val="00901C95"/>
    <w:rsid w:val="00902441"/>
    <w:rsid w:val="00902512"/>
    <w:rsid w:val="00902C1B"/>
    <w:rsid w:val="00902CA5"/>
    <w:rsid w:val="0090323F"/>
    <w:rsid w:val="0090403D"/>
    <w:rsid w:val="00904182"/>
    <w:rsid w:val="009046BA"/>
    <w:rsid w:val="00904D59"/>
    <w:rsid w:val="00905819"/>
    <w:rsid w:val="00905B58"/>
    <w:rsid w:val="00905FEF"/>
    <w:rsid w:val="0090681D"/>
    <w:rsid w:val="00906891"/>
    <w:rsid w:val="00906F14"/>
    <w:rsid w:val="009078F9"/>
    <w:rsid w:val="00907AD0"/>
    <w:rsid w:val="00907B1B"/>
    <w:rsid w:val="00910320"/>
    <w:rsid w:val="0091089B"/>
    <w:rsid w:val="00910BED"/>
    <w:rsid w:val="00910E9A"/>
    <w:rsid w:val="00910F27"/>
    <w:rsid w:val="0091140F"/>
    <w:rsid w:val="00912142"/>
    <w:rsid w:val="00912D0E"/>
    <w:rsid w:val="00912D5B"/>
    <w:rsid w:val="00912DA1"/>
    <w:rsid w:val="009132ED"/>
    <w:rsid w:val="0091355A"/>
    <w:rsid w:val="00913747"/>
    <w:rsid w:val="00913CF3"/>
    <w:rsid w:val="00913E1F"/>
    <w:rsid w:val="00914F84"/>
    <w:rsid w:val="0091550C"/>
    <w:rsid w:val="00915AE4"/>
    <w:rsid w:val="00915D16"/>
    <w:rsid w:val="00916406"/>
    <w:rsid w:val="00916671"/>
    <w:rsid w:val="00916D52"/>
    <w:rsid w:val="00917315"/>
    <w:rsid w:val="00917DEF"/>
    <w:rsid w:val="00920360"/>
    <w:rsid w:val="009205D3"/>
    <w:rsid w:val="009206D3"/>
    <w:rsid w:val="00921C2C"/>
    <w:rsid w:val="0092262A"/>
    <w:rsid w:val="00922A16"/>
    <w:rsid w:val="00923444"/>
    <w:rsid w:val="00923C81"/>
    <w:rsid w:val="00924623"/>
    <w:rsid w:val="009258C5"/>
    <w:rsid w:val="00925FB8"/>
    <w:rsid w:val="00926656"/>
    <w:rsid w:val="00927CDF"/>
    <w:rsid w:val="00930051"/>
    <w:rsid w:val="00930339"/>
    <w:rsid w:val="00930493"/>
    <w:rsid w:val="0093110D"/>
    <w:rsid w:val="0093143C"/>
    <w:rsid w:val="00931BBC"/>
    <w:rsid w:val="0093223E"/>
    <w:rsid w:val="00933126"/>
    <w:rsid w:val="00933E3C"/>
    <w:rsid w:val="00935288"/>
    <w:rsid w:val="0093570E"/>
    <w:rsid w:val="009357ED"/>
    <w:rsid w:val="00935EC6"/>
    <w:rsid w:val="0093722B"/>
    <w:rsid w:val="009372C1"/>
    <w:rsid w:val="00937AA9"/>
    <w:rsid w:val="00937AB1"/>
    <w:rsid w:val="00940112"/>
    <w:rsid w:val="00940309"/>
    <w:rsid w:val="0094068D"/>
    <w:rsid w:val="00940D03"/>
    <w:rsid w:val="009419B9"/>
    <w:rsid w:val="00941CAD"/>
    <w:rsid w:val="00943A74"/>
    <w:rsid w:val="00943BA3"/>
    <w:rsid w:val="00943EB8"/>
    <w:rsid w:val="009443D8"/>
    <w:rsid w:val="0094440F"/>
    <w:rsid w:val="0094449B"/>
    <w:rsid w:val="009454ED"/>
    <w:rsid w:val="009465FF"/>
    <w:rsid w:val="00946FCE"/>
    <w:rsid w:val="0094720D"/>
    <w:rsid w:val="0094781E"/>
    <w:rsid w:val="00947920"/>
    <w:rsid w:val="00950A01"/>
    <w:rsid w:val="00950D20"/>
    <w:rsid w:val="0095193F"/>
    <w:rsid w:val="00951CEA"/>
    <w:rsid w:val="0095235F"/>
    <w:rsid w:val="0095291D"/>
    <w:rsid w:val="009536A0"/>
    <w:rsid w:val="00953A52"/>
    <w:rsid w:val="00956168"/>
    <w:rsid w:val="00957325"/>
    <w:rsid w:val="009579C9"/>
    <w:rsid w:val="00957D37"/>
    <w:rsid w:val="009602F1"/>
    <w:rsid w:val="0096147D"/>
    <w:rsid w:val="00961B52"/>
    <w:rsid w:val="00961C44"/>
    <w:rsid w:val="009620A8"/>
    <w:rsid w:val="00962597"/>
    <w:rsid w:val="009626D4"/>
    <w:rsid w:val="00962835"/>
    <w:rsid w:val="0096284E"/>
    <w:rsid w:val="00963219"/>
    <w:rsid w:val="00964373"/>
    <w:rsid w:val="00965861"/>
    <w:rsid w:val="00965BED"/>
    <w:rsid w:val="0096665D"/>
    <w:rsid w:val="00966EC9"/>
    <w:rsid w:val="00967082"/>
    <w:rsid w:val="009673B1"/>
    <w:rsid w:val="0096759F"/>
    <w:rsid w:val="00967A16"/>
    <w:rsid w:val="009701BE"/>
    <w:rsid w:val="009708D6"/>
    <w:rsid w:val="009709E8"/>
    <w:rsid w:val="009722CC"/>
    <w:rsid w:val="00972CBE"/>
    <w:rsid w:val="00973513"/>
    <w:rsid w:val="00973A47"/>
    <w:rsid w:val="009747C3"/>
    <w:rsid w:val="009748EE"/>
    <w:rsid w:val="00974908"/>
    <w:rsid w:val="009749F9"/>
    <w:rsid w:val="00974CD3"/>
    <w:rsid w:val="00975528"/>
    <w:rsid w:val="00976020"/>
    <w:rsid w:val="00976022"/>
    <w:rsid w:val="0097635E"/>
    <w:rsid w:val="00976507"/>
    <w:rsid w:val="009765C7"/>
    <w:rsid w:val="009769EE"/>
    <w:rsid w:val="00976A1D"/>
    <w:rsid w:val="00976AC0"/>
    <w:rsid w:val="00976D95"/>
    <w:rsid w:val="009775E4"/>
    <w:rsid w:val="00980402"/>
    <w:rsid w:val="009812A6"/>
    <w:rsid w:val="00983136"/>
    <w:rsid w:val="00983702"/>
    <w:rsid w:val="00983B28"/>
    <w:rsid w:val="00983BF2"/>
    <w:rsid w:val="00983FD7"/>
    <w:rsid w:val="00984534"/>
    <w:rsid w:val="00984906"/>
    <w:rsid w:val="00985350"/>
    <w:rsid w:val="00985735"/>
    <w:rsid w:val="0098604D"/>
    <w:rsid w:val="009862A4"/>
    <w:rsid w:val="00986447"/>
    <w:rsid w:val="009865DB"/>
    <w:rsid w:val="00986A20"/>
    <w:rsid w:val="0098727F"/>
    <w:rsid w:val="00991237"/>
    <w:rsid w:val="009914A5"/>
    <w:rsid w:val="009914EE"/>
    <w:rsid w:val="00991FF7"/>
    <w:rsid w:val="009932BF"/>
    <w:rsid w:val="00993A63"/>
    <w:rsid w:val="00993D28"/>
    <w:rsid w:val="009940F2"/>
    <w:rsid w:val="009957A0"/>
    <w:rsid w:val="0099605A"/>
    <w:rsid w:val="0099614D"/>
    <w:rsid w:val="00996732"/>
    <w:rsid w:val="00996BD8"/>
    <w:rsid w:val="00996E56"/>
    <w:rsid w:val="009970B9"/>
    <w:rsid w:val="009976A0"/>
    <w:rsid w:val="00997759"/>
    <w:rsid w:val="00997B80"/>
    <w:rsid w:val="00997F87"/>
    <w:rsid w:val="009A0774"/>
    <w:rsid w:val="009A1254"/>
    <w:rsid w:val="009A17B1"/>
    <w:rsid w:val="009A1B61"/>
    <w:rsid w:val="009A21B5"/>
    <w:rsid w:val="009A2296"/>
    <w:rsid w:val="009A2410"/>
    <w:rsid w:val="009A278E"/>
    <w:rsid w:val="009A38BA"/>
    <w:rsid w:val="009A39C3"/>
    <w:rsid w:val="009A44D6"/>
    <w:rsid w:val="009A46F1"/>
    <w:rsid w:val="009A473E"/>
    <w:rsid w:val="009A5386"/>
    <w:rsid w:val="009A62B1"/>
    <w:rsid w:val="009A6486"/>
    <w:rsid w:val="009A6A4F"/>
    <w:rsid w:val="009A6DE0"/>
    <w:rsid w:val="009A6E40"/>
    <w:rsid w:val="009A7186"/>
    <w:rsid w:val="009A7C1D"/>
    <w:rsid w:val="009B02E0"/>
    <w:rsid w:val="009B10B6"/>
    <w:rsid w:val="009B132A"/>
    <w:rsid w:val="009B1BD0"/>
    <w:rsid w:val="009B1F71"/>
    <w:rsid w:val="009B204D"/>
    <w:rsid w:val="009B2458"/>
    <w:rsid w:val="009B2E78"/>
    <w:rsid w:val="009B317B"/>
    <w:rsid w:val="009B3200"/>
    <w:rsid w:val="009B32AB"/>
    <w:rsid w:val="009B3D63"/>
    <w:rsid w:val="009B447F"/>
    <w:rsid w:val="009B4B95"/>
    <w:rsid w:val="009B5A66"/>
    <w:rsid w:val="009B5B8D"/>
    <w:rsid w:val="009B6C2A"/>
    <w:rsid w:val="009B6E52"/>
    <w:rsid w:val="009B7666"/>
    <w:rsid w:val="009B76BF"/>
    <w:rsid w:val="009B7ABA"/>
    <w:rsid w:val="009B7E75"/>
    <w:rsid w:val="009C02CB"/>
    <w:rsid w:val="009C0E59"/>
    <w:rsid w:val="009C1597"/>
    <w:rsid w:val="009C202E"/>
    <w:rsid w:val="009C25A5"/>
    <w:rsid w:val="009C2603"/>
    <w:rsid w:val="009C3109"/>
    <w:rsid w:val="009C33F2"/>
    <w:rsid w:val="009C49AB"/>
    <w:rsid w:val="009C4D65"/>
    <w:rsid w:val="009C560E"/>
    <w:rsid w:val="009C5857"/>
    <w:rsid w:val="009C6371"/>
    <w:rsid w:val="009C6BC5"/>
    <w:rsid w:val="009C6FE4"/>
    <w:rsid w:val="009C7092"/>
    <w:rsid w:val="009C7124"/>
    <w:rsid w:val="009C7DCE"/>
    <w:rsid w:val="009C7EC3"/>
    <w:rsid w:val="009D003F"/>
    <w:rsid w:val="009D01C7"/>
    <w:rsid w:val="009D045F"/>
    <w:rsid w:val="009D1644"/>
    <w:rsid w:val="009D1AAB"/>
    <w:rsid w:val="009D1B02"/>
    <w:rsid w:val="009D1CC0"/>
    <w:rsid w:val="009D2406"/>
    <w:rsid w:val="009D2A13"/>
    <w:rsid w:val="009D3BED"/>
    <w:rsid w:val="009D3DE5"/>
    <w:rsid w:val="009D40D0"/>
    <w:rsid w:val="009D49E7"/>
    <w:rsid w:val="009D4A0A"/>
    <w:rsid w:val="009D4C0D"/>
    <w:rsid w:val="009D55BA"/>
    <w:rsid w:val="009D583B"/>
    <w:rsid w:val="009D602A"/>
    <w:rsid w:val="009D6D7F"/>
    <w:rsid w:val="009D6E72"/>
    <w:rsid w:val="009E0683"/>
    <w:rsid w:val="009E0B4C"/>
    <w:rsid w:val="009E2049"/>
    <w:rsid w:val="009E286F"/>
    <w:rsid w:val="009E33D7"/>
    <w:rsid w:val="009E3469"/>
    <w:rsid w:val="009E40F6"/>
    <w:rsid w:val="009E5331"/>
    <w:rsid w:val="009E5498"/>
    <w:rsid w:val="009E58FC"/>
    <w:rsid w:val="009E6BB4"/>
    <w:rsid w:val="009E6E73"/>
    <w:rsid w:val="009E7C06"/>
    <w:rsid w:val="009E7FDA"/>
    <w:rsid w:val="009F0330"/>
    <w:rsid w:val="009F0556"/>
    <w:rsid w:val="009F117B"/>
    <w:rsid w:val="009F1418"/>
    <w:rsid w:val="009F165D"/>
    <w:rsid w:val="009F177B"/>
    <w:rsid w:val="009F255F"/>
    <w:rsid w:val="009F2EBB"/>
    <w:rsid w:val="009F32B6"/>
    <w:rsid w:val="009F396E"/>
    <w:rsid w:val="009F49A0"/>
    <w:rsid w:val="009F4DB4"/>
    <w:rsid w:val="009F50F7"/>
    <w:rsid w:val="009F5172"/>
    <w:rsid w:val="009F591D"/>
    <w:rsid w:val="009F5B2A"/>
    <w:rsid w:val="009F6781"/>
    <w:rsid w:val="009F7633"/>
    <w:rsid w:val="009F7F59"/>
    <w:rsid w:val="00A005C6"/>
    <w:rsid w:val="00A0202E"/>
    <w:rsid w:val="00A02D7E"/>
    <w:rsid w:val="00A0348A"/>
    <w:rsid w:val="00A04EB0"/>
    <w:rsid w:val="00A05B2F"/>
    <w:rsid w:val="00A063A3"/>
    <w:rsid w:val="00A0647B"/>
    <w:rsid w:val="00A075E2"/>
    <w:rsid w:val="00A10917"/>
    <w:rsid w:val="00A117CD"/>
    <w:rsid w:val="00A11AC3"/>
    <w:rsid w:val="00A1216C"/>
    <w:rsid w:val="00A13052"/>
    <w:rsid w:val="00A13074"/>
    <w:rsid w:val="00A136D2"/>
    <w:rsid w:val="00A13877"/>
    <w:rsid w:val="00A140C5"/>
    <w:rsid w:val="00A1411D"/>
    <w:rsid w:val="00A1442F"/>
    <w:rsid w:val="00A14543"/>
    <w:rsid w:val="00A14ECB"/>
    <w:rsid w:val="00A150A5"/>
    <w:rsid w:val="00A159BB"/>
    <w:rsid w:val="00A15D97"/>
    <w:rsid w:val="00A15F1E"/>
    <w:rsid w:val="00A163BE"/>
    <w:rsid w:val="00A16708"/>
    <w:rsid w:val="00A17FCB"/>
    <w:rsid w:val="00A202B7"/>
    <w:rsid w:val="00A205F2"/>
    <w:rsid w:val="00A20977"/>
    <w:rsid w:val="00A2127C"/>
    <w:rsid w:val="00A21473"/>
    <w:rsid w:val="00A22267"/>
    <w:rsid w:val="00A224CB"/>
    <w:rsid w:val="00A227EA"/>
    <w:rsid w:val="00A2301E"/>
    <w:rsid w:val="00A236C5"/>
    <w:rsid w:val="00A24593"/>
    <w:rsid w:val="00A2462A"/>
    <w:rsid w:val="00A24E89"/>
    <w:rsid w:val="00A24F91"/>
    <w:rsid w:val="00A253B8"/>
    <w:rsid w:val="00A25B7F"/>
    <w:rsid w:val="00A25C3F"/>
    <w:rsid w:val="00A269B0"/>
    <w:rsid w:val="00A270D1"/>
    <w:rsid w:val="00A27AA4"/>
    <w:rsid w:val="00A30495"/>
    <w:rsid w:val="00A30D77"/>
    <w:rsid w:val="00A30E47"/>
    <w:rsid w:val="00A31A68"/>
    <w:rsid w:val="00A31DF6"/>
    <w:rsid w:val="00A3207A"/>
    <w:rsid w:val="00A32845"/>
    <w:rsid w:val="00A32B2E"/>
    <w:rsid w:val="00A32B55"/>
    <w:rsid w:val="00A32BD2"/>
    <w:rsid w:val="00A32C1B"/>
    <w:rsid w:val="00A337D0"/>
    <w:rsid w:val="00A342F0"/>
    <w:rsid w:val="00A34574"/>
    <w:rsid w:val="00A347B4"/>
    <w:rsid w:val="00A348A4"/>
    <w:rsid w:val="00A34C1D"/>
    <w:rsid w:val="00A34CB6"/>
    <w:rsid w:val="00A35517"/>
    <w:rsid w:val="00A358A2"/>
    <w:rsid w:val="00A35E1B"/>
    <w:rsid w:val="00A36155"/>
    <w:rsid w:val="00A371A9"/>
    <w:rsid w:val="00A378C4"/>
    <w:rsid w:val="00A37D18"/>
    <w:rsid w:val="00A40D42"/>
    <w:rsid w:val="00A40DE0"/>
    <w:rsid w:val="00A414E5"/>
    <w:rsid w:val="00A41BF5"/>
    <w:rsid w:val="00A42184"/>
    <w:rsid w:val="00A425B0"/>
    <w:rsid w:val="00A42604"/>
    <w:rsid w:val="00A433DF"/>
    <w:rsid w:val="00A433F8"/>
    <w:rsid w:val="00A439A0"/>
    <w:rsid w:val="00A43B83"/>
    <w:rsid w:val="00A43D73"/>
    <w:rsid w:val="00A446B8"/>
    <w:rsid w:val="00A449ED"/>
    <w:rsid w:val="00A44EC7"/>
    <w:rsid w:val="00A44FE2"/>
    <w:rsid w:val="00A450C6"/>
    <w:rsid w:val="00A45364"/>
    <w:rsid w:val="00A46CC4"/>
    <w:rsid w:val="00A46E61"/>
    <w:rsid w:val="00A46EE2"/>
    <w:rsid w:val="00A47698"/>
    <w:rsid w:val="00A478F2"/>
    <w:rsid w:val="00A50654"/>
    <w:rsid w:val="00A51056"/>
    <w:rsid w:val="00A5153E"/>
    <w:rsid w:val="00A51A3D"/>
    <w:rsid w:val="00A5218F"/>
    <w:rsid w:val="00A527FA"/>
    <w:rsid w:val="00A53FF4"/>
    <w:rsid w:val="00A54002"/>
    <w:rsid w:val="00A549D3"/>
    <w:rsid w:val="00A54FD8"/>
    <w:rsid w:val="00A5545D"/>
    <w:rsid w:val="00A554CD"/>
    <w:rsid w:val="00A5588B"/>
    <w:rsid w:val="00A55D2B"/>
    <w:rsid w:val="00A56435"/>
    <w:rsid w:val="00A5698E"/>
    <w:rsid w:val="00A56D2E"/>
    <w:rsid w:val="00A57EF4"/>
    <w:rsid w:val="00A60112"/>
    <w:rsid w:val="00A60553"/>
    <w:rsid w:val="00A60714"/>
    <w:rsid w:val="00A60DD5"/>
    <w:rsid w:val="00A61C0B"/>
    <w:rsid w:val="00A61DC1"/>
    <w:rsid w:val="00A6220E"/>
    <w:rsid w:val="00A6291E"/>
    <w:rsid w:val="00A62FAB"/>
    <w:rsid w:val="00A635E9"/>
    <w:rsid w:val="00A63D67"/>
    <w:rsid w:val="00A63EC1"/>
    <w:rsid w:val="00A64F0F"/>
    <w:rsid w:val="00A65199"/>
    <w:rsid w:val="00A65503"/>
    <w:rsid w:val="00A656D5"/>
    <w:rsid w:val="00A658BD"/>
    <w:rsid w:val="00A66240"/>
    <w:rsid w:val="00A668D4"/>
    <w:rsid w:val="00A66917"/>
    <w:rsid w:val="00A66E44"/>
    <w:rsid w:val="00A673EF"/>
    <w:rsid w:val="00A67939"/>
    <w:rsid w:val="00A67E4A"/>
    <w:rsid w:val="00A67E7A"/>
    <w:rsid w:val="00A7123D"/>
    <w:rsid w:val="00A71AB5"/>
    <w:rsid w:val="00A7232F"/>
    <w:rsid w:val="00A73F4B"/>
    <w:rsid w:val="00A74290"/>
    <w:rsid w:val="00A7443B"/>
    <w:rsid w:val="00A74BFE"/>
    <w:rsid w:val="00A74C75"/>
    <w:rsid w:val="00A75A7E"/>
    <w:rsid w:val="00A75BC2"/>
    <w:rsid w:val="00A7671B"/>
    <w:rsid w:val="00A76B9C"/>
    <w:rsid w:val="00A76BDC"/>
    <w:rsid w:val="00A7774D"/>
    <w:rsid w:val="00A77964"/>
    <w:rsid w:val="00A779A2"/>
    <w:rsid w:val="00A80149"/>
    <w:rsid w:val="00A80541"/>
    <w:rsid w:val="00A80F48"/>
    <w:rsid w:val="00A81814"/>
    <w:rsid w:val="00A81D15"/>
    <w:rsid w:val="00A824A5"/>
    <w:rsid w:val="00A82B79"/>
    <w:rsid w:val="00A82C78"/>
    <w:rsid w:val="00A83838"/>
    <w:rsid w:val="00A83F18"/>
    <w:rsid w:val="00A84004"/>
    <w:rsid w:val="00A849AB"/>
    <w:rsid w:val="00A84E3D"/>
    <w:rsid w:val="00A86044"/>
    <w:rsid w:val="00A86CFD"/>
    <w:rsid w:val="00A87025"/>
    <w:rsid w:val="00A87995"/>
    <w:rsid w:val="00A906BD"/>
    <w:rsid w:val="00A9082A"/>
    <w:rsid w:val="00A9092B"/>
    <w:rsid w:val="00A92A12"/>
    <w:rsid w:val="00A931BA"/>
    <w:rsid w:val="00A93A95"/>
    <w:rsid w:val="00A952B9"/>
    <w:rsid w:val="00A95305"/>
    <w:rsid w:val="00A96008"/>
    <w:rsid w:val="00A960BE"/>
    <w:rsid w:val="00A960DD"/>
    <w:rsid w:val="00A96761"/>
    <w:rsid w:val="00A9789F"/>
    <w:rsid w:val="00AA005E"/>
    <w:rsid w:val="00AA00C4"/>
    <w:rsid w:val="00AA04D5"/>
    <w:rsid w:val="00AA0AF0"/>
    <w:rsid w:val="00AA0C36"/>
    <w:rsid w:val="00AA0D65"/>
    <w:rsid w:val="00AA1265"/>
    <w:rsid w:val="00AA1D5F"/>
    <w:rsid w:val="00AA1E2A"/>
    <w:rsid w:val="00AA1E3C"/>
    <w:rsid w:val="00AA20DC"/>
    <w:rsid w:val="00AA38AC"/>
    <w:rsid w:val="00AA3C17"/>
    <w:rsid w:val="00AA3E05"/>
    <w:rsid w:val="00AA3E97"/>
    <w:rsid w:val="00AA4156"/>
    <w:rsid w:val="00AA4608"/>
    <w:rsid w:val="00AA4F0B"/>
    <w:rsid w:val="00AA5363"/>
    <w:rsid w:val="00AA5BF6"/>
    <w:rsid w:val="00AA64D8"/>
    <w:rsid w:val="00AA6691"/>
    <w:rsid w:val="00AA7683"/>
    <w:rsid w:val="00AA7C63"/>
    <w:rsid w:val="00AA7DFC"/>
    <w:rsid w:val="00AB097D"/>
    <w:rsid w:val="00AB0AA1"/>
    <w:rsid w:val="00AB161E"/>
    <w:rsid w:val="00AB22B5"/>
    <w:rsid w:val="00AB32DD"/>
    <w:rsid w:val="00AB401B"/>
    <w:rsid w:val="00AB410B"/>
    <w:rsid w:val="00AB43FC"/>
    <w:rsid w:val="00AB4F9E"/>
    <w:rsid w:val="00AB587A"/>
    <w:rsid w:val="00AB589B"/>
    <w:rsid w:val="00AB5BEA"/>
    <w:rsid w:val="00AB5EEC"/>
    <w:rsid w:val="00AB6F6B"/>
    <w:rsid w:val="00AB7DE6"/>
    <w:rsid w:val="00AC05A7"/>
    <w:rsid w:val="00AC0AAE"/>
    <w:rsid w:val="00AC120C"/>
    <w:rsid w:val="00AC31BC"/>
    <w:rsid w:val="00AC3729"/>
    <w:rsid w:val="00AC455F"/>
    <w:rsid w:val="00AC4C8F"/>
    <w:rsid w:val="00AC5549"/>
    <w:rsid w:val="00AC5C70"/>
    <w:rsid w:val="00AC5EC2"/>
    <w:rsid w:val="00AC6946"/>
    <w:rsid w:val="00AC6AB2"/>
    <w:rsid w:val="00AC7072"/>
    <w:rsid w:val="00AC778E"/>
    <w:rsid w:val="00AC7CC1"/>
    <w:rsid w:val="00AD001C"/>
    <w:rsid w:val="00AD0638"/>
    <w:rsid w:val="00AD1050"/>
    <w:rsid w:val="00AD10CA"/>
    <w:rsid w:val="00AD116D"/>
    <w:rsid w:val="00AD1BC5"/>
    <w:rsid w:val="00AD234E"/>
    <w:rsid w:val="00AD3DC6"/>
    <w:rsid w:val="00AD46DD"/>
    <w:rsid w:val="00AD4716"/>
    <w:rsid w:val="00AD483F"/>
    <w:rsid w:val="00AD491C"/>
    <w:rsid w:val="00AD5270"/>
    <w:rsid w:val="00AD658B"/>
    <w:rsid w:val="00AD68B0"/>
    <w:rsid w:val="00AD69D3"/>
    <w:rsid w:val="00AD6DDE"/>
    <w:rsid w:val="00AD6EA6"/>
    <w:rsid w:val="00AD6FEB"/>
    <w:rsid w:val="00AD76AA"/>
    <w:rsid w:val="00AD7CC2"/>
    <w:rsid w:val="00AD7D31"/>
    <w:rsid w:val="00AE19DB"/>
    <w:rsid w:val="00AE1F97"/>
    <w:rsid w:val="00AE36E4"/>
    <w:rsid w:val="00AE3AF7"/>
    <w:rsid w:val="00AE40F9"/>
    <w:rsid w:val="00AE4462"/>
    <w:rsid w:val="00AE47E0"/>
    <w:rsid w:val="00AE4D64"/>
    <w:rsid w:val="00AE54C3"/>
    <w:rsid w:val="00AE562C"/>
    <w:rsid w:val="00AE5A78"/>
    <w:rsid w:val="00AE6343"/>
    <w:rsid w:val="00AE6624"/>
    <w:rsid w:val="00AE6D3F"/>
    <w:rsid w:val="00AF073E"/>
    <w:rsid w:val="00AF10B9"/>
    <w:rsid w:val="00AF11BB"/>
    <w:rsid w:val="00AF13E7"/>
    <w:rsid w:val="00AF1542"/>
    <w:rsid w:val="00AF157E"/>
    <w:rsid w:val="00AF19E3"/>
    <w:rsid w:val="00AF1BD1"/>
    <w:rsid w:val="00AF28D4"/>
    <w:rsid w:val="00AF3683"/>
    <w:rsid w:val="00AF39A2"/>
    <w:rsid w:val="00AF444B"/>
    <w:rsid w:val="00AF57B9"/>
    <w:rsid w:val="00AF5B14"/>
    <w:rsid w:val="00AF6C42"/>
    <w:rsid w:val="00AF7267"/>
    <w:rsid w:val="00AF7DF9"/>
    <w:rsid w:val="00AF7F5B"/>
    <w:rsid w:val="00AF7FC1"/>
    <w:rsid w:val="00B00282"/>
    <w:rsid w:val="00B00F4B"/>
    <w:rsid w:val="00B010C6"/>
    <w:rsid w:val="00B01231"/>
    <w:rsid w:val="00B016A5"/>
    <w:rsid w:val="00B01B57"/>
    <w:rsid w:val="00B01DDA"/>
    <w:rsid w:val="00B025CB"/>
    <w:rsid w:val="00B03864"/>
    <w:rsid w:val="00B03872"/>
    <w:rsid w:val="00B03B05"/>
    <w:rsid w:val="00B03E6E"/>
    <w:rsid w:val="00B04FE3"/>
    <w:rsid w:val="00B051EE"/>
    <w:rsid w:val="00B056BD"/>
    <w:rsid w:val="00B069F5"/>
    <w:rsid w:val="00B06DD4"/>
    <w:rsid w:val="00B070B3"/>
    <w:rsid w:val="00B103B0"/>
    <w:rsid w:val="00B10DED"/>
    <w:rsid w:val="00B11491"/>
    <w:rsid w:val="00B12754"/>
    <w:rsid w:val="00B132D8"/>
    <w:rsid w:val="00B13319"/>
    <w:rsid w:val="00B13794"/>
    <w:rsid w:val="00B1415B"/>
    <w:rsid w:val="00B146A2"/>
    <w:rsid w:val="00B14C06"/>
    <w:rsid w:val="00B159C5"/>
    <w:rsid w:val="00B16467"/>
    <w:rsid w:val="00B165E7"/>
    <w:rsid w:val="00B16741"/>
    <w:rsid w:val="00B16745"/>
    <w:rsid w:val="00B16FDB"/>
    <w:rsid w:val="00B1755C"/>
    <w:rsid w:val="00B176E0"/>
    <w:rsid w:val="00B17A26"/>
    <w:rsid w:val="00B17B97"/>
    <w:rsid w:val="00B17BBC"/>
    <w:rsid w:val="00B17EB5"/>
    <w:rsid w:val="00B211B2"/>
    <w:rsid w:val="00B21C15"/>
    <w:rsid w:val="00B2203A"/>
    <w:rsid w:val="00B226B1"/>
    <w:rsid w:val="00B22ED9"/>
    <w:rsid w:val="00B2390D"/>
    <w:rsid w:val="00B23C44"/>
    <w:rsid w:val="00B24857"/>
    <w:rsid w:val="00B24B89"/>
    <w:rsid w:val="00B258EA"/>
    <w:rsid w:val="00B25AC2"/>
    <w:rsid w:val="00B25CAE"/>
    <w:rsid w:val="00B262D7"/>
    <w:rsid w:val="00B275BF"/>
    <w:rsid w:val="00B27E19"/>
    <w:rsid w:val="00B27EFD"/>
    <w:rsid w:val="00B30279"/>
    <w:rsid w:val="00B302F9"/>
    <w:rsid w:val="00B305ED"/>
    <w:rsid w:val="00B3073E"/>
    <w:rsid w:val="00B3104E"/>
    <w:rsid w:val="00B31194"/>
    <w:rsid w:val="00B31C6E"/>
    <w:rsid w:val="00B32309"/>
    <w:rsid w:val="00B3472A"/>
    <w:rsid w:val="00B34BE3"/>
    <w:rsid w:val="00B351BC"/>
    <w:rsid w:val="00B355E2"/>
    <w:rsid w:val="00B3570F"/>
    <w:rsid w:val="00B35CC3"/>
    <w:rsid w:val="00B35DBC"/>
    <w:rsid w:val="00B3605F"/>
    <w:rsid w:val="00B360BC"/>
    <w:rsid w:val="00B364C9"/>
    <w:rsid w:val="00B36688"/>
    <w:rsid w:val="00B36857"/>
    <w:rsid w:val="00B36C26"/>
    <w:rsid w:val="00B36FF8"/>
    <w:rsid w:val="00B3728F"/>
    <w:rsid w:val="00B37353"/>
    <w:rsid w:val="00B374A7"/>
    <w:rsid w:val="00B375D7"/>
    <w:rsid w:val="00B4178D"/>
    <w:rsid w:val="00B41D79"/>
    <w:rsid w:val="00B425CB"/>
    <w:rsid w:val="00B4292D"/>
    <w:rsid w:val="00B437C1"/>
    <w:rsid w:val="00B43908"/>
    <w:rsid w:val="00B43C59"/>
    <w:rsid w:val="00B44261"/>
    <w:rsid w:val="00B44E0D"/>
    <w:rsid w:val="00B44EAC"/>
    <w:rsid w:val="00B44F0A"/>
    <w:rsid w:val="00B45104"/>
    <w:rsid w:val="00B453C6"/>
    <w:rsid w:val="00B4587D"/>
    <w:rsid w:val="00B45F7D"/>
    <w:rsid w:val="00B4674C"/>
    <w:rsid w:val="00B4697F"/>
    <w:rsid w:val="00B46D51"/>
    <w:rsid w:val="00B46D63"/>
    <w:rsid w:val="00B46E3C"/>
    <w:rsid w:val="00B474EB"/>
    <w:rsid w:val="00B47944"/>
    <w:rsid w:val="00B500D1"/>
    <w:rsid w:val="00B500E0"/>
    <w:rsid w:val="00B508E4"/>
    <w:rsid w:val="00B50FF5"/>
    <w:rsid w:val="00B51087"/>
    <w:rsid w:val="00B52330"/>
    <w:rsid w:val="00B52A0D"/>
    <w:rsid w:val="00B530B1"/>
    <w:rsid w:val="00B5368E"/>
    <w:rsid w:val="00B53B44"/>
    <w:rsid w:val="00B53FFE"/>
    <w:rsid w:val="00B54BF8"/>
    <w:rsid w:val="00B54EC9"/>
    <w:rsid w:val="00B5527F"/>
    <w:rsid w:val="00B5558B"/>
    <w:rsid w:val="00B55D7F"/>
    <w:rsid w:val="00B561CC"/>
    <w:rsid w:val="00B56609"/>
    <w:rsid w:val="00B575AD"/>
    <w:rsid w:val="00B578FC"/>
    <w:rsid w:val="00B6000A"/>
    <w:rsid w:val="00B6041E"/>
    <w:rsid w:val="00B60AAB"/>
    <w:rsid w:val="00B60EE4"/>
    <w:rsid w:val="00B613A8"/>
    <w:rsid w:val="00B616FC"/>
    <w:rsid w:val="00B6194D"/>
    <w:rsid w:val="00B627ED"/>
    <w:rsid w:val="00B640CF"/>
    <w:rsid w:val="00B64A65"/>
    <w:rsid w:val="00B65044"/>
    <w:rsid w:val="00B6526B"/>
    <w:rsid w:val="00B65886"/>
    <w:rsid w:val="00B65C96"/>
    <w:rsid w:val="00B65F09"/>
    <w:rsid w:val="00B66913"/>
    <w:rsid w:val="00B66ECF"/>
    <w:rsid w:val="00B67011"/>
    <w:rsid w:val="00B67A4D"/>
    <w:rsid w:val="00B67F02"/>
    <w:rsid w:val="00B70B95"/>
    <w:rsid w:val="00B70D02"/>
    <w:rsid w:val="00B70E26"/>
    <w:rsid w:val="00B71663"/>
    <w:rsid w:val="00B718A2"/>
    <w:rsid w:val="00B71A10"/>
    <w:rsid w:val="00B71B33"/>
    <w:rsid w:val="00B71C39"/>
    <w:rsid w:val="00B71E35"/>
    <w:rsid w:val="00B7257B"/>
    <w:rsid w:val="00B728C9"/>
    <w:rsid w:val="00B7294D"/>
    <w:rsid w:val="00B7321E"/>
    <w:rsid w:val="00B7329E"/>
    <w:rsid w:val="00B73DD9"/>
    <w:rsid w:val="00B741E1"/>
    <w:rsid w:val="00B74438"/>
    <w:rsid w:val="00B746E7"/>
    <w:rsid w:val="00B7564F"/>
    <w:rsid w:val="00B75A2E"/>
    <w:rsid w:val="00B75C8D"/>
    <w:rsid w:val="00B761C7"/>
    <w:rsid w:val="00B762CD"/>
    <w:rsid w:val="00B7673C"/>
    <w:rsid w:val="00B76816"/>
    <w:rsid w:val="00B76D99"/>
    <w:rsid w:val="00B777E3"/>
    <w:rsid w:val="00B77831"/>
    <w:rsid w:val="00B77ED0"/>
    <w:rsid w:val="00B8034F"/>
    <w:rsid w:val="00B81608"/>
    <w:rsid w:val="00B81EED"/>
    <w:rsid w:val="00B8256B"/>
    <w:rsid w:val="00B8284D"/>
    <w:rsid w:val="00B82EE3"/>
    <w:rsid w:val="00B82F7C"/>
    <w:rsid w:val="00B830D2"/>
    <w:rsid w:val="00B83C8D"/>
    <w:rsid w:val="00B83F3E"/>
    <w:rsid w:val="00B84309"/>
    <w:rsid w:val="00B84B50"/>
    <w:rsid w:val="00B84DC5"/>
    <w:rsid w:val="00B84F64"/>
    <w:rsid w:val="00B854D4"/>
    <w:rsid w:val="00B859C2"/>
    <w:rsid w:val="00B85B75"/>
    <w:rsid w:val="00B85EA1"/>
    <w:rsid w:val="00B8656D"/>
    <w:rsid w:val="00B86D32"/>
    <w:rsid w:val="00B86FD7"/>
    <w:rsid w:val="00B906A9"/>
    <w:rsid w:val="00B90D09"/>
    <w:rsid w:val="00B912F7"/>
    <w:rsid w:val="00B916DB"/>
    <w:rsid w:val="00B921E8"/>
    <w:rsid w:val="00B922FC"/>
    <w:rsid w:val="00B9234F"/>
    <w:rsid w:val="00B92686"/>
    <w:rsid w:val="00B927D3"/>
    <w:rsid w:val="00B935E3"/>
    <w:rsid w:val="00B939D8"/>
    <w:rsid w:val="00B93E97"/>
    <w:rsid w:val="00B9408A"/>
    <w:rsid w:val="00B94E8D"/>
    <w:rsid w:val="00B954D2"/>
    <w:rsid w:val="00B95DDE"/>
    <w:rsid w:val="00B95EB3"/>
    <w:rsid w:val="00B961A1"/>
    <w:rsid w:val="00B97B96"/>
    <w:rsid w:val="00BA0E69"/>
    <w:rsid w:val="00BA10A2"/>
    <w:rsid w:val="00BA147B"/>
    <w:rsid w:val="00BA195B"/>
    <w:rsid w:val="00BA1A7E"/>
    <w:rsid w:val="00BA1B87"/>
    <w:rsid w:val="00BA21C0"/>
    <w:rsid w:val="00BA2674"/>
    <w:rsid w:val="00BA26CB"/>
    <w:rsid w:val="00BA2909"/>
    <w:rsid w:val="00BA2E09"/>
    <w:rsid w:val="00BA3021"/>
    <w:rsid w:val="00BA3EF2"/>
    <w:rsid w:val="00BA4BD0"/>
    <w:rsid w:val="00BA52F5"/>
    <w:rsid w:val="00BA54AD"/>
    <w:rsid w:val="00BA56C5"/>
    <w:rsid w:val="00BA68CB"/>
    <w:rsid w:val="00BA7749"/>
    <w:rsid w:val="00BA7B0C"/>
    <w:rsid w:val="00BB0855"/>
    <w:rsid w:val="00BB0960"/>
    <w:rsid w:val="00BB09EF"/>
    <w:rsid w:val="00BB0E20"/>
    <w:rsid w:val="00BB1A44"/>
    <w:rsid w:val="00BB266C"/>
    <w:rsid w:val="00BB2934"/>
    <w:rsid w:val="00BB332D"/>
    <w:rsid w:val="00BB3960"/>
    <w:rsid w:val="00BB3972"/>
    <w:rsid w:val="00BB3E79"/>
    <w:rsid w:val="00BB3EAD"/>
    <w:rsid w:val="00BB4496"/>
    <w:rsid w:val="00BB485D"/>
    <w:rsid w:val="00BB4C36"/>
    <w:rsid w:val="00BB4CCC"/>
    <w:rsid w:val="00BB582F"/>
    <w:rsid w:val="00BB5A70"/>
    <w:rsid w:val="00BB5C5F"/>
    <w:rsid w:val="00BB7124"/>
    <w:rsid w:val="00BB79E8"/>
    <w:rsid w:val="00BC0576"/>
    <w:rsid w:val="00BC0927"/>
    <w:rsid w:val="00BC0CE1"/>
    <w:rsid w:val="00BC0E84"/>
    <w:rsid w:val="00BC1165"/>
    <w:rsid w:val="00BC1BC4"/>
    <w:rsid w:val="00BC22BB"/>
    <w:rsid w:val="00BC268C"/>
    <w:rsid w:val="00BC299E"/>
    <w:rsid w:val="00BC2E8F"/>
    <w:rsid w:val="00BC3346"/>
    <w:rsid w:val="00BC356B"/>
    <w:rsid w:val="00BC38EB"/>
    <w:rsid w:val="00BC392E"/>
    <w:rsid w:val="00BC3B6E"/>
    <w:rsid w:val="00BC3B97"/>
    <w:rsid w:val="00BC3E92"/>
    <w:rsid w:val="00BC4045"/>
    <w:rsid w:val="00BC462A"/>
    <w:rsid w:val="00BC5AC6"/>
    <w:rsid w:val="00BC5C62"/>
    <w:rsid w:val="00BC6006"/>
    <w:rsid w:val="00BC6C18"/>
    <w:rsid w:val="00BC77ED"/>
    <w:rsid w:val="00BC7B8B"/>
    <w:rsid w:val="00BD0075"/>
    <w:rsid w:val="00BD1137"/>
    <w:rsid w:val="00BD129C"/>
    <w:rsid w:val="00BD163E"/>
    <w:rsid w:val="00BD1E2D"/>
    <w:rsid w:val="00BD21C4"/>
    <w:rsid w:val="00BD2296"/>
    <w:rsid w:val="00BD3162"/>
    <w:rsid w:val="00BD366A"/>
    <w:rsid w:val="00BD47A9"/>
    <w:rsid w:val="00BD4A6D"/>
    <w:rsid w:val="00BD56DE"/>
    <w:rsid w:val="00BD5DAE"/>
    <w:rsid w:val="00BD610D"/>
    <w:rsid w:val="00BD63DB"/>
    <w:rsid w:val="00BD6BA6"/>
    <w:rsid w:val="00BD6D39"/>
    <w:rsid w:val="00BD749B"/>
    <w:rsid w:val="00BD76AF"/>
    <w:rsid w:val="00BE0011"/>
    <w:rsid w:val="00BE1BED"/>
    <w:rsid w:val="00BE1C05"/>
    <w:rsid w:val="00BE1FA1"/>
    <w:rsid w:val="00BE287C"/>
    <w:rsid w:val="00BE2A75"/>
    <w:rsid w:val="00BE3228"/>
    <w:rsid w:val="00BE357E"/>
    <w:rsid w:val="00BE3B9A"/>
    <w:rsid w:val="00BE47D4"/>
    <w:rsid w:val="00BE52CA"/>
    <w:rsid w:val="00BE5A11"/>
    <w:rsid w:val="00BE627B"/>
    <w:rsid w:val="00BE6812"/>
    <w:rsid w:val="00BE7480"/>
    <w:rsid w:val="00BF001A"/>
    <w:rsid w:val="00BF072F"/>
    <w:rsid w:val="00BF14A8"/>
    <w:rsid w:val="00BF19B0"/>
    <w:rsid w:val="00BF1DCB"/>
    <w:rsid w:val="00BF2481"/>
    <w:rsid w:val="00BF28E3"/>
    <w:rsid w:val="00BF2CD7"/>
    <w:rsid w:val="00BF2EBF"/>
    <w:rsid w:val="00BF2FA9"/>
    <w:rsid w:val="00BF3037"/>
    <w:rsid w:val="00BF32E3"/>
    <w:rsid w:val="00BF3DBF"/>
    <w:rsid w:val="00BF4054"/>
    <w:rsid w:val="00BF507D"/>
    <w:rsid w:val="00BF50E7"/>
    <w:rsid w:val="00BF57A2"/>
    <w:rsid w:val="00BF5BEB"/>
    <w:rsid w:val="00BF6425"/>
    <w:rsid w:val="00BF65EA"/>
    <w:rsid w:val="00BF79BA"/>
    <w:rsid w:val="00C00641"/>
    <w:rsid w:val="00C00C34"/>
    <w:rsid w:val="00C016E2"/>
    <w:rsid w:val="00C0239C"/>
    <w:rsid w:val="00C02CB1"/>
    <w:rsid w:val="00C03537"/>
    <w:rsid w:val="00C03EEC"/>
    <w:rsid w:val="00C04138"/>
    <w:rsid w:val="00C04A12"/>
    <w:rsid w:val="00C0571E"/>
    <w:rsid w:val="00C05729"/>
    <w:rsid w:val="00C05B27"/>
    <w:rsid w:val="00C05C0C"/>
    <w:rsid w:val="00C068F0"/>
    <w:rsid w:val="00C06B91"/>
    <w:rsid w:val="00C06C96"/>
    <w:rsid w:val="00C06F6B"/>
    <w:rsid w:val="00C07365"/>
    <w:rsid w:val="00C0748E"/>
    <w:rsid w:val="00C105C9"/>
    <w:rsid w:val="00C1121D"/>
    <w:rsid w:val="00C11595"/>
    <w:rsid w:val="00C11F6F"/>
    <w:rsid w:val="00C121D0"/>
    <w:rsid w:val="00C1231E"/>
    <w:rsid w:val="00C12504"/>
    <w:rsid w:val="00C12627"/>
    <w:rsid w:val="00C12D36"/>
    <w:rsid w:val="00C13B05"/>
    <w:rsid w:val="00C13D56"/>
    <w:rsid w:val="00C13EC0"/>
    <w:rsid w:val="00C14950"/>
    <w:rsid w:val="00C149AE"/>
    <w:rsid w:val="00C14F9D"/>
    <w:rsid w:val="00C15062"/>
    <w:rsid w:val="00C15A76"/>
    <w:rsid w:val="00C161A9"/>
    <w:rsid w:val="00C16CD6"/>
    <w:rsid w:val="00C17DE2"/>
    <w:rsid w:val="00C2015E"/>
    <w:rsid w:val="00C202B5"/>
    <w:rsid w:val="00C20A4F"/>
    <w:rsid w:val="00C20E73"/>
    <w:rsid w:val="00C210A8"/>
    <w:rsid w:val="00C2125C"/>
    <w:rsid w:val="00C21497"/>
    <w:rsid w:val="00C2214F"/>
    <w:rsid w:val="00C22357"/>
    <w:rsid w:val="00C22B5A"/>
    <w:rsid w:val="00C23014"/>
    <w:rsid w:val="00C230EA"/>
    <w:rsid w:val="00C23B4B"/>
    <w:rsid w:val="00C244C5"/>
    <w:rsid w:val="00C24669"/>
    <w:rsid w:val="00C24A5C"/>
    <w:rsid w:val="00C251B0"/>
    <w:rsid w:val="00C2550C"/>
    <w:rsid w:val="00C25C9C"/>
    <w:rsid w:val="00C26599"/>
    <w:rsid w:val="00C26D7B"/>
    <w:rsid w:val="00C26DE0"/>
    <w:rsid w:val="00C26E4F"/>
    <w:rsid w:val="00C26FEC"/>
    <w:rsid w:val="00C30736"/>
    <w:rsid w:val="00C3181C"/>
    <w:rsid w:val="00C323FA"/>
    <w:rsid w:val="00C32983"/>
    <w:rsid w:val="00C32A88"/>
    <w:rsid w:val="00C3372E"/>
    <w:rsid w:val="00C34402"/>
    <w:rsid w:val="00C34522"/>
    <w:rsid w:val="00C34AB3"/>
    <w:rsid w:val="00C34DB6"/>
    <w:rsid w:val="00C35893"/>
    <w:rsid w:val="00C359EA"/>
    <w:rsid w:val="00C35C4A"/>
    <w:rsid w:val="00C35CBA"/>
    <w:rsid w:val="00C35DA9"/>
    <w:rsid w:val="00C36162"/>
    <w:rsid w:val="00C3693F"/>
    <w:rsid w:val="00C36ABD"/>
    <w:rsid w:val="00C3700C"/>
    <w:rsid w:val="00C3711E"/>
    <w:rsid w:val="00C37685"/>
    <w:rsid w:val="00C37B9D"/>
    <w:rsid w:val="00C4057C"/>
    <w:rsid w:val="00C40FDB"/>
    <w:rsid w:val="00C4155B"/>
    <w:rsid w:val="00C41756"/>
    <w:rsid w:val="00C41B22"/>
    <w:rsid w:val="00C421C8"/>
    <w:rsid w:val="00C42217"/>
    <w:rsid w:val="00C4276B"/>
    <w:rsid w:val="00C427FD"/>
    <w:rsid w:val="00C43898"/>
    <w:rsid w:val="00C43F27"/>
    <w:rsid w:val="00C445E4"/>
    <w:rsid w:val="00C44BD1"/>
    <w:rsid w:val="00C45603"/>
    <w:rsid w:val="00C46735"/>
    <w:rsid w:val="00C47161"/>
    <w:rsid w:val="00C471A5"/>
    <w:rsid w:val="00C4738F"/>
    <w:rsid w:val="00C47642"/>
    <w:rsid w:val="00C47CEB"/>
    <w:rsid w:val="00C47EFB"/>
    <w:rsid w:val="00C51A3B"/>
    <w:rsid w:val="00C51AF2"/>
    <w:rsid w:val="00C51CC3"/>
    <w:rsid w:val="00C521BB"/>
    <w:rsid w:val="00C52253"/>
    <w:rsid w:val="00C5263A"/>
    <w:rsid w:val="00C5272C"/>
    <w:rsid w:val="00C52A74"/>
    <w:rsid w:val="00C52E05"/>
    <w:rsid w:val="00C53A4D"/>
    <w:rsid w:val="00C53DFF"/>
    <w:rsid w:val="00C53FF2"/>
    <w:rsid w:val="00C5416E"/>
    <w:rsid w:val="00C542A6"/>
    <w:rsid w:val="00C54378"/>
    <w:rsid w:val="00C549DF"/>
    <w:rsid w:val="00C54E60"/>
    <w:rsid w:val="00C54EF1"/>
    <w:rsid w:val="00C55149"/>
    <w:rsid w:val="00C55489"/>
    <w:rsid w:val="00C55BE7"/>
    <w:rsid w:val="00C55DD1"/>
    <w:rsid w:val="00C56765"/>
    <w:rsid w:val="00C57F5C"/>
    <w:rsid w:val="00C6010F"/>
    <w:rsid w:val="00C603FC"/>
    <w:rsid w:val="00C607FD"/>
    <w:rsid w:val="00C60986"/>
    <w:rsid w:val="00C60ACB"/>
    <w:rsid w:val="00C611BD"/>
    <w:rsid w:val="00C612E7"/>
    <w:rsid w:val="00C61B52"/>
    <w:rsid w:val="00C61E56"/>
    <w:rsid w:val="00C6391A"/>
    <w:rsid w:val="00C63E07"/>
    <w:rsid w:val="00C64027"/>
    <w:rsid w:val="00C642DA"/>
    <w:rsid w:val="00C646F9"/>
    <w:rsid w:val="00C673C6"/>
    <w:rsid w:val="00C6742B"/>
    <w:rsid w:val="00C7014B"/>
    <w:rsid w:val="00C7078E"/>
    <w:rsid w:val="00C710BB"/>
    <w:rsid w:val="00C714AF"/>
    <w:rsid w:val="00C718B9"/>
    <w:rsid w:val="00C71F0E"/>
    <w:rsid w:val="00C7261E"/>
    <w:rsid w:val="00C7279B"/>
    <w:rsid w:val="00C72DE3"/>
    <w:rsid w:val="00C73569"/>
    <w:rsid w:val="00C735BC"/>
    <w:rsid w:val="00C73AE7"/>
    <w:rsid w:val="00C74210"/>
    <w:rsid w:val="00C74E7E"/>
    <w:rsid w:val="00C752D6"/>
    <w:rsid w:val="00C75729"/>
    <w:rsid w:val="00C75820"/>
    <w:rsid w:val="00C764DF"/>
    <w:rsid w:val="00C76B11"/>
    <w:rsid w:val="00C76E1D"/>
    <w:rsid w:val="00C77441"/>
    <w:rsid w:val="00C77943"/>
    <w:rsid w:val="00C779CD"/>
    <w:rsid w:val="00C80384"/>
    <w:rsid w:val="00C806E7"/>
    <w:rsid w:val="00C8099D"/>
    <w:rsid w:val="00C81545"/>
    <w:rsid w:val="00C817E8"/>
    <w:rsid w:val="00C81FEB"/>
    <w:rsid w:val="00C82D3D"/>
    <w:rsid w:val="00C82E29"/>
    <w:rsid w:val="00C83593"/>
    <w:rsid w:val="00C835B3"/>
    <w:rsid w:val="00C8361A"/>
    <w:rsid w:val="00C8392D"/>
    <w:rsid w:val="00C83A92"/>
    <w:rsid w:val="00C83F56"/>
    <w:rsid w:val="00C84A5E"/>
    <w:rsid w:val="00C84A72"/>
    <w:rsid w:val="00C84B1E"/>
    <w:rsid w:val="00C84B24"/>
    <w:rsid w:val="00C84C8F"/>
    <w:rsid w:val="00C85428"/>
    <w:rsid w:val="00C85B54"/>
    <w:rsid w:val="00C86346"/>
    <w:rsid w:val="00C864A3"/>
    <w:rsid w:val="00C86AE1"/>
    <w:rsid w:val="00C87E4B"/>
    <w:rsid w:val="00C9074A"/>
    <w:rsid w:val="00C90C09"/>
    <w:rsid w:val="00C91173"/>
    <w:rsid w:val="00C914BA"/>
    <w:rsid w:val="00C9274C"/>
    <w:rsid w:val="00C92E84"/>
    <w:rsid w:val="00C930C8"/>
    <w:rsid w:val="00C93843"/>
    <w:rsid w:val="00C93AAD"/>
    <w:rsid w:val="00C93F2A"/>
    <w:rsid w:val="00C95281"/>
    <w:rsid w:val="00C95A24"/>
    <w:rsid w:val="00C96308"/>
    <w:rsid w:val="00C967CD"/>
    <w:rsid w:val="00C96A9C"/>
    <w:rsid w:val="00C96E7D"/>
    <w:rsid w:val="00C96FBB"/>
    <w:rsid w:val="00C97A85"/>
    <w:rsid w:val="00CA0591"/>
    <w:rsid w:val="00CA0EF5"/>
    <w:rsid w:val="00CA1824"/>
    <w:rsid w:val="00CA183A"/>
    <w:rsid w:val="00CA23BA"/>
    <w:rsid w:val="00CA2560"/>
    <w:rsid w:val="00CA360E"/>
    <w:rsid w:val="00CA4A23"/>
    <w:rsid w:val="00CA5097"/>
    <w:rsid w:val="00CA5EF4"/>
    <w:rsid w:val="00CA609F"/>
    <w:rsid w:val="00CA64DD"/>
    <w:rsid w:val="00CA699F"/>
    <w:rsid w:val="00CA725C"/>
    <w:rsid w:val="00CA7BF0"/>
    <w:rsid w:val="00CB0596"/>
    <w:rsid w:val="00CB0802"/>
    <w:rsid w:val="00CB0C55"/>
    <w:rsid w:val="00CB0CFC"/>
    <w:rsid w:val="00CB0D57"/>
    <w:rsid w:val="00CB1D82"/>
    <w:rsid w:val="00CB216A"/>
    <w:rsid w:val="00CB2694"/>
    <w:rsid w:val="00CB2826"/>
    <w:rsid w:val="00CB2D32"/>
    <w:rsid w:val="00CB2F67"/>
    <w:rsid w:val="00CB3918"/>
    <w:rsid w:val="00CB3CBB"/>
    <w:rsid w:val="00CB44EB"/>
    <w:rsid w:val="00CB4B5D"/>
    <w:rsid w:val="00CB5293"/>
    <w:rsid w:val="00CB531D"/>
    <w:rsid w:val="00CB63A1"/>
    <w:rsid w:val="00CB72BC"/>
    <w:rsid w:val="00CB73AF"/>
    <w:rsid w:val="00CB7C6B"/>
    <w:rsid w:val="00CB7E4F"/>
    <w:rsid w:val="00CC03B4"/>
    <w:rsid w:val="00CC07CF"/>
    <w:rsid w:val="00CC27B2"/>
    <w:rsid w:val="00CC32E1"/>
    <w:rsid w:val="00CC3E0A"/>
    <w:rsid w:val="00CC40D7"/>
    <w:rsid w:val="00CC458B"/>
    <w:rsid w:val="00CC45BE"/>
    <w:rsid w:val="00CC4700"/>
    <w:rsid w:val="00CC4873"/>
    <w:rsid w:val="00CC5B62"/>
    <w:rsid w:val="00CC5F3D"/>
    <w:rsid w:val="00CC61C2"/>
    <w:rsid w:val="00CC6898"/>
    <w:rsid w:val="00CC7127"/>
    <w:rsid w:val="00CC7946"/>
    <w:rsid w:val="00CD021C"/>
    <w:rsid w:val="00CD0E0A"/>
    <w:rsid w:val="00CD1321"/>
    <w:rsid w:val="00CD1BC5"/>
    <w:rsid w:val="00CD1E88"/>
    <w:rsid w:val="00CD2C29"/>
    <w:rsid w:val="00CD390E"/>
    <w:rsid w:val="00CD4485"/>
    <w:rsid w:val="00CD4513"/>
    <w:rsid w:val="00CD46EB"/>
    <w:rsid w:val="00CD4922"/>
    <w:rsid w:val="00CD5741"/>
    <w:rsid w:val="00CD5EF8"/>
    <w:rsid w:val="00CD6546"/>
    <w:rsid w:val="00CD6809"/>
    <w:rsid w:val="00CD7B39"/>
    <w:rsid w:val="00CE0127"/>
    <w:rsid w:val="00CE0378"/>
    <w:rsid w:val="00CE04B7"/>
    <w:rsid w:val="00CE0FEB"/>
    <w:rsid w:val="00CE1318"/>
    <w:rsid w:val="00CE13CB"/>
    <w:rsid w:val="00CE2896"/>
    <w:rsid w:val="00CE3319"/>
    <w:rsid w:val="00CE3ECB"/>
    <w:rsid w:val="00CE5961"/>
    <w:rsid w:val="00CE5DD0"/>
    <w:rsid w:val="00CE7CBB"/>
    <w:rsid w:val="00CF023C"/>
    <w:rsid w:val="00CF1BA0"/>
    <w:rsid w:val="00CF249F"/>
    <w:rsid w:val="00CF27ED"/>
    <w:rsid w:val="00CF2D73"/>
    <w:rsid w:val="00CF3CD7"/>
    <w:rsid w:val="00CF406C"/>
    <w:rsid w:val="00CF448F"/>
    <w:rsid w:val="00CF6A22"/>
    <w:rsid w:val="00CF6C17"/>
    <w:rsid w:val="00CF715D"/>
    <w:rsid w:val="00D0125C"/>
    <w:rsid w:val="00D0135C"/>
    <w:rsid w:val="00D01550"/>
    <w:rsid w:val="00D015DD"/>
    <w:rsid w:val="00D015EE"/>
    <w:rsid w:val="00D02040"/>
    <w:rsid w:val="00D02810"/>
    <w:rsid w:val="00D02DBA"/>
    <w:rsid w:val="00D038E1"/>
    <w:rsid w:val="00D04752"/>
    <w:rsid w:val="00D06900"/>
    <w:rsid w:val="00D06B94"/>
    <w:rsid w:val="00D076AB"/>
    <w:rsid w:val="00D07975"/>
    <w:rsid w:val="00D07A0A"/>
    <w:rsid w:val="00D103AC"/>
    <w:rsid w:val="00D1062B"/>
    <w:rsid w:val="00D11182"/>
    <w:rsid w:val="00D11558"/>
    <w:rsid w:val="00D117FA"/>
    <w:rsid w:val="00D11B5D"/>
    <w:rsid w:val="00D11DE9"/>
    <w:rsid w:val="00D12048"/>
    <w:rsid w:val="00D12C81"/>
    <w:rsid w:val="00D134AB"/>
    <w:rsid w:val="00D139E9"/>
    <w:rsid w:val="00D13AC9"/>
    <w:rsid w:val="00D13D54"/>
    <w:rsid w:val="00D1435B"/>
    <w:rsid w:val="00D14770"/>
    <w:rsid w:val="00D150C9"/>
    <w:rsid w:val="00D15CE2"/>
    <w:rsid w:val="00D15D73"/>
    <w:rsid w:val="00D168B4"/>
    <w:rsid w:val="00D16A48"/>
    <w:rsid w:val="00D17C42"/>
    <w:rsid w:val="00D17E20"/>
    <w:rsid w:val="00D206E6"/>
    <w:rsid w:val="00D20805"/>
    <w:rsid w:val="00D20E16"/>
    <w:rsid w:val="00D21429"/>
    <w:rsid w:val="00D21B7A"/>
    <w:rsid w:val="00D21BED"/>
    <w:rsid w:val="00D2291F"/>
    <w:rsid w:val="00D22B86"/>
    <w:rsid w:val="00D22D00"/>
    <w:rsid w:val="00D23AFA"/>
    <w:rsid w:val="00D2490E"/>
    <w:rsid w:val="00D256AD"/>
    <w:rsid w:val="00D2605B"/>
    <w:rsid w:val="00D260B0"/>
    <w:rsid w:val="00D26140"/>
    <w:rsid w:val="00D26454"/>
    <w:rsid w:val="00D27A12"/>
    <w:rsid w:val="00D30A83"/>
    <w:rsid w:val="00D31F5C"/>
    <w:rsid w:val="00D31F69"/>
    <w:rsid w:val="00D32A2B"/>
    <w:rsid w:val="00D32BA8"/>
    <w:rsid w:val="00D32F33"/>
    <w:rsid w:val="00D33405"/>
    <w:rsid w:val="00D3348A"/>
    <w:rsid w:val="00D33629"/>
    <w:rsid w:val="00D33B1D"/>
    <w:rsid w:val="00D33D85"/>
    <w:rsid w:val="00D34360"/>
    <w:rsid w:val="00D34B1B"/>
    <w:rsid w:val="00D34B4E"/>
    <w:rsid w:val="00D358FF"/>
    <w:rsid w:val="00D35AF5"/>
    <w:rsid w:val="00D36BF9"/>
    <w:rsid w:val="00D36C38"/>
    <w:rsid w:val="00D36C54"/>
    <w:rsid w:val="00D36DAB"/>
    <w:rsid w:val="00D372EC"/>
    <w:rsid w:val="00D3741A"/>
    <w:rsid w:val="00D37FAF"/>
    <w:rsid w:val="00D4010B"/>
    <w:rsid w:val="00D40C0F"/>
    <w:rsid w:val="00D40D28"/>
    <w:rsid w:val="00D40DB8"/>
    <w:rsid w:val="00D40DE4"/>
    <w:rsid w:val="00D40FDE"/>
    <w:rsid w:val="00D413D4"/>
    <w:rsid w:val="00D41474"/>
    <w:rsid w:val="00D4159A"/>
    <w:rsid w:val="00D41D4F"/>
    <w:rsid w:val="00D4225C"/>
    <w:rsid w:val="00D4275C"/>
    <w:rsid w:val="00D428F3"/>
    <w:rsid w:val="00D4374B"/>
    <w:rsid w:val="00D4399A"/>
    <w:rsid w:val="00D43E71"/>
    <w:rsid w:val="00D43F15"/>
    <w:rsid w:val="00D44496"/>
    <w:rsid w:val="00D448AC"/>
    <w:rsid w:val="00D44FCB"/>
    <w:rsid w:val="00D453E4"/>
    <w:rsid w:val="00D4577E"/>
    <w:rsid w:val="00D45ECA"/>
    <w:rsid w:val="00D46138"/>
    <w:rsid w:val="00D46AAB"/>
    <w:rsid w:val="00D46F40"/>
    <w:rsid w:val="00D4726C"/>
    <w:rsid w:val="00D4796B"/>
    <w:rsid w:val="00D47D3B"/>
    <w:rsid w:val="00D50312"/>
    <w:rsid w:val="00D506D1"/>
    <w:rsid w:val="00D5131E"/>
    <w:rsid w:val="00D513CF"/>
    <w:rsid w:val="00D51FFC"/>
    <w:rsid w:val="00D521CC"/>
    <w:rsid w:val="00D52A9A"/>
    <w:rsid w:val="00D53206"/>
    <w:rsid w:val="00D532F8"/>
    <w:rsid w:val="00D53AEB"/>
    <w:rsid w:val="00D55223"/>
    <w:rsid w:val="00D552AC"/>
    <w:rsid w:val="00D559F6"/>
    <w:rsid w:val="00D55BA6"/>
    <w:rsid w:val="00D55D7F"/>
    <w:rsid w:val="00D5609A"/>
    <w:rsid w:val="00D56511"/>
    <w:rsid w:val="00D5657D"/>
    <w:rsid w:val="00D56A91"/>
    <w:rsid w:val="00D572E2"/>
    <w:rsid w:val="00D573DB"/>
    <w:rsid w:val="00D5798F"/>
    <w:rsid w:val="00D57E6A"/>
    <w:rsid w:val="00D602CC"/>
    <w:rsid w:val="00D60B0B"/>
    <w:rsid w:val="00D61B91"/>
    <w:rsid w:val="00D621B7"/>
    <w:rsid w:val="00D623B7"/>
    <w:rsid w:val="00D6301E"/>
    <w:rsid w:val="00D632DC"/>
    <w:rsid w:val="00D63905"/>
    <w:rsid w:val="00D640E4"/>
    <w:rsid w:val="00D641BF"/>
    <w:rsid w:val="00D647BD"/>
    <w:rsid w:val="00D658B1"/>
    <w:rsid w:val="00D6645F"/>
    <w:rsid w:val="00D6730B"/>
    <w:rsid w:val="00D67374"/>
    <w:rsid w:val="00D67742"/>
    <w:rsid w:val="00D67899"/>
    <w:rsid w:val="00D678F9"/>
    <w:rsid w:val="00D6796A"/>
    <w:rsid w:val="00D67B0B"/>
    <w:rsid w:val="00D67EDF"/>
    <w:rsid w:val="00D70CCD"/>
    <w:rsid w:val="00D70D36"/>
    <w:rsid w:val="00D71EDC"/>
    <w:rsid w:val="00D72307"/>
    <w:rsid w:val="00D7275B"/>
    <w:rsid w:val="00D7316A"/>
    <w:rsid w:val="00D7437C"/>
    <w:rsid w:val="00D74A26"/>
    <w:rsid w:val="00D76D1C"/>
    <w:rsid w:val="00D76F17"/>
    <w:rsid w:val="00D77202"/>
    <w:rsid w:val="00D77316"/>
    <w:rsid w:val="00D77E7C"/>
    <w:rsid w:val="00D802CD"/>
    <w:rsid w:val="00D80588"/>
    <w:rsid w:val="00D80E27"/>
    <w:rsid w:val="00D80E37"/>
    <w:rsid w:val="00D81414"/>
    <w:rsid w:val="00D81B08"/>
    <w:rsid w:val="00D82167"/>
    <w:rsid w:val="00D82250"/>
    <w:rsid w:val="00D8269C"/>
    <w:rsid w:val="00D82B11"/>
    <w:rsid w:val="00D83157"/>
    <w:rsid w:val="00D83683"/>
    <w:rsid w:val="00D83922"/>
    <w:rsid w:val="00D83B5D"/>
    <w:rsid w:val="00D83CBB"/>
    <w:rsid w:val="00D84BFE"/>
    <w:rsid w:val="00D86114"/>
    <w:rsid w:val="00D87209"/>
    <w:rsid w:val="00D87C68"/>
    <w:rsid w:val="00D9043B"/>
    <w:rsid w:val="00D913A9"/>
    <w:rsid w:val="00D91D2B"/>
    <w:rsid w:val="00D91EC7"/>
    <w:rsid w:val="00D922DA"/>
    <w:rsid w:val="00D9354C"/>
    <w:rsid w:val="00D938C9"/>
    <w:rsid w:val="00D9451A"/>
    <w:rsid w:val="00D94866"/>
    <w:rsid w:val="00D94B33"/>
    <w:rsid w:val="00D94B58"/>
    <w:rsid w:val="00D9534E"/>
    <w:rsid w:val="00D965E2"/>
    <w:rsid w:val="00D97673"/>
    <w:rsid w:val="00D97D20"/>
    <w:rsid w:val="00DA03C1"/>
    <w:rsid w:val="00DA0763"/>
    <w:rsid w:val="00DA085F"/>
    <w:rsid w:val="00DA16DD"/>
    <w:rsid w:val="00DA18C3"/>
    <w:rsid w:val="00DA18EF"/>
    <w:rsid w:val="00DA1B85"/>
    <w:rsid w:val="00DA1C4D"/>
    <w:rsid w:val="00DA23FE"/>
    <w:rsid w:val="00DA2E89"/>
    <w:rsid w:val="00DA3F7B"/>
    <w:rsid w:val="00DA4F23"/>
    <w:rsid w:val="00DA5B1C"/>
    <w:rsid w:val="00DA5D4E"/>
    <w:rsid w:val="00DA5FF1"/>
    <w:rsid w:val="00DA62B8"/>
    <w:rsid w:val="00DA6A2A"/>
    <w:rsid w:val="00DA6C0F"/>
    <w:rsid w:val="00DA7596"/>
    <w:rsid w:val="00DA7B16"/>
    <w:rsid w:val="00DA7C53"/>
    <w:rsid w:val="00DB18FA"/>
    <w:rsid w:val="00DB29F9"/>
    <w:rsid w:val="00DB2CD1"/>
    <w:rsid w:val="00DB2E99"/>
    <w:rsid w:val="00DB3247"/>
    <w:rsid w:val="00DB3A3E"/>
    <w:rsid w:val="00DB4A97"/>
    <w:rsid w:val="00DB4EB3"/>
    <w:rsid w:val="00DB520F"/>
    <w:rsid w:val="00DB5232"/>
    <w:rsid w:val="00DB53E9"/>
    <w:rsid w:val="00DB54EF"/>
    <w:rsid w:val="00DB5ABB"/>
    <w:rsid w:val="00DB5D51"/>
    <w:rsid w:val="00DB604A"/>
    <w:rsid w:val="00DB739C"/>
    <w:rsid w:val="00DB752E"/>
    <w:rsid w:val="00DB7749"/>
    <w:rsid w:val="00DB7D22"/>
    <w:rsid w:val="00DB7E90"/>
    <w:rsid w:val="00DB7F61"/>
    <w:rsid w:val="00DC023A"/>
    <w:rsid w:val="00DC02F7"/>
    <w:rsid w:val="00DC05C1"/>
    <w:rsid w:val="00DC098D"/>
    <w:rsid w:val="00DC0AF7"/>
    <w:rsid w:val="00DC0C85"/>
    <w:rsid w:val="00DC12EC"/>
    <w:rsid w:val="00DC21E5"/>
    <w:rsid w:val="00DC3A48"/>
    <w:rsid w:val="00DC3BA0"/>
    <w:rsid w:val="00DC5ABD"/>
    <w:rsid w:val="00DC65FA"/>
    <w:rsid w:val="00DC6A43"/>
    <w:rsid w:val="00DC6DA9"/>
    <w:rsid w:val="00DC7287"/>
    <w:rsid w:val="00DC73D0"/>
    <w:rsid w:val="00DC7D9D"/>
    <w:rsid w:val="00DC7EE1"/>
    <w:rsid w:val="00DD1C24"/>
    <w:rsid w:val="00DD2826"/>
    <w:rsid w:val="00DD335F"/>
    <w:rsid w:val="00DD358F"/>
    <w:rsid w:val="00DD3648"/>
    <w:rsid w:val="00DD4837"/>
    <w:rsid w:val="00DD4959"/>
    <w:rsid w:val="00DD5425"/>
    <w:rsid w:val="00DD5CB3"/>
    <w:rsid w:val="00DD606D"/>
    <w:rsid w:val="00DD664C"/>
    <w:rsid w:val="00DD6917"/>
    <w:rsid w:val="00DD71F7"/>
    <w:rsid w:val="00DD7219"/>
    <w:rsid w:val="00DD7BBC"/>
    <w:rsid w:val="00DD7C45"/>
    <w:rsid w:val="00DE0086"/>
    <w:rsid w:val="00DE026A"/>
    <w:rsid w:val="00DE08BC"/>
    <w:rsid w:val="00DE0C76"/>
    <w:rsid w:val="00DE0D93"/>
    <w:rsid w:val="00DE1239"/>
    <w:rsid w:val="00DE1C81"/>
    <w:rsid w:val="00DE2332"/>
    <w:rsid w:val="00DE3244"/>
    <w:rsid w:val="00DE355F"/>
    <w:rsid w:val="00DE399D"/>
    <w:rsid w:val="00DE3A5F"/>
    <w:rsid w:val="00DE3B30"/>
    <w:rsid w:val="00DE41FF"/>
    <w:rsid w:val="00DE49A4"/>
    <w:rsid w:val="00DE4C50"/>
    <w:rsid w:val="00DE503F"/>
    <w:rsid w:val="00DE5A11"/>
    <w:rsid w:val="00DE5DDD"/>
    <w:rsid w:val="00DE7029"/>
    <w:rsid w:val="00DE761A"/>
    <w:rsid w:val="00DE77A3"/>
    <w:rsid w:val="00DE7948"/>
    <w:rsid w:val="00DF029E"/>
    <w:rsid w:val="00DF0DED"/>
    <w:rsid w:val="00DF0EAE"/>
    <w:rsid w:val="00DF1C8A"/>
    <w:rsid w:val="00DF3132"/>
    <w:rsid w:val="00DF31A3"/>
    <w:rsid w:val="00DF4B29"/>
    <w:rsid w:val="00DF6CA2"/>
    <w:rsid w:val="00DF7D45"/>
    <w:rsid w:val="00E01585"/>
    <w:rsid w:val="00E0161B"/>
    <w:rsid w:val="00E02896"/>
    <w:rsid w:val="00E029BA"/>
    <w:rsid w:val="00E02B05"/>
    <w:rsid w:val="00E02DA3"/>
    <w:rsid w:val="00E032EE"/>
    <w:rsid w:val="00E03B83"/>
    <w:rsid w:val="00E03D52"/>
    <w:rsid w:val="00E03FC0"/>
    <w:rsid w:val="00E052EA"/>
    <w:rsid w:val="00E05714"/>
    <w:rsid w:val="00E058CD"/>
    <w:rsid w:val="00E05BFA"/>
    <w:rsid w:val="00E062CD"/>
    <w:rsid w:val="00E0643C"/>
    <w:rsid w:val="00E06A7B"/>
    <w:rsid w:val="00E06B49"/>
    <w:rsid w:val="00E06D73"/>
    <w:rsid w:val="00E078E8"/>
    <w:rsid w:val="00E102E8"/>
    <w:rsid w:val="00E10CAB"/>
    <w:rsid w:val="00E13996"/>
    <w:rsid w:val="00E13FA2"/>
    <w:rsid w:val="00E140FF"/>
    <w:rsid w:val="00E1433A"/>
    <w:rsid w:val="00E15424"/>
    <w:rsid w:val="00E158FE"/>
    <w:rsid w:val="00E161E9"/>
    <w:rsid w:val="00E17661"/>
    <w:rsid w:val="00E17698"/>
    <w:rsid w:val="00E17902"/>
    <w:rsid w:val="00E17B73"/>
    <w:rsid w:val="00E201F6"/>
    <w:rsid w:val="00E204F7"/>
    <w:rsid w:val="00E21DF2"/>
    <w:rsid w:val="00E21FDB"/>
    <w:rsid w:val="00E22883"/>
    <w:rsid w:val="00E228D9"/>
    <w:rsid w:val="00E22E93"/>
    <w:rsid w:val="00E239A6"/>
    <w:rsid w:val="00E24802"/>
    <w:rsid w:val="00E25202"/>
    <w:rsid w:val="00E25679"/>
    <w:rsid w:val="00E25BFE"/>
    <w:rsid w:val="00E2721B"/>
    <w:rsid w:val="00E2728A"/>
    <w:rsid w:val="00E3086E"/>
    <w:rsid w:val="00E30BF7"/>
    <w:rsid w:val="00E30C04"/>
    <w:rsid w:val="00E30D71"/>
    <w:rsid w:val="00E31932"/>
    <w:rsid w:val="00E31EF1"/>
    <w:rsid w:val="00E33011"/>
    <w:rsid w:val="00E33DCE"/>
    <w:rsid w:val="00E3403A"/>
    <w:rsid w:val="00E35834"/>
    <w:rsid w:val="00E35EE1"/>
    <w:rsid w:val="00E35F5F"/>
    <w:rsid w:val="00E362F0"/>
    <w:rsid w:val="00E36405"/>
    <w:rsid w:val="00E374D5"/>
    <w:rsid w:val="00E40105"/>
    <w:rsid w:val="00E4066A"/>
    <w:rsid w:val="00E422F3"/>
    <w:rsid w:val="00E424A0"/>
    <w:rsid w:val="00E4283E"/>
    <w:rsid w:val="00E4316D"/>
    <w:rsid w:val="00E4354E"/>
    <w:rsid w:val="00E435A6"/>
    <w:rsid w:val="00E4387E"/>
    <w:rsid w:val="00E43E88"/>
    <w:rsid w:val="00E446E5"/>
    <w:rsid w:val="00E44ABF"/>
    <w:rsid w:val="00E44CF3"/>
    <w:rsid w:val="00E454AD"/>
    <w:rsid w:val="00E47226"/>
    <w:rsid w:val="00E47C5F"/>
    <w:rsid w:val="00E5081C"/>
    <w:rsid w:val="00E508BF"/>
    <w:rsid w:val="00E50A63"/>
    <w:rsid w:val="00E50E59"/>
    <w:rsid w:val="00E520BA"/>
    <w:rsid w:val="00E523FE"/>
    <w:rsid w:val="00E528EA"/>
    <w:rsid w:val="00E529B1"/>
    <w:rsid w:val="00E53144"/>
    <w:rsid w:val="00E535A8"/>
    <w:rsid w:val="00E53B67"/>
    <w:rsid w:val="00E5620C"/>
    <w:rsid w:val="00E56319"/>
    <w:rsid w:val="00E57859"/>
    <w:rsid w:val="00E57E1A"/>
    <w:rsid w:val="00E57F98"/>
    <w:rsid w:val="00E6060B"/>
    <w:rsid w:val="00E60F5E"/>
    <w:rsid w:val="00E61142"/>
    <w:rsid w:val="00E61BB0"/>
    <w:rsid w:val="00E61EC8"/>
    <w:rsid w:val="00E622ED"/>
    <w:rsid w:val="00E636F5"/>
    <w:rsid w:val="00E636FD"/>
    <w:rsid w:val="00E6378B"/>
    <w:rsid w:val="00E64617"/>
    <w:rsid w:val="00E6542B"/>
    <w:rsid w:val="00E6548E"/>
    <w:rsid w:val="00E663CF"/>
    <w:rsid w:val="00E66418"/>
    <w:rsid w:val="00E66D16"/>
    <w:rsid w:val="00E673C1"/>
    <w:rsid w:val="00E674F1"/>
    <w:rsid w:val="00E6763F"/>
    <w:rsid w:val="00E70037"/>
    <w:rsid w:val="00E70976"/>
    <w:rsid w:val="00E70A84"/>
    <w:rsid w:val="00E71356"/>
    <w:rsid w:val="00E7161D"/>
    <w:rsid w:val="00E72BEB"/>
    <w:rsid w:val="00E73712"/>
    <w:rsid w:val="00E73AA5"/>
    <w:rsid w:val="00E73EAE"/>
    <w:rsid w:val="00E74254"/>
    <w:rsid w:val="00E74955"/>
    <w:rsid w:val="00E75031"/>
    <w:rsid w:val="00E7562E"/>
    <w:rsid w:val="00E760B9"/>
    <w:rsid w:val="00E7629E"/>
    <w:rsid w:val="00E762B5"/>
    <w:rsid w:val="00E763A2"/>
    <w:rsid w:val="00E76DD1"/>
    <w:rsid w:val="00E7708D"/>
    <w:rsid w:val="00E77DDA"/>
    <w:rsid w:val="00E77E05"/>
    <w:rsid w:val="00E80450"/>
    <w:rsid w:val="00E80540"/>
    <w:rsid w:val="00E805B8"/>
    <w:rsid w:val="00E80753"/>
    <w:rsid w:val="00E80B36"/>
    <w:rsid w:val="00E81025"/>
    <w:rsid w:val="00E8108A"/>
    <w:rsid w:val="00E810C1"/>
    <w:rsid w:val="00E8130A"/>
    <w:rsid w:val="00E81A0C"/>
    <w:rsid w:val="00E81B3F"/>
    <w:rsid w:val="00E8265E"/>
    <w:rsid w:val="00E82E8A"/>
    <w:rsid w:val="00E83357"/>
    <w:rsid w:val="00E83405"/>
    <w:rsid w:val="00E838D1"/>
    <w:rsid w:val="00E845B3"/>
    <w:rsid w:val="00E847EA"/>
    <w:rsid w:val="00E84A0B"/>
    <w:rsid w:val="00E84D86"/>
    <w:rsid w:val="00E85646"/>
    <w:rsid w:val="00E8576F"/>
    <w:rsid w:val="00E86AC3"/>
    <w:rsid w:val="00E87076"/>
    <w:rsid w:val="00E874A6"/>
    <w:rsid w:val="00E9026D"/>
    <w:rsid w:val="00E909ED"/>
    <w:rsid w:val="00E90A3E"/>
    <w:rsid w:val="00E916FE"/>
    <w:rsid w:val="00E91EF9"/>
    <w:rsid w:val="00E93DC1"/>
    <w:rsid w:val="00E947C4"/>
    <w:rsid w:val="00E95FC3"/>
    <w:rsid w:val="00E96458"/>
    <w:rsid w:val="00E964E6"/>
    <w:rsid w:val="00E96B61"/>
    <w:rsid w:val="00E96F3A"/>
    <w:rsid w:val="00E96F6A"/>
    <w:rsid w:val="00E973BB"/>
    <w:rsid w:val="00E97CD2"/>
    <w:rsid w:val="00E97E3B"/>
    <w:rsid w:val="00EA02AB"/>
    <w:rsid w:val="00EA24A7"/>
    <w:rsid w:val="00EA2794"/>
    <w:rsid w:val="00EA2E48"/>
    <w:rsid w:val="00EA2FE8"/>
    <w:rsid w:val="00EA3510"/>
    <w:rsid w:val="00EA3D57"/>
    <w:rsid w:val="00EA4281"/>
    <w:rsid w:val="00EA451B"/>
    <w:rsid w:val="00EA4691"/>
    <w:rsid w:val="00EA4C0A"/>
    <w:rsid w:val="00EA4D2E"/>
    <w:rsid w:val="00EA4E95"/>
    <w:rsid w:val="00EA5469"/>
    <w:rsid w:val="00EA6198"/>
    <w:rsid w:val="00EA6699"/>
    <w:rsid w:val="00EA70C5"/>
    <w:rsid w:val="00EA7DCC"/>
    <w:rsid w:val="00EB03A7"/>
    <w:rsid w:val="00EB064F"/>
    <w:rsid w:val="00EB06A7"/>
    <w:rsid w:val="00EB089A"/>
    <w:rsid w:val="00EB286F"/>
    <w:rsid w:val="00EB2D3E"/>
    <w:rsid w:val="00EB37A2"/>
    <w:rsid w:val="00EB59B9"/>
    <w:rsid w:val="00EB5C9E"/>
    <w:rsid w:val="00EB6DF5"/>
    <w:rsid w:val="00EB6FBE"/>
    <w:rsid w:val="00EB72F5"/>
    <w:rsid w:val="00EB748E"/>
    <w:rsid w:val="00EB7827"/>
    <w:rsid w:val="00EC097A"/>
    <w:rsid w:val="00EC0A30"/>
    <w:rsid w:val="00EC191D"/>
    <w:rsid w:val="00EC2A37"/>
    <w:rsid w:val="00EC3410"/>
    <w:rsid w:val="00EC39DA"/>
    <w:rsid w:val="00EC3BCE"/>
    <w:rsid w:val="00EC3E02"/>
    <w:rsid w:val="00EC3E9C"/>
    <w:rsid w:val="00EC4263"/>
    <w:rsid w:val="00EC489D"/>
    <w:rsid w:val="00EC5485"/>
    <w:rsid w:val="00EC58B4"/>
    <w:rsid w:val="00EC59C1"/>
    <w:rsid w:val="00EC5AF4"/>
    <w:rsid w:val="00EC5B04"/>
    <w:rsid w:val="00EC7207"/>
    <w:rsid w:val="00ED0560"/>
    <w:rsid w:val="00ED0AE2"/>
    <w:rsid w:val="00ED1526"/>
    <w:rsid w:val="00ED1C29"/>
    <w:rsid w:val="00ED1F7B"/>
    <w:rsid w:val="00ED2C72"/>
    <w:rsid w:val="00ED300D"/>
    <w:rsid w:val="00ED306B"/>
    <w:rsid w:val="00ED35F9"/>
    <w:rsid w:val="00ED3719"/>
    <w:rsid w:val="00ED3A0A"/>
    <w:rsid w:val="00ED3EE1"/>
    <w:rsid w:val="00ED3F20"/>
    <w:rsid w:val="00ED43FA"/>
    <w:rsid w:val="00ED4D52"/>
    <w:rsid w:val="00ED501C"/>
    <w:rsid w:val="00ED5F9B"/>
    <w:rsid w:val="00ED606E"/>
    <w:rsid w:val="00ED628E"/>
    <w:rsid w:val="00ED7742"/>
    <w:rsid w:val="00EE0719"/>
    <w:rsid w:val="00EE1A48"/>
    <w:rsid w:val="00EE1A64"/>
    <w:rsid w:val="00EE24E8"/>
    <w:rsid w:val="00EE25DD"/>
    <w:rsid w:val="00EE3137"/>
    <w:rsid w:val="00EE34C5"/>
    <w:rsid w:val="00EE3FDC"/>
    <w:rsid w:val="00EE4651"/>
    <w:rsid w:val="00EE4807"/>
    <w:rsid w:val="00EE498F"/>
    <w:rsid w:val="00EE4AD3"/>
    <w:rsid w:val="00EE4FBD"/>
    <w:rsid w:val="00EE581B"/>
    <w:rsid w:val="00EE58B3"/>
    <w:rsid w:val="00EE6586"/>
    <w:rsid w:val="00EE6F28"/>
    <w:rsid w:val="00EE72A7"/>
    <w:rsid w:val="00EE77A8"/>
    <w:rsid w:val="00EE77F5"/>
    <w:rsid w:val="00EE7871"/>
    <w:rsid w:val="00EE7B7B"/>
    <w:rsid w:val="00EE7E9F"/>
    <w:rsid w:val="00EF057B"/>
    <w:rsid w:val="00EF0F81"/>
    <w:rsid w:val="00EF2ABF"/>
    <w:rsid w:val="00EF347E"/>
    <w:rsid w:val="00EF3F8F"/>
    <w:rsid w:val="00EF4134"/>
    <w:rsid w:val="00EF4296"/>
    <w:rsid w:val="00EF42DF"/>
    <w:rsid w:val="00EF489B"/>
    <w:rsid w:val="00EF55D0"/>
    <w:rsid w:val="00EF5BAA"/>
    <w:rsid w:val="00EF612A"/>
    <w:rsid w:val="00EF6275"/>
    <w:rsid w:val="00EF630B"/>
    <w:rsid w:val="00EF6525"/>
    <w:rsid w:val="00EF65F4"/>
    <w:rsid w:val="00EF6C84"/>
    <w:rsid w:val="00EF73C5"/>
    <w:rsid w:val="00EF7FD6"/>
    <w:rsid w:val="00F010FA"/>
    <w:rsid w:val="00F01114"/>
    <w:rsid w:val="00F01D04"/>
    <w:rsid w:val="00F02921"/>
    <w:rsid w:val="00F03202"/>
    <w:rsid w:val="00F036EC"/>
    <w:rsid w:val="00F0482E"/>
    <w:rsid w:val="00F063FA"/>
    <w:rsid w:val="00F06414"/>
    <w:rsid w:val="00F06823"/>
    <w:rsid w:val="00F06F0F"/>
    <w:rsid w:val="00F071EB"/>
    <w:rsid w:val="00F1055C"/>
    <w:rsid w:val="00F10DF3"/>
    <w:rsid w:val="00F11201"/>
    <w:rsid w:val="00F1170E"/>
    <w:rsid w:val="00F119EB"/>
    <w:rsid w:val="00F12A0D"/>
    <w:rsid w:val="00F13834"/>
    <w:rsid w:val="00F1395B"/>
    <w:rsid w:val="00F142C6"/>
    <w:rsid w:val="00F147B8"/>
    <w:rsid w:val="00F14CF0"/>
    <w:rsid w:val="00F14D21"/>
    <w:rsid w:val="00F159ED"/>
    <w:rsid w:val="00F16504"/>
    <w:rsid w:val="00F17B51"/>
    <w:rsid w:val="00F200D4"/>
    <w:rsid w:val="00F20A6C"/>
    <w:rsid w:val="00F214E2"/>
    <w:rsid w:val="00F21533"/>
    <w:rsid w:val="00F220D8"/>
    <w:rsid w:val="00F23D49"/>
    <w:rsid w:val="00F2431B"/>
    <w:rsid w:val="00F245A3"/>
    <w:rsid w:val="00F25354"/>
    <w:rsid w:val="00F259E8"/>
    <w:rsid w:val="00F25B69"/>
    <w:rsid w:val="00F26E4E"/>
    <w:rsid w:val="00F27069"/>
    <w:rsid w:val="00F27371"/>
    <w:rsid w:val="00F27C94"/>
    <w:rsid w:val="00F30150"/>
    <w:rsid w:val="00F30B3C"/>
    <w:rsid w:val="00F30DC4"/>
    <w:rsid w:val="00F32236"/>
    <w:rsid w:val="00F3239C"/>
    <w:rsid w:val="00F32B0F"/>
    <w:rsid w:val="00F32D2C"/>
    <w:rsid w:val="00F32F78"/>
    <w:rsid w:val="00F3335A"/>
    <w:rsid w:val="00F34244"/>
    <w:rsid w:val="00F344FE"/>
    <w:rsid w:val="00F3465B"/>
    <w:rsid w:val="00F358EA"/>
    <w:rsid w:val="00F3650D"/>
    <w:rsid w:val="00F36DC7"/>
    <w:rsid w:val="00F36F3A"/>
    <w:rsid w:val="00F3701B"/>
    <w:rsid w:val="00F3734C"/>
    <w:rsid w:val="00F4004A"/>
    <w:rsid w:val="00F40803"/>
    <w:rsid w:val="00F40D17"/>
    <w:rsid w:val="00F410E9"/>
    <w:rsid w:val="00F41D72"/>
    <w:rsid w:val="00F41F6F"/>
    <w:rsid w:val="00F42734"/>
    <w:rsid w:val="00F427AA"/>
    <w:rsid w:val="00F42A4A"/>
    <w:rsid w:val="00F42AA7"/>
    <w:rsid w:val="00F4355C"/>
    <w:rsid w:val="00F43604"/>
    <w:rsid w:val="00F43801"/>
    <w:rsid w:val="00F43876"/>
    <w:rsid w:val="00F43D21"/>
    <w:rsid w:val="00F43D8F"/>
    <w:rsid w:val="00F44D28"/>
    <w:rsid w:val="00F45BCE"/>
    <w:rsid w:val="00F45F36"/>
    <w:rsid w:val="00F46D83"/>
    <w:rsid w:val="00F46E8B"/>
    <w:rsid w:val="00F47EFA"/>
    <w:rsid w:val="00F50B85"/>
    <w:rsid w:val="00F520AA"/>
    <w:rsid w:val="00F5216D"/>
    <w:rsid w:val="00F521CA"/>
    <w:rsid w:val="00F52A12"/>
    <w:rsid w:val="00F53A2C"/>
    <w:rsid w:val="00F53ADE"/>
    <w:rsid w:val="00F53F7B"/>
    <w:rsid w:val="00F544E7"/>
    <w:rsid w:val="00F54609"/>
    <w:rsid w:val="00F5481E"/>
    <w:rsid w:val="00F559BE"/>
    <w:rsid w:val="00F55F9F"/>
    <w:rsid w:val="00F56066"/>
    <w:rsid w:val="00F5694C"/>
    <w:rsid w:val="00F6019C"/>
    <w:rsid w:val="00F6159C"/>
    <w:rsid w:val="00F6199B"/>
    <w:rsid w:val="00F64768"/>
    <w:rsid w:val="00F64C89"/>
    <w:rsid w:val="00F655E0"/>
    <w:rsid w:val="00F65930"/>
    <w:rsid w:val="00F65B6C"/>
    <w:rsid w:val="00F66F6B"/>
    <w:rsid w:val="00F676A2"/>
    <w:rsid w:val="00F67746"/>
    <w:rsid w:val="00F6792E"/>
    <w:rsid w:val="00F701F9"/>
    <w:rsid w:val="00F71A7B"/>
    <w:rsid w:val="00F71A93"/>
    <w:rsid w:val="00F729BB"/>
    <w:rsid w:val="00F72F07"/>
    <w:rsid w:val="00F740B8"/>
    <w:rsid w:val="00F747F1"/>
    <w:rsid w:val="00F74C3A"/>
    <w:rsid w:val="00F76DDD"/>
    <w:rsid w:val="00F771D6"/>
    <w:rsid w:val="00F77C3F"/>
    <w:rsid w:val="00F77D11"/>
    <w:rsid w:val="00F77E8B"/>
    <w:rsid w:val="00F77ED2"/>
    <w:rsid w:val="00F80AA3"/>
    <w:rsid w:val="00F81848"/>
    <w:rsid w:val="00F818DC"/>
    <w:rsid w:val="00F8203F"/>
    <w:rsid w:val="00F82340"/>
    <w:rsid w:val="00F838C4"/>
    <w:rsid w:val="00F83ABA"/>
    <w:rsid w:val="00F840EB"/>
    <w:rsid w:val="00F848E0"/>
    <w:rsid w:val="00F84EF6"/>
    <w:rsid w:val="00F84F42"/>
    <w:rsid w:val="00F86017"/>
    <w:rsid w:val="00F865F0"/>
    <w:rsid w:val="00F86FCD"/>
    <w:rsid w:val="00F903D4"/>
    <w:rsid w:val="00F9072E"/>
    <w:rsid w:val="00F90966"/>
    <w:rsid w:val="00F915EF"/>
    <w:rsid w:val="00F923C8"/>
    <w:rsid w:val="00F924CC"/>
    <w:rsid w:val="00F92AFA"/>
    <w:rsid w:val="00F93DBB"/>
    <w:rsid w:val="00F94CBD"/>
    <w:rsid w:val="00F94FC6"/>
    <w:rsid w:val="00F957DF"/>
    <w:rsid w:val="00F968C2"/>
    <w:rsid w:val="00F96C9D"/>
    <w:rsid w:val="00F96CA9"/>
    <w:rsid w:val="00F96D0A"/>
    <w:rsid w:val="00F96D9E"/>
    <w:rsid w:val="00F97642"/>
    <w:rsid w:val="00F977ED"/>
    <w:rsid w:val="00FA062C"/>
    <w:rsid w:val="00FA124F"/>
    <w:rsid w:val="00FA146A"/>
    <w:rsid w:val="00FA1823"/>
    <w:rsid w:val="00FA1DF2"/>
    <w:rsid w:val="00FA409D"/>
    <w:rsid w:val="00FA4BC8"/>
    <w:rsid w:val="00FA5148"/>
    <w:rsid w:val="00FA5394"/>
    <w:rsid w:val="00FA55FC"/>
    <w:rsid w:val="00FA5F80"/>
    <w:rsid w:val="00FA6278"/>
    <w:rsid w:val="00FA6D5E"/>
    <w:rsid w:val="00FA7079"/>
    <w:rsid w:val="00FB0122"/>
    <w:rsid w:val="00FB067A"/>
    <w:rsid w:val="00FB0D46"/>
    <w:rsid w:val="00FB0DB2"/>
    <w:rsid w:val="00FB1451"/>
    <w:rsid w:val="00FB158F"/>
    <w:rsid w:val="00FB18F1"/>
    <w:rsid w:val="00FB27A6"/>
    <w:rsid w:val="00FB58DD"/>
    <w:rsid w:val="00FB6622"/>
    <w:rsid w:val="00FB76AB"/>
    <w:rsid w:val="00FB7C59"/>
    <w:rsid w:val="00FC0458"/>
    <w:rsid w:val="00FC05B4"/>
    <w:rsid w:val="00FC0FE9"/>
    <w:rsid w:val="00FC17EC"/>
    <w:rsid w:val="00FC1F80"/>
    <w:rsid w:val="00FC2C90"/>
    <w:rsid w:val="00FC461E"/>
    <w:rsid w:val="00FC4C7A"/>
    <w:rsid w:val="00FC5C92"/>
    <w:rsid w:val="00FC6AE8"/>
    <w:rsid w:val="00FC7076"/>
    <w:rsid w:val="00FD0A94"/>
    <w:rsid w:val="00FD1198"/>
    <w:rsid w:val="00FD12C5"/>
    <w:rsid w:val="00FD1A8C"/>
    <w:rsid w:val="00FD1F50"/>
    <w:rsid w:val="00FD36BC"/>
    <w:rsid w:val="00FD4879"/>
    <w:rsid w:val="00FD4F78"/>
    <w:rsid w:val="00FD6155"/>
    <w:rsid w:val="00FD6216"/>
    <w:rsid w:val="00FD6FE0"/>
    <w:rsid w:val="00FD712B"/>
    <w:rsid w:val="00FD7D1F"/>
    <w:rsid w:val="00FE0C26"/>
    <w:rsid w:val="00FE11E3"/>
    <w:rsid w:val="00FE1B6D"/>
    <w:rsid w:val="00FE1C92"/>
    <w:rsid w:val="00FE2204"/>
    <w:rsid w:val="00FE281F"/>
    <w:rsid w:val="00FE3991"/>
    <w:rsid w:val="00FE4352"/>
    <w:rsid w:val="00FE4820"/>
    <w:rsid w:val="00FE69D4"/>
    <w:rsid w:val="00FE746E"/>
    <w:rsid w:val="00FF0236"/>
    <w:rsid w:val="00FF046F"/>
    <w:rsid w:val="00FF09F6"/>
    <w:rsid w:val="00FF18D7"/>
    <w:rsid w:val="00FF1998"/>
    <w:rsid w:val="00FF25E1"/>
    <w:rsid w:val="00FF3551"/>
    <w:rsid w:val="00FF3C5A"/>
    <w:rsid w:val="00FF3D3D"/>
    <w:rsid w:val="00FF4253"/>
    <w:rsid w:val="00FF6A34"/>
    <w:rsid w:val="00FF6EA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fillcolor="white">
      <v:fill color="white"/>
    </o:shapedefaults>
    <o:shapelayout v:ext="edit">
      <o:idmap v:ext="edit" data="1"/>
    </o:shapelayout>
  </w:shapeDefaults>
  <w:decimalSymbol w:val="."/>
  <w:listSeparator w:val=","/>
  <w14:docId w14:val="6F05F125"/>
  <w15:docId w15:val="{A7F879A8-F8EC-4CD8-86F4-5D8EC42B3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uiPriority="69"/>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0638"/>
    <w:pPr>
      <w:spacing w:after="60"/>
      <w:jc w:val="both"/>
    </w:pPr>
    <w:rPr>
      <w:rFonts w:ascii="Arial" w:hAnsi="Arial"/>
      <w:sz w:val="22"/>
      <w:lang w:val="en-GB"/>
    </w:rPr>
  </w:style>
  <w:style w:type="paragraph" w:styleId="Heading1">
    <w:name w:val="heading 1"/>
    <w:basedOn w:val="Normal"/>
    <w:next w:val="Normal"/>
    <w:link w:val="Heading1Char"/>
    <w:qFormat/>
    <w:rsid w:val="002E4970"/>
    <w:pPr>
      <w:keepNext/>
      <w:pageBreakBefore/>
      <w:numPr>
        <w:numId w:val="19"/>
      </w:numPr>
      <w:pBdr>
        <w:top w:val="single" w:sz="4" w:space="1" w:color="auto"/>
      </w:pBdr>
      <w:suppressAutoHyphens/>
      <w:spacing w:before="104" w:after="226"/>
      <w:outlineLvl w:val="0"/>
    </w:pPr>
    <w:rPr>
      <w:b/>
      <w:smallCaps/>
      <w:spacing w:val="-2"/>
      <w:sz w:val="28"/>
      <w:szCs w:val="20"/>
    </w:rPr>
  </w:style>
  <w:style w:type="paragraph" w:styleId="Heading2">
    <w:name w:val="heading 2"/>
    <w:basedOn w:val="Normal"/>
    <w:next w:val="Normal"/>
    <w:link w:val="Heading2Char1"/>
    <w:qFormat/>
    <w:rsid w:val="005A3310"/>
    <w:pPr>
      <w:keepNext/>
      <w:numPr>
        <w:ilvl w:val="1"/>
        <w:numId w:val="19"/>
      </w:numPr>
      <w:spacing w:before="240" w:after="120"/>
      <w:outlineLvl w:val="1"/>
    </w:pPr>
    <w:rPr>
      <w:rFonts w:ascii="Times New Roman" w:hAnsi="Times New Roman"/>
      <w:b/>
      <w:bCs/>
      <w:sz w:val="28"/>
    </w:rPr>
  </w:style>
  <w:style w:type="paragraph" w:styleId="Heading3">
    <w:name w:val="heading 3"/>
    <w:basedOn w:val="Heading2"/>
    <w:next w:val="Normal"/>
    <w:link w:val="Heading3Char"/>
    <w:qFormat/>
    <w:rsid w:val="00FD12C5"/>
    <w:pPr>
      <w:widowControl w:val="0"/>
      <w:numPr>
        <w:ilvl w:val="2"/>
      </w:numPr>
      <w:tabs>
        <w:tab w:val="left" w:pos="2160"/>
        <w:tab w:val="left" w:pos="9360"/>
      </w:tabs>
      <w:outlineLvl w:val="2"/>
    </w:pPr>
    <w:rPr>
      <w:rFonts w:ascii="Arial" w:hAnsi="Arial"/>
      <w:i/>
      <w:sz w:val="24"/>
      <w:szCs w:val="20"/>
      <w:lang w:val="en-US"/>
    </w:rPr>
  </w:style>
  <w:style w:type="paragraph" w:styleId="Heading4">
    <w:name w:val="heading 4"/>
    <w:basedOn w:val="Normal"/>
    <w:next w:val="Normal"/>
    <w:link w:val="Heading4Char"/>
    <w:qFormat/>
    <w:rsid w:val="00E93DC1"/>
    <w:pPr>
      <w:keepNext/>
      <w:widowControl w:val="0"/>
      <w:numPr>
        <w:ilvl w:val="3"/>
        <w:numId w:val="19"/>
      </w:numPr>
      <w:spacing w:after="540"/>
      <w:outlineLvl w:val="3"/>
    </w:pPr>
    <w:rPr>
      <w:b/>
      <w:spacing w:val="15"/>
      <w:sz w:val="28"/>
      <w:lang w:val="en-US"/>
    </w:rPr>
  </w:style>
  <w:style w:type="paragraph" w:styleId="Heading5">
    <w:name w:val="heading 5"/>
    <w:basedOn w:val="Normal"/>
    <w:next w:val="Normal"/>
    <w:link w:val="Heading5Char"/>
    <w:qFormat/>
    <w:rsid w:val="00525831"/>
    <w:pPr>
      <w:keepNext/>
      <w:numPr>
        <w:ilvl w:val="4"/>
        <w:numId w:val="19"/>
      </w:numPr>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nhideWhenUsed/>
    <w:qFormat/>
    <w:rsid w:val="005B02B2"/>
    <w:pPr>
      <w:keepNext/>
      <w:keepLines/>
      <w:numPr>
        <w:ilvl w:val="5"/>
        <w:numId w:val="19"/>
      </w:numPr>
      <w:spacing w:before="200" w:after="0" w:line="276" w:lineRule="auto"/>
      <w:jc w:val="left"/>
      <w:outlineLvl w:val="5"/>
    </w:pPr>
    <w:rPr>
      <w:rFonts w:asciiTheme="majorHAnsi" w:eastAsiaTheme="majorEastAsia" w:hAnsiTheme="majorHAnsi" w:cstheme="majorBidi"/>
      <w:i/>
      <w:iCs/>
      <w:color w:val="243F60" w:themeColor="accent1" w:themeShade="7F"/>
      <w:szCs w:val="22"/>
    </w:rPr>
  </w:style>
  <w:style w:type="paragraph" w:styleId="Heading7">
    <w:name w:val="heading 7"/>
    <w:basedOn w:val="Normal"/>
    <w:next w:val="Normal"/>
    <w:link w:val="Heading7Char"/>
    <w:unhideWhenUsed/>
    <w:qFormat/>
    <w:rsid w:val="005B02B2"/>
    <w:pPr>
      <w:keepNext/>
      <w:keepLines/>
      <w:numPr>
        <w:ilvl w:val="6"/>
        <w:numId w:val="19"/>
      </w:numPr>
      <w:spacing w:before="200" w:after="0" w:line="276" w:lineRule="auto"/>
      <w:jc w:val="left"/>
      <w:outlineLvl w:val="6"/>
    </w:pPr>
    <w:rPr>
      <w:rFonts w:asciiTheme="majorHAnsi" w:eastAsiaTheme="majorEastAsia" w:hAnsiTheme="majorHAnsi" w:cstheme="majorBidi"/>
      <w:i/>
      <w:iCs/>
      <w:color w:val="404040" w:themeColor="text1" w:themeTint="BF"/>
      <w:szCs w:val="22"/>
    </w:rPr>
  </w:style>
  <w:style w:type="paragraph" w:styleId="Heading8">
    <w:name w:val="heading 8"/>
    <w:basedOn w:val="Normal"/>
    <w:next w:val="Normal"/>
    <w:link w:val="Heading8Char"/>
    <w:unhideWhenUsed/>
    <w:qFormat/>
    <w:rsid w:val="000923DC"/>
    <w:pPr>
      <w:numPr>
        <w:ilvl w:val="7"/>
        <w:numId w:val="19"/>
      </w:numPr>
      <w:spacing w:before="240"/>
      <w:outlineLvl w:val="7"/>
    </w:pPr>
    <w:rPr>
      <w:rFonts w:ascii="Calibri" w:hAnsi="Calibri"/>
      <w:i/>
      <w:iCs/>
      <w:sz w:val="24"/>
    </w:rPr>
  </w:style>
  <w:style w:type="paragraph" w:styleId="Heading9">
    <w:name w:val="heading 9"/>
    <w:basedOn w:val="Normal"/>
    <w:next w:val="Normal"/>
    <w:link w:val="Heading9Char"/>
    <w:unhideWhenUsed/>
    <w:qFormat/>
    <w:rsid w:val="005B02B2"/>
    <w:pPr>
      <w:keepNext/>
      <w:keepLines/>
      <w:numPr>
        <w:ilvl w:val="8"/>
        <w:numId w:val="19"/>
      </w:numPr>
      <w:spacing w:before="200" w:after="0" w:line="276" w:lineRule="auto"/>
      <w:jc w:val="left"/>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2E4970"/>
    <w:rPr>
      <w:rFonts w:ascii="Arial" w:hAnsi="Arial"/>
      <w:b/>
      <w:smallCaps/>
      <w:spacing w:val="-2"/>
      <w:sz w:val="28"/>
      <w:szCs w:val="20"/>
      <w:lang w:val="en-GB"/>
    </w:rPr>
  </w:style>
  <w:style w:type="character" w:customStyle="1" w:styleId="Heading2Char1">
    <w:name w:val="Heading 2 Char1"/>
    <w:basedOn w:val="DefaultParagraphFont"/>
    <w:link w:val="Heading2"/>
    <w:locked/>
    <w:rsid w:val="005A3310"/>
    <w:rPr>
      <w:b/>
      <w:bCs/>
      <w:sz w:val="28"/>
      <w:lang w:val="en-GB"/>
    </w:rPr>
  </w:style>
  <w:style w:type="character" w:customStyle="1" w:styleId="Heading3Char">
    <w:name w:val="Heading 3 Char"/>
    <w:basedOn w:val="DefaultParagraphFont"/>
    <w:link w:val="Heading3"/>
    <w:locked/>
    <w:rsid w:val="00FD12C5"/>
    <w:rPr>
      <w:rFonts w:ascii="Arial" w:hAnsi="Arial"/>
      <w:b/>
      <w:bCs/>
      <w:i/>
      <w:szCs w:val="20"/>
    </w:rPr>
  </w:style>
  <w:style w:type="character" w:customStyle="1" w:styleId="Heading4Char">
    <w:name w:val="Heading 4 Char"/>
    <w:basedOn w:val="DefaultParagraphFont"/>
    <w:link w:val="Heading4"/>
    <w:locked/>
    <w:rsid w:val="00CB0802"/>
    <w:rPr>
      <w:rFonts w:ascii="Arial" w:hAnsi="Arial"/>
      <w:b/>
      <w:spacing w:val="15"/>
      <w:sz w:val="28"/>
    </w:rPr>
  </w:style>
  <w:style w:type="character" w:customStyle="1" w:styleId="Heading5Char">
    <w:name w:val="Heading 5 Char"/>
    <w:basedOn w:val="DefaultParagraphFont"/>
    <w:link w:val="Heading5"/>
    <w:locked/>
    <w:rsid w:val="00CB0802"/>
    <w:rPr>
      <w:rFonts w:ascii="Arial" w:hAnsi="Arial"/>
      <w:b/>
      <w:bCs/>
      <w:lang w:val="en-GB"/>
    </w:rPr>
  </w:style>
  <w:style w:type="character" w:customStyle="1" w:styleId="Heading6Char">
    <w:name w:val="Heading 6 Char"/>
    <w:basedOn w:val="DefaultParagraphFont"/>
    <w:link w:val="Heading6"/>
    <w:rsid w:val="005B02B2"/>
    <w:rPr>
      <w:rFonts w:asciiTheme="majorHAnsi" w:eastAsiaTheme="majorEastAsia" w:hAnsiTheme="majorHAnsi" w:cstheme="majorBidi"/>
      <w:i/>
      <w:iCs/>
      <w:color w:val="243F60" w:themeColor="accent1" w:themeShade="7F"/>
      <w:sz w:val="22"/>
      <w:szCs w:val="22"/>
      <w:lang w:val="en-GB"/>
    </w:rPr>
  </w:style>
  <w:style w:type="character" w:customStyle="1" w:styleId="Heading7Char">
    <w:name w:val="Heading 7 Char"/>
    <w:basedOn w:val="DefaultParagraphFont"/>
    <w:link w:val="Heading7"/>
    <w:rsid w:val="005B02B2"/>
    <w:rPr>
      <w:rFonts w:asciiTheme="majorHAnsi" w:eastAsiaTheme="majorEastAsia" w:hAnsiTheme="majorHAnsi" w:cstheme="majorBidi"/>
      <w:i/>
      <w:iCs/>
      <w:color w:val="404040" w:themeColor="text1" w:themeTint="BF"/>
      <w:sz w:val="22"/>
      <w:szCs w:val="22"/>
      <w:lang w:val="en-GB"/>
    </w:rPr>
  </w:style>
  <w:style w:type="character" w:customStyle="1" w:styleId="Heading8Char">
    <w:name w:val="Heading 8 Char"/>
    <w:basedOn w:val="DefaultParagraphFont"/>
    <w:link w:val="Heading8"/>
    <w:rsid w:val="000923DC"/>
    <w:rPr>
      <w:rFonts w:ascii="Calibri" w:hAnsi="Calibri"/>
      <w:i/>
      <w:iCs/>
      <w:lang w:val="en-GB"/>
    </w:rPr>
  </w:style>
  <w:style w:type="character" w:customStyle="1" w:styleId="Heading9Char">
    <w:name w:val="Heading 9 Char"/>
    <w:basedOn w:val="DefaultParagraphFont"/>
    <w:link w:val="Heading9"/>
    <w:rsid w:val="005B02B2"/>
    <w:rPr>
      <w:rFonts w:asciiTheme="majorHAnsi" w:eastAsiaTheme="majorEastAsia" w:hAnsiTheme="majorHAnsi" w:cstheme="majorBidi"/>
      <w:i/>
      <w:iCs/>
      <w:color w:val="404040" w:themeColor="text1" w:themeTint="BF"/>
      <w:sz w:val="20"/>
      <w:szCs w:val="20"/>
      <w:lang w:val="en-GB"/>
    </w:rPr>
  </w:style>
  <w:style w:type="paragraph" w:styleId="BalloonText">
    <w:name w:val="Balloon Text"/>
    <w:basedOn w:val="Normal"/>
    <w:link w:val="BalloonTextChar1"/>
    <w:uiPriority w:val="99"/>
    <w:semiHidden/>
    <w:rsid w:val="00D260B0"/>
    <w:rPr>
      <w:rFonts w:ascii="Tahoma" w:hAnsi="Tahoma" w:cs="Tahoma"/>
      <w:sz w:val="16"/>
      <w:szCs w:val="16"/>
    </w:rPr>
  </w:style>
  <w:style w:type="character" w:customStyle="1" w:styleId="BalloonTextChar1">
    <w:name w:val="Balloon Text Char1"/>
    <w:basedOn w:val="DefaultParagraphFont"/>
    <w:link w:val="BalloonText"/>
    <w:uiPriority w:val="99"/>
    <w:semiHidden/>
    <w:locked/>
    <w:rsid w:val="00CB0802"/>
    <w:rPr>
      <w:rFonts w:cs="Times New Roman"/>
      <w:sz w:val="2"/>
      <w:lang w:val="en-GB"/>
    </w:rPr>
  </w:style>
  <w:style w:type="character" w:customStyle="1" w:styleId="BalloonTextChar">
    <w:name w:val="Balloon Text Char"/>
    <w:basedOn w:val="DefaultParagraphFont"/>
    <w:uiPriority w:val="99"/>
    <w:semiHidden/>
    <w:rsid w:val="00652CE6"/>
    <w:rPr>
      <w:rFonts w:ascii="Lucida Grande" w:hAnsi="Lucida Grande"/>
      <w:sz w:val="18"/>
      <w:szCs w:val="18"/>
    </w:rPr>
  </w:style>
  <w:style w:type="character" w:customStyle="1" w:styleId="BalloonTextChar2">
    <w:name w:val="Balloon Text Char2"/>
    <w:basedOn w:val="DefaultParagraphFont"/>
    <w:uiPriority w:val="99"/>
    <w:semiHidden/>
    <w:rsid w:val="00AB059E"/>
    <w:rPr>
      <w:rFonts w:ascii="Lucida Grande" w:hAnsi="Lucida Grande"/>
      <w:sz w:val="18"/>
      <w:szCs w:val="18"/>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basedOn w:val="DefaultParagraphFont"/>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basedOn w:val="DefaultParagraphFont"/>
    <w:link w:val="Footer"/>
    <w:uiPriority w:val="99"/>
    <w:locked/>
    <w:rsid w:val="00CB0802"/>
    <w:rPr>
      <w:rFonts w:ascii="Arial" w:hAnsi="Arial" w:cs="Times New Roman"/>
      <w:sz w:val="24"/>
      <w:szCs w:val="24"/>
      <w:lang w:val="en-GB"/>
    </w:rPr>
  </w:style>
  <w:style w:type="character" w:styleId="PageNumber">
    <w:name w:val="page number"/>
    <w:basedOn w:val="DefaultParagraphFont"/>
    <w:rsid w:val="00E93DC1"/>
    <w:rPr>
      <w:rFonts w:cs="Times New Roman"/>
    </w:rPr>
  </w:style>
  <w:style w:type="paragraph" w:styleId="FootnoteText">
    <w:name w:val="footnote text"/>
    <w:aliases w:val="Geneva 9,Font: Geneva 9,Boston 10,f,single space,footnote text,Footnote,otnote Text,ft,Char Char Char Char,Fußnote,ADB Char Char,ADB Char Char Char,ADB Char Char Char Char Char Char Char,ADB Char Char Char Char Char,FOOTNOTES,fn,DNV-FT,ADB"/>
    <w:basedOn w:val="Normal"/>
    <w:link w:val="FootnoteTextChar1"/>
    <w:uiPriority w:val="99"/>
    <w:rsid w:val="005B5602"/>
    <w:pPr>
      <w:widowControl w:val="0"/>
    </w:pPr>
    <w:rPr>
      <w:sz w:val="18"/>
      <w:szCs w:val="20"/>
      <w:lang w:val="en-US"/>
    </w:rPr>
  </w:style>
  <w:style w:type="character" w:customStyle="1" w:styleId="FootnoteTextChar1">
    <w:name w:val="Footnote Text Char1"/>
    <w:aliases w:val="Geneva 9 Char,Font: Geneva 9 Char,Boston 10 Char,f Char,single space Char,footnote text Char,Footnote Char,otnote Text Char,ft Char1,Char Char Char Char Char1,Fußnote Char1,ADB Char Char Char2,ADB Char Char Char Char1,FOOTNOTES Char"/>
    <w:basedOn w:val="DefaultParagraphFont"/>
    <w:link w:val="FootnoteText"/>
    <w:uiPriority w:val="99"/>
    <w:locked/>
    <w:rsid w:val="005B5602"/>
    <w:rPr>
      <w:rFonts w:ascii="Arial" w:hAnsi="Arial"/>
      <w:sz w:val="18"/>
      <w:szCs w:val="20"/>
    </w:rPr>
  </w:style>
  <w:style w:type="paragraph" w:styleId="BodyText3">
    <w:name w:val="Body Text 3"/>
    <w:basedOn w:val="Normal"/>
    <w:link w:val="BodyText3Char"/>
    <w:uiPriority w:val="99"/>
    <w:rsid w:val="00E93DC1"/>
    <w:rPr>
      <w:szCs w:val="20"/>
      <w:lang w:val="en-US"/>
    </w:rPr>
  </w:style>
  <w:style w:type="character" w:customStyle="1" w:styleId="BodyText3Char">
    <w:name w:val="Body Text 3 Char"/>
    <w:basedOn w:val="DefaultParagraphFont"/>
    <w:link w:val="BodyText3"/>
    <w:uiPriority w:val="99"/>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lang w:val="en-US"/>
    </w:rPr>
  </w:style>
  <w:style w:type="character" w:customStyle="1" w:styleId="BodyTextIndentChar">
    <w:name w:val="Body Text Indent Char"/>
    <w:basedOn w:val="DefaultParagraphFont"/>
    <w:link w:val="BodyTextIndent"/>
    <w:locked/>
    <w:rsid w:val="00CB0802"/>
    <w:rPr>
      <w:rFonts w:ascii="Arial" w:hAnsi="Arial" w:cs="Times New Roman"/>
      <w:sz w:val="24"/>
      <w:szCs w:val="24"/>
      <w:lang w:val="en-GB"/>
    </w:rPr>
  </w:style>
  <w:style w:type="character" w:styleId="Hyperlink">
    <w:name w:val="Hyperlink"/>
    <w:basedOn w:val="DefaultParagraphFont"/>
    <w:uiPriority w:val="99"/>
    <w:rsid w:val="00545053"/>
    <w:rPr>
      <w:rFonts w:ascii="Arial" w:eastAsia="Cambria" w:hAnsi="Arial" w:cs="Arial"/>
      <w:noProof/>
      <w:color w:val="0000FF"/>
      <w:u w:val="single"/>
    </w:rPr>
  </w:style>
  <w:style w:type="character" w:styleId="FollowedHyperlink">
    <w:name w:val="FollowedHyperlink"/>
    <w:basedOn w:val="DefaultParagraphFont"/>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basedOn w:val="DefaultParagraphFont"/>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basedOn w:val="DefaultParagraphFont"/>
    <w:link w:val="BodyText2"/>
    <w:locked/>
    <w:rsid w:val="00CB0802"/>
    <w:rPr>
      <w:rFonts w:ascii="Arial" w:hAnsi="Arial" w:cs="Times New Roman"/>
      <w:sz w:val="24"/>
      <w:szCs w:val="24"/>
      <w:lang w:val="en-GB"/>
    </w:rPr>
  </w:style>
  <w:style w:type="character" w:styleId="CommentReference">
    <w:name w:val="annotation reference"/>
    <w:basedOn w:val="DefaultParagraphFont"/>
    <w:uiPriority w:val="99"/>
    <w:rsid w:val="00EF6275"/>
    <w:rPr>
      <w:rFonts w:cs="Times New Roman"/>
      <w:sz w:val="16"/>
      <w:szCs w:val="16"/>
    </w:rPr>
  </w:style>
  <w:style w:type="paragraph" w:styleId="CommentText">
    <w:name w:val="annotation text"/>
    <w:basedOn w:val="Normal"/>
    <w:link w:val="CommentTextChar"/>
    <w:semiHidden/>
    <w:rsid w:val="00EF6275"/>
    <w:rPr>
      <w:szCs w:val="20"/>
    </w:rPr>
  </w:style>
  <w:style w:type="character" w:customStyle="1" w:styleId="CommentTextChar">
    <w:name w:val="Comment Text Char"/>
    <w:basedOn w:val="DefaultParagraphFont"/>
    <w:link w:val="CommentText"/>
    <w:semiHidden/>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basedOn w:val="CommentTextChar"/>
    <w:link w:val="CommentSubject"/>
    <w:uiPriority w:val="99"/>
    <w:semiHidden/>
    <w:locked/>
    <w:rsid w:val="00CB0802"/>
    <w:rPr>
      <w:rFonts w:ascii="Arial" w:hAnsi="Arial" w:cs="Times New Roman"/>
      <w:b/>
      <w:bCs/>
      <w:lang w:val="en-GB"/>
    </w:rPr>
  </w:style>
  <w:style w:type="table" w:styleId="TableGrid">
    <w:name w:val="Table Grid"/>
    <w:basedOn w:val="TableNormal"/>
    <w:uiPriority w:val="59"/>
    <w:rsid w:val="0023337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uiPriority w:val="20"/>
    <w:qFormat/>
    <w:rsid w:val="00F30150"/>
    <w:rPr>
      <w:rFonts w:cs="Times New Roman"/>
      <w:i/>
      <w:iCs/>
    </w:rPr>
  </w:style>
  <w:style w:type="character" w:styleId="FootnoteReference">
    <w:name w:val="footnote reference"/>
    <w:aliases w:val="16 Point,Superscript 6 Point,Superscript 6 Point + 11 pt,ftref,BVI fnr,BVI fnr Car Car,BVI fnr Car,BVI fnr Car Car Car Car,Footnote text,Footnotes refss,Footnote Reference1,Footnote Reference Number,Footnote Reference_LVL6,fr"/>
    <w:basedOn w:val="DefaultParagraphFont"/>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
    <w:basedOn w:val="Normal"/>
    <w:link w:val="ListParagraphChar"/>
    <w:uiPriority w:val="34"/>
    <w:qFormat/>
    <w:rsid w:val="00DB520F"/>
    <w:pPr>
      <w:spacing w:after="0"/>
      <w:ind w:left="720"/>
      <w:jc w:val="left"/>
    </w:pPr>
    <w:rPr>
      <w:rFonts w:ascii="Times New Roman" w:hAnsi="Times New Roman"/>
      <w:sz w:val="24"/>
      <w:lang w:val="en-US"/>
    </w:rPr>
  </w:style>
  <w:style w:type="character" w:customStyle="1" w:styleId="ListParagraphChar">
    <w:name w:val="List Paragraph Char"/>
    <w:aliases w:val="List Paragraph1 Char"/>
    <w:basedOn w:val="DefaultParagraphFont"/>
    <w:link w:val="ListParagraph"/>
    <w:uiPriority w:val="34"/>
    <w:rsid w:val="005B02B2"/>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basedOn w:val="DefaultParagraphFont"/>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eastAsia="MS Mincho"/>
      <w:b w:val="0"/>
      <w:szCs w:val="22"/>
      <w:lang w:eastAsia="ja-JP"/>
    </w:rPr>
  </w:style>
  <w:style w:type="character" w:styleId="Strong">
    <w:name w:val="Strong"/>
    <w:basedOn w:val="DefaultParagraphFont"/>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val="en-US"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basedOn w:val="DefaultParagraphFont"/>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 w:val="20"/>
      <w:szCs w:val="20"/>
      <w:lang w:val="en-US" w:eastAsia="ja-JP"/>
    </w:rPr>
  </w:style>
  <w:style w:type="character" w:customStyle="1" w:styleId="EndnoteTextChar">
    <w:name w:val="Endnote Text Char"/>
    <w:aliases w:val=" Char Char"/>
    <w:basedOn w:val="DefaultParagraphFont"/>
    <w:link w:val="EndnoteText"/>
    <w:semiHidden/>
    <w:locked/>
    <w:rsid w:val="00CB0802"/>
    <w:rPr>
      <w:rFonts w:ascii="Arial" w:hAnsi="Arial" w:cs="Times New Roman"/>
      <w:lang w:val="en-GB"/>
    </w:rPr>
  </w:style>
  <w:style w:type="character" w:styleId="EndnoteReference">
    <w:name w:val="endnote reference"/>
    <w:basedOn w:val="DefaultParagraphFont"/>
    <w:semiHidden/>
    <w:rsid w:val="00D37FAF"/>
    <w:rPr>
      <w:rFonts w:cs="Times New Roman"/>
      <w:vertAlign w:val="superscript"/>
    </w:rPr>
  </w:style>
  <w:style w:type="character" w:customStyle="1" w:styleId="mw-headline">
    <w:name w:val="mw-headline"/>
    <w:basedOn w:val="DefaultParagraphFont"/>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 w:val="20"/>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lang w:val="en-US"/>
    </w:rPr>
  </w:style>
  <w:style w:type="character" w:customStyle="1" w:styleId="ParagraphChar">
    <w:name w:val="Paragraph Char"/>
    <w:basedOn w:val="DefaultParagraphFont"/>
    <w:link w:val="Paragraph"/>
    <w:rsid w:val="000D00F9"/>
    <w:rPr>
      <w:rFonts w:cs="Angsana New"/>
      <w:noProof/>
      <w:sz w:val="22"/>
      <w:szCs w:val="22"/>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basedOn w:val="ParagraphChar"/>
    <w:link w:val="Bullets"/>
    <w:rsid w:val="000D00F9"/>
    <w:rPr>
      <w:rFonts w:cs="Angsana New"/>
      <w:noProof/>
      <w:sz w:val="22"/>
      <w:szCs w:val="22"/>
    </w:rPr>
  </w:style>
  <w:style w:type="paragraph" w:styleId="TOC2">
    <w:name w:val="toc 2"/>
    <w:basedOn w:val="Normal"/>
    <w:next w:val="Normal"/>
    <w:autoRedefine/>
    <w:uiPriority w:val="39"/>
    <w:locked/>
    <w:rsid w:val="0084188F"/>
    <w:pPr>
      <w:ind w:left="220"/>
    </w:pPr>
    <w:rPr>
      <w:rFonts w:ascii="Times New Roman" w:hAnsi="Times New Roman"/>
    </w:rPr>
  </w:style>
  <w:style w:type="paragraph" w:styleId="TOC1">
    <w:name w:val="toc 1"/>
    <w:basedOn w:val="Normal"/>
    <w:next w:val="Normal"/>
    <w:autoRedefine/>
    <w:uiPriority w:val="39"/>
    <w:locked/>
    <w:rsid w:val="00220AA1"/>
    <w:pPr>
      <w:tabs>
        <w:tab w:val="left" w:pos="540"/>
        <w:tab w:val="right" w:leader="dot" w:pos="9029"/>
      </w:tabs>
    </w:pPr>
    <w:rPr>
      <w:rFonts w:eastAsiaTheme="majorEastAsia" w:cs="Arial"/>
      <w:noProof/>
      <w:lang w:val="en-US"/>
    </w:rPr>
  </w:style>
  <w:style w:type="character" w:customStyle="1" w:styleId="Heading2Char">
    <w:name w:val="Heading 2 Char"/>
    <w:basedOn w:val="DefaultParagraphFont"/>
    <w:locked/>
    <w:rsid w:val="00720790"/>
    <w:rPr>
      <w:rFonts w:ascii="Cambria" w:hAnsi="Cambria" w:cs="Times New Roman"/>
      <w:b/>
      <w:bCs/>
      <w:i/>
      <w:iCs/>
      <w:sz w:val="28"/>
      <w:szCs w:val="28"/>
      <w:lang w:val="en-GB"/>
    </w:rPr>
  </w:style>
  <w:style w:type="character" w:customStyle="1" w:styleId="FootnoteTextChar">
    <w:name w:val="Footnote Text Char"/>
    <w:aliases w:val="ft Char,Char Char Char Char Char,Fußnote Char,ADB Char Char Char1,ADB Char Char Char Char,ADB Char Char Char Char Char Char,Testo nota a piè di pagina Carattere Carattere Char,Testo nota a piè di pagina Carattere Char,fn Char"/>
    <w:basedOn w:val="DefaultParagraphFont"/>
    <w:locked/>
    <w:rsid w:val="00C26599"/>
    <w:rPr>
      <w:rFonts w:ascii="Times New Roman" w:hAnsi="Times New Roman"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lang w:val="en-US"/>
    </w:rPr>
  </w:style>
  <w:style w:type="paragraph" w:customStyle="1" w:styleId="CharCharChar11">
    <w:name w:val="Char Char Char11"/>
    <w:basedOn w:val="Normal"/>
    <w:rsid w:val="00B27E19"/>
    <w:pPr>
      <w:spacing w:after="160" w:line="240" w:lineRule="exact"/>
      <w:jc w:val="left"/>
    </w:pPr>
    <w:rPr>
      <w:rFonts w:cs="Arial"/>
      <w:sz w:val="20"/>
      <w:szCs w:val="20"/>
      <w:lang w:val="en-US"/>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lang w:val="en-US"/>
    </w:rPr>
  </w:style>
  <w:style w:type="paragraph" w:styleId="Caption">
    <w:name w:val="caption"/>
    <w:aliases w:val="Beschriftung Char,Beschriftung Char Char Char Char Char,Beschriftung Char Char Char"/>
    <w:basedOn w:val="Normal"/>
    <w:next w:val="Normal"/>
    <w:qFormat/>
    <w:rsid w:val="0070606B"/>
    <w:pPr>
      <w:spacing w:after="0"/>
      <w:jc w:val="left"/>
    </w:pPr>
    <w:rPr>
      <w:rFonts w:ascii="Times New Roman" w:hAnsi="Times New Roman"/>
      <w:b/>
      <w:bCs/>
      <w:sz w:val="28"/>
      <w:lang w:val="en-US"/>
    </w:rPr>
  </w:style>
  <w:style w:type="paragraph" w:customStyle="1" w:styleId="TableT">
    <w:name w:val="TableT"/>
    <w:basedOn w:val="Normal"/>
    <w:autoRedefine/>
    <w:rsid w:val="00550BAE"/>
    <w:pPr>
      <w:jc w:val="left"/>
    </w:pPr>
    <w:rPr>
      <w:rFonts w:ascii="Times New Roman" w:hAnsi="Times New Roman"/>
      <w:noProof/>
      <w:sz w:val="20"/>
      <w:szCs w:val="20"/>
      <w:lang w:val="en-US"/>
    </w:rPr>
  </w:style>
  <w:style w:type="paragraph" w:customStyle="1" w:styleId="ParaCharChar">
    <w:name w:val="Para Char Char"/>
    <w:basedOn w:val="Normal"/>
    <w:link w:val="ParaCharCharChar"/>
    <w:autoRedefine/>
    <w:rsid w:val="00F5694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Theme="minorHAnsi" w:cstheme="minorBidi"/>
      <w:szCs w:val="22"/>
      <w:u w:val="single"/>
      <w:lang w:eastAsia="en-GB"/>
    </w:rPr>
  </w:style>
  <w:style w:type="character" w:customStyle="1" w:styleId="ParaCharCharChar">
    <w:name w:val="Para Char Char Char"/>
    <w:basedOn w:val="DefaultParagraphFont"/>
    <w:link w:val="ParaCharChar"/>
    <w:rsid w:val="00F5694C"/>
    <w:rPr>
      <w:rFonts w:ascii="Arial" w:eastAsiaTheme="minorHAnsi" w:hAnsi="Arial" w:cstheme="minorBidi"/>
      <w:sz w:val="22"/>
      <w:szCs w:val="22"/>
      <w:u w:val="single"/>
      <w:lang w:val="en-GB" w:eastAsia="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lang w:val="en-US"/>
    </w:rPr>
  </w:style>
  <w:style w:type="character" w:customStyle="1" w:styleId="TableHCharCharCharChar">
    <w:name w:val="TableH Char Char Char Char"/>
    <w:basedOn w:val="DefaultParagraphFont"/>
    <w:link w:val="TableHCharCharChar"/>
    <w:rsid w:val="00E43E88"/>
    <w:rPr>
      <w:b/>
      <w:sz w:val="21"/>
      <w:szCs w:val="22"/>
    </w:rPr>
  </w:style>
  <w:style w:type="character" w:customStyle="1" w:styleId="highlighttext">
    <w:name w:val="highlighttext"/>
    <w:basedOn w:val="DefaultParagraphFon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lang w:val="en-US"/>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lang w:val="en-US"/>
    </w:rPr>
  </w:style>
  <w:style w:type="paragraph" w:customStyle="1" w:styleId="CharChar">
    <w:name w:val="Char Char Знак Знак"/>
    <w:basedOn w:val="Normal"/>
    <w:rsid w:val="00E61BB0"/>
    <w:pPr>
      <w:spacing w:after="160" w:line="240" w:lineRule="exact"/>
      <w:jc w:val="lef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lang w:val="en-US"/>
    </w:rPr>
  </w:style>
  <w:style w:type="character" w:customStyle="1" w:styleId="PlainTextChar">
    <w:name w:val="Plain Text Char"/>
    <w:basedOn w:val="DefaultParagraphFont"/>
    <w:link w:val="PlainText"/>
    <w:uiPriority w:val="99"/>
    <w:rsid w:val="00FC1F80"/>
    <w:rPr>
      <w:rFonts w:ascii="Consolas" w:eastAsia="Calibri" w:hAnsi="Consolas"/>
      <w:sz w:val="21"/>
      <w:szCs w:val="21"/>
    </w:rPr>
  </w:style>
  <w:style w:type="paragraph" w:styleId="TOCHeading">
    <w:name w:val="TOC Heading"/>
    <w:basedOn w:val="Heading1"/>
    <w:next w:val="Normal"/>
    <w:uiPriority w:val="39"/>
    <w:semiHidden/>
    <w:unhideWhenUsed/>
    <w:qFormat/>
    <w:rsid w:val="00BE1FA1"/>
    <w:pPr>
      <w:keepLines/>
      <w:numPr>
        <w:numId w:val="0"/>
      </w:numPr>
      <w:pBdr>
        <w:top w:val="none" w:sz="0" w:space="0" w:color="auto"/>
      </w:pBdr>
      <w:suppressAutoHyphens w:val="0"/>
      <w:spacing w:before="480" w:after="0" w:line="276" w:lineRule="auto"/>
      <w:jc w:val="left"/>
      <w:outlineLvl w:val="9"/>
    </w:pPr>
    <w:rPr>
      <w:rFonts w:asciiTheme="majorHAnsi" w:eastAsiaTheme="majorEastAsia" w:hAnsiTheme="majorHAnsi" w:cstheme="majorBidi"/>
      <w:bCs/>
      <w:smallCaps w:val="0"/>
      <w:color w:val="365F91" w:themeColor="accent1" w:themeShade="BF"/>
      <w:spacing w:val="0"/>
      <w:szCs w:val="28"/>
      <w:lang w:val="en-US" w:eastAsia="ja-JP"/>
    </w:rPr>
  </w:style>
  <w:style w:type="paragraph" w:customStyle="1" w:styleId="head1">
    <w:name w:val="head1"/>
    <w:rsid w:val="005B02B2"/>
    <w:pPr>
      <w:widowControl w:val="0"/>
      <w:tabs>
        <w:tab w:val="left" w:pos="0"/>
        <w:tab w:val="left" w:pos="2160"/>
        <w:tab w:val="left" w:pos="2899"/>
        <w:tab w:val="left" w:pos="4680"/>
        <w:tab w:val="left" w:pos="8659"/>
        <w:tab w:val="left" w:pos="9360"/>
      </w:tabs>
      <w:suppressAutoHyphens/>
      <w:autoSpaceDN w:val="0"/>
      <w:snapToGrid w:val="0"/>
    </w:pPr>
  </w:style>
  <w:style w:type="paragraph" w:styleId="TOC3">
    <w:name w:val="toc 3"/>
    <w:basedOn w:val="Normal"/>
    <w:next w:val="Normal"/>
    <w:autoRedefine/>
    <w:uiPriority w:val="39"/>
    <w:unhideWhenUsed/>
    <w:rsid w:val="00220AA1"/>
    <w:pPr>
      <w:tabs>
        <w:tab w:val="left" w:pos="1200"/>
        <w:tab w:val="right" w:leader="dot" w:pos="9017"/>
      </w:tabs>
      <w:spacing w:after="100" w:line="276" w:lineRule="auto"/>
      <w:ind w:left="440"/>
      <w:jc w:val="left"/>
    </w:pPr>
    <w:rPr>
      <w:rFonts w:ascii="Times New Roman" w:eastAsiaTheme="minorHAnsi" w:hAnsi="Times New Roman" w:cstheme="minorBidi"/>
      <w:szCs w:val="22"/>
    </w:rPr>
  </w:style>
  <w:style w:type="paragraph" w:customStyle="1" w:styleId="Bodynumbered">
    <w:name w:val="Body (numbered)"/>
    <w:basedOn w:val="ListParagraph"/>
    <w:link w:val="BodynumberedChar"/>
    <w:qFormat/>
    <w:rsid w:val="009B7ABA"/>
    <w:pPr>
      <w:numPr>
        <w:numId w:val="20"/>
      </w:numPr>
      <w:spacing w:before="120" w:after="120" w:line="276" w:lineRule="auto"/>
    </w:pPr>
    <w:rPr>
      <w:rFonts w:ascii="Arial" w:eastAsiaTheme="minorHAnsi" w:hAnsi="Arial" w:cstheme="minorBidi"/>
      <w:sz w:val="22"/>
      <w:szCs w:val="22"/>
      <w:lang w:val="en-GB"/>
    </w:rPr>
  </w:style>
  <w:style w:type="character" w:customStyle="1" w:styleId="BodynumberedChar">
    <w:name w:val="Body (numbered) Char"/>
    <w:basedOn w:val="ListParagraphChar"/>
    <w:link w:val="Bodynumbered"/>
    <w:rsid w:val="009B7ABA"/>
    <w:rPr>
      <w:rFonts w:ascii="Arial" w:eastAsiaTheme="minorHAnsi" w:hAnsi="Arial" w:cstheme="minorBidi"/>
      <w:sz w:val="22"/>
      <w:szCs w:val="22"/>
      <w:lang w:val="en-GB"/>
    </w:rPr>
  </w:style>
  <w:style w:type="paragraph" w:customStyle="1" w:styleId="MediumGrid21">
    <w:name w:val="Medium Grid 21"/>
    <w:uiPriority w:val="1"/>
    <w:qFormat/>
    <w:rsid w:val="005B02B2"/>
    <w:rPr>
      <w:rFonts w:ascii="Calibri" w:hAnsi="Calibri"/>
      <w:sz w:val="22"/>
      <w:szCs w:val="22"/>
    </w:rPr>
  </w:style>
  <w:style w:type="paragraph" w:customStyle="1" w:styleId="2">
    <w:name w:val="???????2"/>
    <w:basedOn w:val="Normal"/>
    <w:uiPriority w:val="99"/>
    <w:rsid w:val="005B02B2"/>
    <w:pPr>
      <w:spacing w:after="0"/>
      <w:jc w:val="left"/>
    </w:pPr>
    <w:rPr>
      <w:rFonts w:ascii="Kudriashov" w:eastAsia="Calibri" w:hAnsi="Kudriashov"/>
      <w:szCs w:val="22"/>
      <w:lang w:val="en-US"/>
    </w:rPr>
  </w:style>
  <w:style w:type="paragraph" w:customStyle="1" w:styleId="Bodytextnumbered">
    <w:name w:val="Body text numbered"/>
    <w:basedOn w:val="Normal"/>
    <w:link w:val="BodytextnumberedChar"/>
    <w:qFormat/>
    <w:rsid w:val="005B02B2"/>
    <w:pPr>
      <w:numPr>
        <w:numId w:val="22"/>
      </w:numPr>
      <w:autoSpaceDE w:val="0"/>
      <w:autoSpaceDN w:val="0"/>
      <w:adjustRightInd w:val="0"/>
      <w:spacing w:before="120" w:after="120"/>
      <w:ind w:left="470" w:hanging="357"/>
    </w:pPr>
    <w:rPr>
      <w:rFonts w:ascii="Times New Roman" w:hAnsi="Times New Roman"/>
      <w:szCs w:val="22"/>
      <w:lang w:val="en-US"/>
    </w:rPr>
  </w:style>
  <w:style w:type="character" w:customStyle="1" w:styleId="BodytextnumberedChar">
    <w:name w:val="Body text numbered Char"/>
    <w:link w:val="Bodytextnumbered"/>
    <w:rsid w:val="005B02B2"/>
    <w:rPr>
      <w:sz w:val="22"/>
      <w:szCs w:val="22"/>
    </w:rPr>
  </w:style>
  <w:style w:type="paragraph" w:styleId="TableofFigures">
    <w:name w:val="table of figures"/>
    <w:basedOn w:val="Normal"/>
    <w:next w:val="Normal"/>
    <w:uiPriority w:val="99"/>
    <w:unhideWhenUsed/>
    <w:rsid w:val="005B02B2"/>
    <w:pPr>
      <w:spacing w:after="0" w:line="276" w:lineRule="auto"/>
      <w:jc w:val="left"/>
    </w:pPr>
    <w:rPr>
      <w:rFonts w:ascii="Times New Roman" w:eastAsiaTheme="minorHAnsi" w:hAnsi="Times New Roman" w:cstheme="minorBidi"/>
      <w:sz w:val="20"/>
      <w:szCs w:val="22"/>
    </w:rPr>
  </w:style>
  <w:style w:type="character" w:customStyle="1" w:styleId="MashaCharCharChar">
    <w:name w:val="Masha Char Char Char"/>
    <w:link w:val="MashaCharChar"/>
    <w:rsid w:val="005B02B2"/>
    <w:rPr>
      <w:snapToGrid w:val="0"/>
      <w:sz w:val="24"/>
      <w:szCs w:val="24"/>
    </w:rPr>
  </w:style>
  <w:style w:type="paragraph" w:customStyle="1" w:styleId="MashaCharChar">
    <w:name w:val="Masha Char Char"/>
    <w:basedOn w:val="BodyText3"/>
    <w:link w:val="MashaCharCharChar"/>
    <w:rsid w:val="005B02B2"/>
    <w:pPr>
      <w:spacing w:before="80" w:after="0"/>
    </w:pPr>
    <w:rPr>
      <w:rFonts w:ascii="Times New Roman" w:hAnsi="Times New Roman"/>
      <w:snapToGrid w:val="0"/>
      <w:sz w:val="24"/>
      <w:szCs w:val="24"/>
    </w:rPr>
  </w:style>
  <w:style w:type="paragraph" w:customStyle="1" w:styleId="Bullets1st">
    <w:name w:val="Bullets (1st)"/>
    <w:basedOn w:val="Bodynumbered"/>
    <w:link w:val="Bullets1stChar"/>
    <w:qFormat/>
    <w:rsid w:val="005B02B2"/>
    <w:pPr>
      <w:numPr>
        <w:numId w:val="23"/>
      </w:numPr>
      <w:tabs>
        <w:tab w:val="num" w:pos="360"/>
      </w:tabs>
    </w:pPr>
  </w:style>
  <w:style w:type="character" w:customStyle="1" w:styleId="Bullets1stChar">
    <w:name w:val="Bullets (1st) Char"/>
    <w:basedOn w:val="BodynumberedChar"/>
    <w:link w:val="Bullets1st"/>
    <w:rsid w:val="005B02B2"/>
    <w:rPr>
      <w:rFonts w:ascii="Arial" w:eastAsiaTheme="minorHAnsi" w:hAnsi="Arial" w:cstheme="minorBidi"/>
      <w:sz w:val="22"/>
      <w:szCs w:val="22"/>
      <w:lang w:val="en-GB"/>
    </w:rPr>
  </w:style>
  <w:style w:type="character" w:customStyle="1" w:styleId="CommentTextChar1">
    <w:name w:val="Comment Text Char1"/>
    <w:basedOn w:val="DefaultParagraphFont"/>
    <w:semiHidden/>
    <w:rsid w:val="005B02B2"/>
    <w:rPr>
      <w:rFonts w:ascii="Times New Roman" w:eastAsia="Times New Roman" w:hAnsi="Times New Roman" w:cs="Times New Roman"/>
      <w:sz w:val="20"/>
      <w:szCs w:val="20"/>
      <w:lang w:val="en-US"/>
    </w:rPr>
  </w:style>
  <w:style w:type="table" w:customStyle="1" w:styleId="1">
    <w:name w:val="Светлый список1"/>
    <w:basedOn w:val="TableNormal"/>
    <w:uiPriority w:val="61"/>
    <w:rsid w:val="005B02B2"/>
    <w:rPr>
      <w:rFonts w:asciiTheme="minorHAnsi" w:eastAsiaTheme="minorHAnsi" w:hAnsiTheme="minorHAnsi" w:cstheme="minorBidi"/>
      <w:sz w:val="22"/>
      <w:szCs w:val="22"/>
      <w:lang w:val="en-GB"/>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TableHeading">
    <w:name w:val="Table Heading"/>
    <w:basedOn w:val="Normal"/>
    <w:rsid w:val="005B02B2"/>
    <w:pPr>
      <w:suppressAutoHyphens/>
      <w:spacing w:after="0"/>
      <w:jc w:val="center"/>
    </w:pPr>
    <w:rPr>
      <w:rFonts w:ascii="Book Antiqua" w:hAnsi="Book Antiqua"/>
      <w:b/>
      <w:i/>
      <w:szCs w:val="20"/>
    </w:rPr>
  </w:style>
  <w:style w:type="character" w:customStyle="1" w:styleId="hps">
    <w:name w:val="hps"/>
    <w:rsid w:val="005B02B2"/>
  </w:style>
  <w:style w:type="character" w:customStyle="1" w:styleId="A4">
    <w:name w:val="A4"/>
    <w:uiPriority w:val="99"/>
    <w:rsid w:val="005B02B2"/>
    <w:rPr>
      <w:rFonts w:cs="Caecilia Roman"/>
      <w:color w:val="000000"/>
      <w:sz w:val="23"/>
      <w:szCs w:val="23"/>
    </w:rPr>
  </w:style>
  <w:style w:type="character" w:customStyle="1" w:styleId="atn">
    <w:name w:val="atn"/>
    <w:rsid w:val="005B02B2"/>
  </w:style>
  <w:style w:type="paragraph" w:customStyle="1" w:styleId="Bullets2nd">
    <w:name w:val="Bullets (2nd)"/>
    <w:basedOn w:val="Bullets1st"/>
    <w:link w:val="Bullets2ndChar"/>
    <w:qFormat/>
    <w:rsid w:val="005B02B2"/>
    <w:pPr>
      <w:numPr>
        <w:ilvl w:val="1"/>
        <w:numId w:val="24"/>
      </w:numPr>
      <w:ind w:left="641" w:hanging="357"/>
    </w:pPr>
  </w:style>
  <w:style w:type="character" w:customStyle="1" w:styleId="Bullets2ndChar">
    <w:name w:val="Bullets (2nd) Char"/>
    <w:basedOn w:val="Bullets1stChar"/>
    <w:link w:val="Bullets2nd"/>
    <w:rsid w:val="005B02B2"/>
    <w:rPr>
      <w:rFonts w:ascii="Arial" w:eastAsiaTheme="minorHAnsi" w:hAnsi="Arial" w:cstheme="minorBidi"/>
      <w:sz w:val="22"/>
      <w:szCs w:val="22"/>
      <w:lang w:val="en-GB"/>
    </w:rPr>
  </w:style>
  <w:style w:type="paragraph" w:styleId="TOC4">
    <w:name w:val="toc 4"/>
    <w:basedOn w:val="Normal"/>
    <w:next w:val="Normal"/>
    <w:autoRedefine/>
    <w:uiPriority w:val="39"/>
    <w:unhideWhenUsed/>
    <w:rsid w:val="004445B5"/>
    <w:pPr>
      <w:spacing w:after="100"/>
      <w:ind w:left="720"/>
      <w:jc w:val="left"/>
    </w:pPr>
    <w:rPr>
      <w:rFonts w:asciiTheme="minorHAnsi" w:eastAsiaTheme="minorEastAsia" w:hAnsiTheme="minorHAnsi" w:cstheme="minorBidi"/>
      <w:sz w:val="24"/>
      <w:lang w:val="en-US"/>
    </w:rPr>
  </w:style>
  <w:style w:type="paragraph" w:styleId="TOC5">
    <w:name w:val="toc 5"/>
    <w:basedOn w:val="Normal"/>
    <w:next w:val="Normal"/>
    <w:autoRedefine/>
    <w:uiPriority w:val="39"/>
    <w:unhideWhenUsed/>
    <w:rsid w:val="004445B5"/>
    <w:pPr>
      <w:spacing w:after="100"/>
      <w:ind w:left="960"/>
      <w:jc w:val="left"/>
    </w:pPr>
    <w:rPr>
      <w:rFonts w:asciiTheme="minorHAnsi" w:eastAsiaTheme="minorEastAsia" w:hAnsiTheme="minorHAnsi" w:cstheme="minorBidi"/>
      <w:sz w:val="24"/>
      <w:lang w:val="en-US"/>
    </w:rPr>
  </w:style>
  <w:style w:type="paragraph" w:styleId="TOC6">
    <w:name w:val="toc 6"/>
    <w:basedOn w:val="Normal"/>
    <w:next w:val="Normal"/>
    <w:autoRedefine/>
    <w:uiPriority w:val="39"/>
    <w:unhideWhenUsed/>
    <w:rsid w:val="004445B5"/>
    <w:pPr>
      <w:spacing w:after="100"/>
      <w:ind w:left="1200"/>
      <w:jc w:val="left"/>
    </w:pPr>
    <w:rPr>
      <w:rFonts w:asciiTheme="minorHAnsi" w:eastAsiaTheme="minorEastAsia" w:hAnsiTheme="minorHAnsi" w:cstheme="minorBidi"/>
      <w:sz w:val="24"/>
      <w:lang w:val="en-US"/>
    </w:rPr>
  </w:style>
  <w:style w:type="paragraph" w:styleId="TOC7">
    <w:name w:val="toc 7"/>
    <w:basedOn w:val="Normal"/>
    <w:next w:val="Normal"/>
    <w:autoRedefine/>
    <w:uiPriority w:val="39"/>
    <w:unhideWhenUsed/>
    <w:rsid w:val="004445B5"/>
    <w:pPr>
      <w:spacing w:after="100"/>
      <w:ind w:left="1440"/>
      <w:jc w:val="left"/>
    </w:pPr>
    <w:rPr>
      <w:rFonts w:asciiTheme="minorHAnsi" w:eastAsiaTheme="minorEastAsia" w:hAnsiTheme="minorHAnsi" w:cstheme="minorBidi"/>
      <w:sz w:val="24"/>
      <w:lang w:val="en-US"/>
    </w:rPr>
  </w:style>
  <w:style w:type="paragraph" w:styleId="TOC8">
    <w:name w:val="toc 8"/>
    <w:basedOn w:val="Normal"/>
    <w:next w:val="Normal"/>
    <w:autoRedefine/>
    <w:uiPriority w:val="39"/>
    <w:unhideWhenUsed/>
    <w:rsid w:val="004445B5"/>
    <w:pPr>
      <w:spacing w:after="100"/>
      <w:ind w:left="1680"/>
      <w:jc w:val="left"/>
    </w:pPr>
    <w:rPr>
      <w:rFonts w:asciiTheme="minorHAnsi" w:eastAsiaTheme="minorEastAsia" w:hAnsiTheme="minorHAnsi" w:cstheme="minorBidi"/>
      <w:sz w:val="24"/>
      <w:lang w:val="en-US"/>
    </w:rPr>
  </w:style>
  <w:style w:type="paragraph" w:styleId="TOC9">
    <w:name w:val="toc 9"/>
    <w:basedOn w:val="Normal"/>
    <w:next w:val="Normal"/>
    <w:autoRedefine/>
    <w:uiPriority w:val="39"/>
    <w:unhideWhenUsed/>
    <w:rsid w:val="004445B5"/>
    <w:pPr>
      <w:spacing w:after="100"/>
      <w:ind w:left="1920"/>
      <w:jc w:val="left"/>
    </w:pPr>
    <w:rPr>
      <w:rFonts w:asciiTheme="minorHAnsi" w:eastAsiaTheme="minorEastAsia" w:hAnsiTheme="minorHAnsi" w:cstheme="minorBidi"/>
      <w:sz w:val="24"/>
      <w:lang w:val="en-US"/>
    </w:rPr>
  </w:style>
  <w:style w:type="paragraph" w:styleId="Subtitle">
    <w:name w:val="Subtitle"/>
    <w:basedOn w:val="Normal"/>
    <w:link w:val="SubtitleChar"/>
    <w:qFormat/>
    <w:rsid w:val="00E13FA2"/>
    <w:pPr>
      <w:spacing w:before="240"/>
      <w:jc w:val="left"/>
    </w:pPr>
    <w:rPr>
      <w:rFonts w:cs="Lucida Sans Unicode"/>
      <w:b/>
      <w:bCs/>
      <w:color w:val="006600"/>
      <w:sz w:val="28"/>
    </w:rPr>
  </w:style>
  <w:style w:type="character" w:customStyle="1" w:styleId="SubtitleChar">
    <w:name w:val="Subtitle Char"/>
    <w:basedOn w:val="DefaultParagraphFont"/>
    <w:link w:val="Subtitle"/>
    <w:rsid w:val="00E13FA2"/>
    <w:rPr>
      <w:rFonts w:ascii="Arial" w:hAnsi="Arial" w:cs="Lucida Sans Unicode"/>
      <w:b/>
      <w:bCs/>
      <w:color w:val="006600"/>
      <w:sz w:val="28"/>
      <w:lang w:val="en-GB"/>
    </w:rPr>
  </w:style>
  <w:style w:type="paragraph" w:customStyle="1" w:styleId="Pa9">
    <w:name w:val="Pa9"/>
    <w:basedOn w:val="Default"/>
    <w:next w:val="Default"/>
    <w:uiPriority w:val="99"/>
    <w:rsid w:val="00E13FA2"/>
    <w:pPr>
      <w:spacing w:line="201" w:lineRule="atLeast"/>
    </w:pPr>
    <w:rPr>
      <w:rFonts w:ascii="Univers 55" w:eastAsiaTheme="minorHAnsi" w:hAnsi="Univers 55" w:cs="Times New Roman"/>
      <w:color w:val="auto"/>
      <w:lang w:val="en-GB" w:eastAsia="en-US"/>
    </w:rPr>
  </w:style>
  <w:style w:type="paragraph" w:customStyle="1" w:styleId="Pa32">
    <w:name w:val="Pa32"/>
    <w:basedOn w:val="Default"/>
    <w:next w:val="Default"/>
    <w:uiPriority w:val="99"/>
    <w:rsid w:val="00E13FA2"/>
    <w:pPr>
      <w:spacing w:line="201" w:lineRule="atLeast"/>
    </w:pPr>
    <w:rPr>
      <w:rFonts w:ascii="Univers 55" w:eastAsia="Times New Roman" w:hAnsi="Univers 55" w:cs="Times New Roman"/>
      <w:color w:val="auto"/>
      <w:lang w:val="en-GB" w:eastAsia="en-US"/>
    </w:rPr>
  </w:style>
  <w:style w:type="character" w:customStyle="1" w:styleId="A15">
    <w:name w:val="A15"/>
    <w:uiPriority w:val="99"/>
    <w:rsid w:val="00E13FA2"/>
    <w:rPr>
      <w:rFonts w:ascii="Univers 45 Light" w:hAnsi="Univers 45 Light" w:cs="Univers 45 Light"/>
      <w:b/>
      <w:bCs/>
      <w:color w:val="000000"/>
      <w:sz w:val="20"/>
      <w:szCs w:val="20"/>
      <w:u w:val="single"/>
    </w:rPr>
  </w:style>
  <w:style w:type="paragraph" w:styleId="Revision">
    <w:name w:val="Revision"/>
    <w:hidden/>
    <w:uiPriority w:val="99"/>
    <w:rsid w:val="00E13FA2"/>
    <w:rPr>
      <w:rFonts w:ascii="Arial" w:hAnsi="Arial"/>
      <w:sz w:val="22"/>
      <w:lang w:val="en-GB"/>
    </w:rPr>
  </w:style>
  <w:style w:type="paragraph" w:customStyle="1" w:styleId="Pa57">
    <w:name w:val="Pa57"/>
    <w:basedOn w:val="Default"/>
    <w:next w:val="Default"/>
    <w:uiPriority w:val="99"/>
    <w:rsid w:val="00E13FA2"/>
    <w:pPr>
      <w:spacing w:line="201" w:lineRule="atLeast"/>
    </w:pPr>
    <w:rPr>
      <w:rFonts w:ascii="Univers 55" w:eastAsiaTheme="minorHAnsi" w:hAnsi="Univers 55" w:cs="Times New Roman"/>
      <w:color w:val="auto"/>
      <w:lang w:val="en-GB" w:eastAsia="en-US"/>
    </w:rPr>
  </w:style>
  <w:style w:type="paragraph" w:customStyle="1" w:styleId="Pa33">
    <w:name w:val="Pa33"/>
    <w:basedOn w:val="Default"/>
    <w:next w:val="Default"/>
    <w:uiPriority w:val="99"/>
    <w:rsid w:val="00E13FA2"/>
    <w:pPr>
      <w:spacing w:line="201" w:lineRule="atLeast"/>
    </w:pPr>
    <w:rPr>
      <w:rFonts w:ascii="Univers 55" w:eastAsiaTheme="minorHAnsi" w:hAnsi="Univers 55" w:cs="Times New Roman"/>
      <w:color w:val="auto"/>
      <w:lang w:val="en-GB" w:eastAsia="en-US"/>
    </w:rPr>
  </w:style>
  <w:style w:type="paragraph" w:customStyle="1" w:styleId="Pa12">
    <w:name w:val="Pa12"/>
    <w:basedOn w:val="Default"/>
    <w:next w:val="Default"/>
    <w:uiPriority w:val="99"/>
    <w:rsid w:val="00E13FA2"/>
    <w:pPr>
      <w:spacing w:line="241" w:lineRule="atLeast"/>
    </w:pPr>
    <w:rPr>
      <w:rFonts w:ascii="Univers 55" w:eastAsiaTheme="minorHAnsi" w:hAnsi="Univers 55" w:cs="Times New Roman"/>
      <w:color w:val="auto"/>
      <w:lang w:val="en-GB" w:eastAsia="en-US"/>
    </w:rPr>
  </w:style>
  <w:style w:type="paragraph" w:customStyle="1" w:styleId="1brojka">
    <w:name w:val="1 brojka"/>
    <w:basedOn w:val="Normal"/>
    <w:qFormat/>
    <w:rsid w:val="00E13FA2"/>
    <w:pPr>
      <w:numPr>
        <w:numId w:val="30"/>
      </w:numPr>
      <w:spacing w:after="120"/>
    </w:pPr>
    <w:rPr>
      <w:rFonts w:cs="Arial"/>
      <w:color w:val="000000"/>
      <w:szCs w:val="22"/>
      <w:lang w:val="en-US"/>
    </w:rPr>
  </w:style>
  <w:style w:type="paragraph" w:customStyle="1" w:styleId="Pa54">
    <w:name w:val="Pa54"/>
    <w:basedOn w:val="Default"/>
    <w:next w:val="Default"/>
    <w:uiPriority w:val="99"/>
    <w:rsid w:val="00E13FA2"/>
    <w:pPr>
      <w:spacing w:line="201" w:lineRule="atLeast"/>
    </w:pPr>
    <w:rPr>
      <w:rFonts w:ascii="Univers 55" w:eastAsiaTheme="minorHAnsi" w:hAnsi="Univers 55" w:cs="Times New Roman"/>
      <w:color w:val="auto"/>
      <w:lang w:val="en-GB" w:eastAsia="en-US"/>
    </w:rPr>
  </w:style>
  <w:style w:type="paragraph" w:customStyle="1" w:styleId="Numberedparas">
    <w:name w:val="Numbered paras"/>
    <w:basedOn w:val="Normal"/>
    <w:rsid w:val="00C00C34"/>
    <w:pPr>
      <w:numPr>
        <w:numId w:val="39"/>
      </w:numPr>
      <w:spacing w:after="100"/>
    </w:pPr>
    <w:rPr>
      <w:rFonts w:ascii="Times New Roman" w:hAnsi="Times New Roman"/>
      <w:szCs w:val="22"/>
      <w:lang w:val="en-US"/>
    </w:rPr>
  </w:style>
  <w:style w:type="paragraph" w:customStyle="1" w:styleId="StyleBulleted">
    <w:name w:val="Style Bulleted"/>
    <w:basedOn w:val="Normal"/>
    <w:rsid w:val="00C00C34"/>
    <w:pPr>
      <w:numPr>
        <w:ilvl w:val="1"/>
        <w:numId w:val="39"/>
      </w:numPr>
      <w:spacing w:after="0"/>
    </w:pPr>
    <w:rPr>
      <w:rFonts w:ascii="Times New Roman" w:hAnsi="Times New Roman"/>
      <w:szCs w:val="22"/>
      <w:lang w:val="en-US"/>
    </w:rPr>
  </w:style>
  <w:style w:type="paragraph" w:customStyle="1" w:styleId="Tabletext">
    <w:name w:val="Tabletext"/>
    <w:basedOn w:val="Normal"/>
    <w:autoRedefine/>
    <w:qFormat/>
    <w:rsid w:val="00C00C34"/>
    <w:pPr>
      <w:spacing w:after="0"/>
      <w:ind w:left="144" w:hanging="144"/>
      <w:jc w:val="left"/>
    </w:pPr>
    <w:rPr>
      <w:rFonts w:ascii="Times New Roman" w:hAnsi="Times New Roman" w:cs="Calibri"/>
      <w:sz w:val="18"/>
      <w:szCs w:val="22"/>
      <w:lang w:val="en-US"/>
    </w:rPr>
  </w:style>
  <w:style w:type="table" w:styleId="MediumGrid3-Accent1">
    <w:name w:val="Medium Grid 3 Accent 1"/>
    <w:basedOn w:val="TableNormal"/>
    <w:uiPriority w:val="69"/>
    <w:rsid w:val="00C603FC"/>
    <w:rPr>
      <w:rFonts w:asciiTheme="minorHAnsi" w:eastAsiaTheme="minorEastAsia" w:hAnsiTheme="minorHAnsi" w:cstheme="minorBidi"/>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character" w:customStyle="1" w:styleId="srch-url2">
    <w:name w:val="srch-url2"/>
    <w:basedOn w:val="DefaultParagraphFont"/>
    <w:rsid w:val="00213D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0859153">
      <w:bodyDiv w:val="1"/>
      <w:marLeft w:val="0"/>
      <w:marRight w:val="0"/>
      <w:marTop w:val="0"/>
      <w:marBottom w:val="0"/>
      <w:divBdr>
        <w:top w:val="none" w:sz="0" w:space="0" w:color="auto"/>
        <w:left w:val="none" w:sz="0" w:space="0" w:color="auto"/>
        <w:bottom w:val="none" w:sz="0" w:space="0" w:color="auto"/>
        <w:right w:val="none" w:sz="0" w:space="0" w:color="auto"/>
      </w:divBdr>
      <w:divsChild>
        <w:div w:id="1741244104">
          <w:marLeft w:val="0"/>
          <w:marRight w:val="0"/>
          <w:marTop w:val="0"/>
          <w:marBottom w:val="0"/>
          <w:divBdr>
            <w:top w:val="none" w:sz="0" w:space="0" w:color="auto"/>
            <w:left w:val="none" w:sz="0" w:space="0" w:color="auto"/>
            <w:bottom w:val="none" w:sz="0" w:space="0" w:color="auto"/>
            <w:right w:val="none" w:sz="0" w:space="0" w:color="auto"/>
          </w:divBdr>
          <w:divsChild>
            <w:div w:id="511455655">
              <w:marLeft w:val="0"/>
              <w:marRight w:val="0"/>
              <w:marTop w:val="0"/>
              <w:marBottom w:val="0"/>
              <w:divBdr>
                <w:top w:val="none" w:sz="0" w:space="0" w:color="auto"/>
                <w:left w:val="none" w:sz="0" w:space="0" w:color="auto"/>
                <w:bottom w:val="none" w:sz="0" w:space="0" w:color="auto"/>
                <w:right w:val="none" w:sz="0" w:space="0" w:color="auto"/>
              </w:divBdr>
              <w:divsChild>
                <w:div w:id="2134664904">
                  <w:marLeft w:val="0"/>
                  <w:marRight w:val="0"/>
                  <w:marTop w:val="0"/>
                  <w:marBottom w:val="0"/>
                  <w:divBdr>
                    <w:top w:val="none" w:sz="0" w:space="0" w:color="auto"/>
                    <w:left w:val="none" w:sz="0" w:space="0" w:color="auto"/>
                    <w:bottom w:val="none" w:sz="0" w:space="0" w:color="auto"/>
                    <w:right w:val="none" w:sz="0" w:space="0" w:color="auto"/>
                  </w:divBdr>
                  <w:divsChild>
                    <w:div w:id="19065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46452">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63265604">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1895856">
      <w:bodyDiv w:val="1"/>
      <w:marLeft w:val="0"/>
      <w:marRight w:val="0"/>
      <w:marTop w:val="0"/>
      <w:marBottom w:val="0"/>
      <w:divBdr>
        <w:top w:val="none" w:sz="0" w:space="0" w:color="auto"/>
        <w:left w:val="none" w:sz="0" w:space="0" w:color="auto"/>
        <w:bottom w:val="none" w:sz="0" w:space="0" w:color="auto"/>
        <w:right w:val="none" w:sz="0" w:space="0" w:color="auto"/>
      </w:divBdr>
      <w:divsChild>
        <w:div w:id="375659812">
          <w:marLeft w:val="0"/>
          <w:marRight w:val="0"/>
          <w:marTop w:val="0"/>
          <w:marBottom w:val="0"/>
          <w:divBdr>
            <w:top w:val="none" w:sz="0" w:space="0" w:color="auto"/>
            <w:left w:val="none" w:sz="0" w:space="0" w:color="auto"/>
            <w:bottom w:val="none" w:sz="0" w:space="0" w:color="auto"/>
            <w:right w:val="none" w:sz="0" w:space="0" w:color="auto"/>
          </w:divBdr>
          <w:divsChild>
            <w:div w:id="994913717">
              <w:marLeft w:val="0"/>
              <w:marRight w:val="0"/>
              <w:marTop w:val="0"/>
              <w:marBottom w:val="0"/>
              <w:divBdr>
                <w:top w:val="none" w:sz="0" w:space="0" w:color="auto"/>
                <w:left w:val="none" w:sz="0" w:space="0" w:color="auto"/>
                <w:bottom w:val="none" w:sz="0" w:space="0" w:color="auto"/>
                <w:right w:val="none" w:sz="0" w:space="0" w:color="auto"/>
              </w:divBdr>
              <w:divsChild>
                <w:div w:id="1373844008">
                  <w:marLeft w:val="0"/>
                  <w:marRight w:val="0"/>
                  <w:marTop w:val="0"/>
                  <w:marBottom w:val="0"/>
                  <w:divBdr>
                    <w:top w:val="none" w:sz="0" w:space="0" w:color="auto"/>
                    <w:left w:val="none" w:sz="0" w:space="0" w:color="auto"/>
                    <w:bottom w:val="none" w:sz="0" w:space="0" w:color="auto"/>
                    <w:right w:val="none" w:sz="0" w:space="0" w:color="auto"/>
                  </w:divBdr>
                  <w:divsChild>
                    <w:div w:id="80925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20792">
      <w:bodyDiv w:val="1"/>
      <w:marLeft w:val="0"/>
      <w:marRight w:val="0"/>
      <w:marTop w:val="0"/>
      <w:marBottom w:val="0"/>
      <w:divBdr>
        <w:top w:val="none" w:sz="0" w:space="0" w:color="auto"/>
        <w:left w:val="none" w:sz="0" w:space="0" w:color="auto"/>
        <w:bottom w:val="none" w:sz="0" w:space="0" w:color="auto"/>
        <w:right w:val="none" w:sz="0" w:space="0" w:color="auto"/>
      </w:divBdr>
      <w:divsChild>
        <w:div w:id="1938440023">
          <w:marLeft w:val="0"/>
          <w:marRight w:val="0"/>
          <w:marTop w:val="0"/>
          <w:marBottom w:val="0"/>
          <w:divBdr>
            <w:top w:val="none" w:sz="0" w:space="0" w:color="auto"/>
            <w:left w:val="none" w:sz="0" w:space="0" w:color="auto"/>
            <w:bottom w:val="none" w:sz="0" w:space="0" w:color="auto"/>
            <w:right w:val="none" w:sz="0" w:space="0" w:color="auto"/>
          </w:divBdr>
          <w:divsChild>
            <w:div w:id="1339190426">
              <w:marLeft w:val="0"/>
              <w:marRight w:val="0"/>
              <w:marTop w:val="0"/>
              <w:marBottom w:val="0"/>
              <w:divBdr>
                <w:top w:val="none" w:sz="0" w:space="0" w:color="auto"/>
                <w:left w:val="none" w:sz="0" w:space="0" w:color="auto"/>
                <w:bottom w:val="none" w:sz="0" w:space="0" w:color="auto"/>
                <w:right w:val="none" w:sz="0" w:space="0" w:color="auto"/>
              </w:divBdr>
              <w:divsChild>
                <w:div w:id="18808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84713136">
      <w:bodyDiv w:val="1"/>
      <w:marLeft w:val="0"/>
      <w:marRight w:val="0"/>
      <w:marTop w:val="0"/>
      <w:marBottom w:val="0"/>
      <w:divBdr>
        <w:top w:val="none" w:sz="0" w:space="0" w:color="auto"/>
        <w:left w:val="none" w:sz="0" w:space="0" w:color="auto"/>
        <w:bottom w:val="none" w:sz="0" w:space="0" w:color="auto"/>
        <w:right w:val="none" w:sz="0" w:space="0" w:color="auto"/>
      </w:divBdr>
      <w:divsChild>
        <w:div w:id="2129354462">
          <w:marLeft w:val="0"/>
          <w:marRight w:val="0"/>
          <w:marTop w:val="0"/>
          <w:marBottom w:val="0"/>
          <w:divBdr>
            <w:top w:val="none" w:sz="0" w:space="0" w:color="auto"/>
            <w:left w:val="none" w:sz="0" w:space="0" w:color="auto"/>
            <w:bottom w:val="none" w:sz="0" w:space="0" w:color="auto"/>
            <w:right w:val="none" w:sz="0" w:space="0" w:color="auto"/>
          </w:divBdr>
          <w:divsChild>
            <w:div w:id="1608657266">
              <w:marLeft w:val="0"/>
              <w:marRight w:val="0"/>
              <w:marTop w:val="0"/>
              <w:marBottom w:val="0"/>
              <w:divBdr>
                <w:top w:val="none" w:sz="0" w:space="0" w:color="auto"/>
                <w:left w:val="none" w:sz="0" w:space="0" w:color="auto"/>
                <w:bottom w:val="none" w:sz="0" w:space="0" w:color="auto"/>
                <w:right w:val="none" w:sz="0" w:space="0" w:color="auto"/>
              </w:divBdr>
              <w:divsChild>
                <w:div w:id="373045965">
                  <w:marLeft w:val="0"/>
                  <w:marRight w:val="0"/>
                  <w:marTop w:val="0"/>
                  <w:marBottom w:val="0"/>
                  <w:divBdr>
                    <w:top w:val="none" w:sz="0" w:space="0" w:color="auto"/>
                    <w:left w:val="none" w:sz="0" w:space="0" w:color="auto"/>
                    <w:bottom w:val="none" w:sz="0" w:space="0" w:color="auto"/>
                    <w:right w:val="none" w:sz="0" w:space="0" w:color="auto"/>
                  </w:divBdr>
                  <w:divsChild>
                    <w:div w:id="30358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3124716">
      <w:bodyDiv w:val="1"/>
      <w:marLeft w:val="0"/>
      <w:marRight w:val="0"/>
      <w:marTop w:val="0"/>
      <w:marBottom w:val="0"/>
      <w:divBdr>
        <w:top w:val="none" w:sz="0" w:space="0" w:color="auto"/>
        <w:left w:val="none" w:sz="0" w:space="0" w:color="auto"/>
        <w:bottom w:val="none" w:sz="0" w:space="0" w:color="auto"/>
        <w:right w:val="none" w:sz="0" w:space="0" w:color="auto"/>
      </w:divBdr>
      <w:divsChild>
        <w:div w:id="1164516791">
          <w:marLeft w:val="0"/>
          <w:marRight w:val="0"/>
          <w:marTop w:val="0"/>
          <w:marBottom w:val="0"/>
          <w:divBdr>
            <w:top w:val="none" w:sz="0" w:space="0" w:color="auto"/>
            <w:left w:val="none" w:sz="0" w:space="0" w:color="auto"/>
            <w:bottom w:val="none" w:sz="0" w:space="0" w:color="auto"/>
            <w:right w:val="none" w:sz="0" w:space="0" w:color="auto"/>
          </w:divBdr>
          <w:divsChild>
            <w:div w:id="278490121">
              <w:marLeft w:val="0"/>
              <w:marRight w:val="0"/>
              <w:marTop w:val="0"/>
              <w:marBottom w:val="0"/>
              <w:divBdr>
                <w:top w:val="none" w:sz="0" w:space="0" w:color="auto"/>
                <w:left w:val="none" w:sz="0" w:space="0" w:color="auto"/>
                <w:bottom w:val="none" w:sz="0" w:space="0" w:color="auto"/>
                <w:right w:val="none" w:sz="0" w:space="0" w:color="auto"/>
              </w:divBdr>
              <w:divsChild>
                <w:div w:id="964309016">
                  <w:marLeft w:val="0"/>
                  <w:marRight w:val="0"/>
                  <w:marTop w:val="0"/>
                  <w:marBottom w:val="0"/>
                  <w:divBdr>
                    <w:top w:val="none" w:sz="0" w:space="0" w:color="auto"/>
                    <w:left w:val="none" w:sz="0" w:space="0" w:color="auto"/>
                    <w:bottom w:val="none" w:sz="0" w:space="0" w:color="auto"/>
                    <w:right w:val="none" w:sz="0" w:space="0" w:color="auto"/>
                  </w:divBdr>
                  <w:divsChild>
                    <w:div w:id="92688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3706468">
      <w:bodyDiv w:val="1"/>
      <w:marLeft w:val="0"/>
      <w:marRight w:val="0"/>
      <w:marTop w:val="0"/>
      <w:marBottom w:val="0"/>
      <w:divBdr>
        <w:top w:val="none" w:sz="0" w:space="0" w:color="auto"/>
        <w:left w:val="none" w:sz="0" w:space="0" w:color="auto"/>
        <w:bottom w:val="none" w:sz="0" w:space="0" w:color="auto"/>
        <w:right w:val="none" w:sz="0" w:space="0" w:color="auto"/>
      </w:divBdr>
      <w:divsChild>
        <w:div w:id="379866758">
          <w:marLeft w:val="0"/>
          <w:marRight w:val="0"/>
          <w:marTop w:val="0"/>
          <w:marBottom w:val="0"/>
          <w:divBdr>
            <w:top w:val="none" w:sz="0" w:space="0" w:color="auto"/>
            <w:left w:val="none" w:sz="0" w:space="0" w:color="auto"/>
            <w:bottom w:val="none" w:sz="0" w:space="0" w:color="auto"/>
            <w:right w:val="none" w:sz="0" w:space="0" w:color="auto"/>
          </w:divBdr>
        </w:div>
        <w:div w:id="617102499">
          <w:marLeft w:val="0"/>
          <w:marRight w:val="0"/>
          <w:marTop w:val="0"/>
          <w:marBottom w:val="0"/>
          <w:divBdr>
            <w:top w:val="none" w:sz="0" w:space="0" w:color="auto"/>
            <w:left w:val="none" w:sz="0" w:space="0" w:color="auto"/>
            <w:bottom w:val="none" w:sz="0" w:space="0" w:color="auto"/>
            <w:right w:val="none" w:sz="0" w:space="0" w:color="auto"/>
          </w:divBdr>
        </w:div>
        <w:div w:id="1547989273">
          <w:marLeft w:val="0"/>
          <w:marRight w:val="0"/>
          <w:marTop w:val="0"/>
          <w:marBottom w:val="0"/>
          <w:divBdr>
            <w:top w:val="none" w:sz="0" w:space="0" w:color="auto"/>
            <w:left w:val="none" w:sz="0" w:space="0" w:color="auto"/>
            <w:bottom w:val="none" w:sz="0" w:space="0" w:color="auto"/>
            <w:right w:val="none" w:sz="0" w:space="0" w:color="auto"/>
          </w:divBdr>
        </w:div>
        <w:div w:id="2016297555">
          <w:marLeft w:val="0"/>
          <w:marRight w:val="0"/>
          <w:marTop w:val="0"/>
          <w:marBottom w:val="0"/>
          <w:divBdr>
            <w:top w:val="none" w:sz="0" w:space="0" w:color="auto"/>
            <w:left w:val="none" w:sz="0" w:space="0" w:color="auto"/>
            <w:bottom w:val="none" w:sz="0" w:space="0" w:color="auto"/>
            <w:right w:val="none" w:sz="0" w:space="0" w:color="auto"/>
          </w:divBdr>
        </w:div>
      </w:divsChild>
    </w:div>
    <w:div w:id="25895025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00260870">
      <w:bodyDiv w:val="1"/>
      <w:marLeft w:val="0"/>
      <w:marRight w:val="0"/>
      <w:marTop w:val="0"/>
      <w:marBottom w:val="0"/>
      <w:divBdr>
        <w:top w:val="none" w:sz="0" w:space="0" w:color="auto"/>
        <w:left w:val="none" w:sz="0" w:space="0" w:color="auto"/>
        <w:bottom w:val="none" w:sz="0" w:space="0" w:color="auto"/>
        <w:right w:val="none" w:sz="0" w:space="0" w:color="auto"/>
      </w:divBdr>
    </w:div>
    <w:div w:id="601769558">
      <w:bodyDiv w:val="1"/>
      <w:marLeft w:val="0"/>
      <w:marRight w:val="0"/>
      <w:marTop w:val="0"/>
      <w:marBottom w:val="0"/>
      <w:divBdr>
        <w:top w:val="none" w:sz="0" w:space="0" w:color="auto"/>
        <w:left w:val="none" w:sz="0" w:space="0" w:color="auto"/>
        <w:bottom w:val="none" w:sz="0" w:space="0" w:color="auto"/>
        <w:right w:val="none" w:sz="0" w:space="0" w:color="auto"/>
      </w:divBdr>
      <w:divsChild>
        <w:div w:id="1898080837">
          <w:marLeft w:val="0"/>
          <w:marRight w:val="0"/>
          <w:marTop w:val="0"/>
          <w:marBottom w:val="0"/>
          <w:divBdr>
            <w:top w:val="none" w:sz="0" w:space="0" w:color="auto"/>
            <w:left w:val="none" w:sz="0" w:space="0" w:color="auto"/>
            <w:bottom w:val="none" w:sz="0" w:space="0" w:color="auto"/>
            <w:right w:val="none" w:sz="0" w:space="0" w:color="auto"/>
          </w:divBdr>
        </w:div>
        <w:div w:id="1964341054">
          <w:marLeft w:val="0"/>
          <w:marRight w:val="0"/>
          <w:marTop w:val="0"/>
          <w:marBottom w:val="0"/>
          <w:divBdr>
            <w:top w:val="none" w:sz="0" w:space="0" w:color="auto"/>
            <w:left w:val="none" w:sz="0" w:space="0" w:color="auto"/>
            <w:bottom w:val="none" w:sz="0" w:space="0" w:color="auto"/>
            <w:right w:val="none" w:sz="0" w:space="0" w:color="auto"/>
          </w:divBdr>
        </w:div>
        <w:div w:id="1969580152">
          <w:marLeft w:val="0"/>
          <w:marRight w:val="0"/>
          <w:marTop w:val="0"/>
          <w:marBottom w:val="0"/>
          <w:divBdr>
            <w:top w:val="none" w:sz="0" w:space="0" w:color="auto"/>
            <w:left w:val="none" w:sz="0" w:space="0" w:color="auto"/>
            <w:bottom w:val="none" w:sz="0" w:space="0" w:color="auto"/>
            <w:right w:val="none" w:sz="0" w:space="0" w:color="auto"/>
          </w:divBdr>
        </w:div>
      </w:divsChild>
    </w:div>
    <w:div w:id="626817924">
      <w:bodyDiv w:val="1"/>
      <w:marLeft w:val="0"/>
      <w:marRight w:val="0"/>
      <w:marTop w:val="0"/>
      <w:marBottom w:val="0"/>
      <w:divBdr>
        <w:top w:val="none" w:sz="0" w:space="0" w:color="auto"/>
        <w:left w:val="none" w:sz="0" w:space="0" w:color="auto"/>
        <w:bottom w:val="none" w:sz="0" w:space="0" w:color="auto"/>
        <w:right w:val="none" w:sz="0" w:space="0" w:color="auto"/>
      </w:divBdr>
      <w:divsChild>
        <w:div w:id="943611225">
          <w:marLeft w:val="0"/>
          <w:marRight w:val="0"/>
          <w:marTop w:val="0"/>
          <w:marBottom w:val="0"/>
          <w:divBdr>
            <w:top w:val="none" w:sz="0" w:space="0" w:color="auto"/>
            <w:left w:val="none" w:sz="0" w:space="0" w:color="auto"/>
            <w:bottom w:val="none" w:sz="0" w:space="0" w:color="auto"/>
            <w:right w:val="none" w:sz="0" w:space="0" w:color="auto"/>
          </w:divBdr>
        </w:div>
        <w:div w:id="1235706461">
          <w:marLeft w:val="0"/>
          <w:marRight w:val="0"/>
          <w:marTop w:val="0"/>
          <w:marBottom w:val="0"/>
          <w:divBdr>
            <w:top w:val="none" w:sz="0" w:space="0" w:color="auto"/>
            <w:left w:val="none" w:sz="0" w:space="0" w:color="auto"/>
            <w:bottom w:val="none" w:sz="0" w:space="0" w:color="auto"/>
            <w:right w:val="none" w:sz="0" w:space="0" w:color="auto"/>
          </w:divBdr>
        </w:div>
        <w:div w:id="1716585477">
          <w:marLeft w:val="0"/>
          <w:marRight w:val="0"/>
          <w:marTop w:val="0"/>
          <w:marBottom w:val="0"/>
          <w:divBdr>
            <w:top w:val="none" w:sz="0" w:space="0" w:color="auto"/>
            <w:left w:val="none" w:sz="0" w:space="0" w:color="auto"/>
            <w:bottom w:val="none" w:sz="0" w:space="0" w:color="auto"/>
            <w:right w:val="none" w:sz="0" w:space="0" w:color="auto"/>
          </w:divBdr>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6543228">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3548241">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7015377">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9365365">
      <w:bodyDiv w:val="1"/>
      <w:marLeft w:val="0"/>
      <w:marRight w:val="0"/>
      <w:marTop w:val="0"/>
      <w:marBottom w:val="0"/>
      <w:divBdr>
        <w:top w:val="none" w:sz="0" w:space="0" w:color="auto"/>
        <w:left w:val="none" w:sz="0" w:space="0" w:color="auto"/>
        <w:bottom w:val="none" w:sz="0" w:space="0" w:color="auto"/>
        <w:right w:val="none" w:sz="0" w:space="0" w:color="auto"/>
      </w:divBdr>
      <w:divsChild>
        <w:div w:id="1545169121">
          <w:marLeft w:val="0"/>
          <w:marRight w:val="0"/>
          <w:marTop w:val="0"/>
          <w:marBottom w:val="0"/>
          <w:divBdr>
            <w:top w:val="none" w:sz="0" w:space="0" w:color="auto"/>
            <w:left w:val="none" w:sz="0" w:space="0" w:color="auto"/>
            <w:bottom w:val="none" w:sz="0" w:space="0" w:color="auto"/>
            <w:right w:val="none" w:sz="0" w:space="0" w:color="auto"/>
          </w:divBdr>
          <w:divsChild>
            <w:div w:id="1516260660">
              <w:marLeft w:val="0"/>
              <w:marRight w:val="0"/>
              <w:marTop w:val="0"/>
              <w:marBottom w:val="0"/>
              <w:divBdr>
                <w:top w:val="none" w:sz="0" w:space="0" w:color="auto"/>
                <w:left w:val="none" w:sz="0" w:space="0" w:color="auto"/>
                <w:bottom w:val="none" w:sz="0" w:space="0" w:color="auto"/>
                <w:right w:val="none" w:sz="0" w:space="0" w:color="auto"/>
              </w:divBdr>
              <w:divsChild>
                <w:div w:id="220287141">
                  <w:marLeft w:val="0"/>
                  <w:marRight w:val="0"/>
                  <w:marTop w:val="0"/>
                  <w:marBottom w:val="0"/>
                  <w:divBdr>
                    <w:top w:val="none" w:sz="0" w:space="0" w:color="auto"/>
                    <w:left w:val="none" w:sz="0" w:space="0" w:color="auto"/>
                    <w:bottom w:val="none" w:sz="0" w:space="0" w:color="auto"/>
                    <w:right w:val="none" w:sz="0" w:space="0" w:color="auto"/>
                  </w:divBdr>
                  <w:divsChild>
                    <w:div w:id="13114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168642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0664940">
      <w:bodyDiv w:val="1"/>
      <w:marLeft w:val="0"/>
      <w:marRight w:val="0"/>
      <w:marTop w:val="0"/>
      <w:marBottom w:val="0"/>
      <w:divBdr>
        <w:top w:val="none" w:sz="0" w:space="0" w:color="auto"/>
        <w:left w:val="none" w:sz="0" w:space="0" w:color="auto"/>
        <w:bottom w:val="none" w:sz="0" w:space="0" w:color="auto"/>
        <w:right w:val="none" w:sz="0" w:space="0" w:color="auto"/>
      </w:divBdr>
      <w:divsChild>
        <w:div w:id="579411598">
          <w:marLeft w:val="0"/>
          <w:marRight w:val="0"/>
          <w:marTop w:val="0"/>
          <w:marBottom w:val="0"/>
          <w:divBdr>
            <w:top w:val="none" w:sz="0" w:space="0" w:color="auto"/>
            <w:left w:val="none" w:sz="0" w:space="0" w:color="auto"/>
            <w:bottom w:val="none" w:sz="0" w:space="0" w:color="auto"/>
            <w:right w:val="none" w:sz="0" w:space="0" w:color="auto"/>
          </w:divBdr>
          <w:divsChild>
            <w:div w:id="2079548274">
              <w:marLeft w:val="0"/>
              <w:marRight w:val="0"/>
              <w:marTop w:val="0"/>
              <w:marBottom w:val="0"/>
              <w:divBdr>
                <w:top w:val="none" w:sz="0" w:space="0" w:color="auto"/>
                <w:left w:val="none" w:sz="0" w:space="0" w:color="auto"/>
                <w:bottom w:val="none" w:sz="0" w:space="0" w:color="auto"/>
                <w:right w:val="none" w:sz="0" w:space="0" w:color="auto"/>
              </w:divBdr>
              <w:divsChild>
                <w:div w:id="160660795">
                  <w:marLeft w:val="0"/>
                  <w:marRight w:val="0"/>
                  <w:marTop w:val="0"/>
                  <w:marBottom w:val="0"/>
                  <w:divBdr>
                    <w:top w:val="none" w:sz="0" w:space="0" w:color="auto"/>
                    <w:left w:val="none" w:sz="0" w:space="0" w:color="auto"/>
                    <w:bottom w:val="none" w:sz="0" w:space="0" w:color="auto"/>
                    <w:right w:val="none" w:sz="0" w:space="0" w:color="auto"/>
                  </w:divBdr>
                  <w:divsChild>
                    <w:div w:id="49723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1395007">
      <w:bodyDiv w:val="1"/>
      <w:marLeft w:val="0"/>
      <w:marRight w:val="0"/>
      <w:marTop w:val="0"/>
      <w:marBottom w:val="0"/>
      <w:divBdr>
        <w:top w:val="none" w:sz="0" w:space="0" w:color="auto"/>
        <w:left w:val="none" w:sz="0" w:space="0" w:color="auto"/>
        <w:bottom w:val="none" w:sz="0" w:space="0" w:color="auto"/>
        <w:right w:val="none" w:sz="0" w:space="0" w:color="auto"/>
      </w:divBdr>
      <w:divsChild>
        <w:div w:id="353504873">
          <w:marLeft w:val="0"/>
          <w:marRight w:val="0"/>
          <w:marTop w:val="0"/>
          <w:marBottom w:val="0"/>
          <w:divBdr>
            <w:top w:val="none" w:sz="0" w:space="0" w:color="auto"/>
            <w:left w:val="none" w:sz="0" w:space="0" w:color="auto"/>
            <w:bottom w:val="none" w:sz="0" w:space="0" w:color="auto"/>
            <w:right w:val="none" w:sz="0" w:space="0" w:color="auto"/>
          </w:divBdr>
        </w:div>
        <w:div w:id="505827535">
          <w:marLeft w:val="0"/>
          <w:marRight w:val="0"/>
          <w:marTop w:val="0"/>
          <w:marBottom w:val="0"/>
          <w:divBdr>
            <w:top w:val="none" w:sz="0" w:space="0" w:color="auto"/>
            <w:left w:val="none" w:sz="0" w:space="0" w:color="auto"/>
            <w:bottom w:val="none" w:sz="0" w:space="0" w:color="auto"/>
            <w:right w:val="none" w:sz="0" w:space="0" w:color="auto"/>
          </w:divBdr>
        </w:div>
        <w:div w:id="616527467">
          <w:marLeft w:val="0"/>
          <w:marRight w:val="0"/>
          <w:marTop w:val="0"/>
          <w:marBottom w:val="0"/>
          <w:divBdr>
            <w:top w:val="none" w:sz="0" w:space="0" w:color="auto"/>
            <w:left w:val="none" w:sz="0" w:space="0" w:color="auto"/>
            <w:bottom w:val="none" w:sz="0" w:space="0" w:color="auto"/>
            <w:right w:val="none" w:sz="0" w:space="0" w:color="auto"/>
          </w:divBdr>
        </w:div>
        <w:div w:id="711730910">
          <w:marLeft w:val="0"/>
          <w:marRight w:val="0"/>
          <w:marTop w:val="0"/>
          <w:marBottom w:val="0"/>
          <w:divBdr>
            <w:top w:val="none" w:sz="0" w:space="0" w:color="auto"/>
            <w:left w:val="none" w:sz="0" w:space="0" w:color="auto"/>
            <w:bottom w:val="none" w:sz="0" w:space="0" w:color="auto"/>
            <w:right w:val="none" w:sz="0" w:space="0" w:color="auto"/>
          </w:divBdr>
        </w:div>
        <w:div w:id="751853455">
          <w:marLeft w:val="0"/>
          <w:marRight w:val="0"/>
          <w:marTop w:val="0"/>
          <w:marBottom w:val="0"/>
          <w:divBdr>
            <w:top w:val="none" w:sz="0" w:space="0" w:color="auto"/>
            <w:left w:val="none" w:sz="0" w:space="0" w:color="auto"/>
            <w:bottom w:val="none" w:sz="0" w:space="0" w:color="auto"/>
            <w:right w:val="none" w:sz="0" w:space="0" w:color="auto"/>
          </w:divBdr>
        </w:div>
        <w:div w:id="1378354436">
          <w:marLeft w:val="0"/>
          <w:marRight w:val="0"/>
          <w:marTop w:val="0"/>
          <w:marBottom w:val="0"/>
          <w:divBdr>
            <w:top w:val="none" w:sz="0" w:space="0" w:color="auto"/>
            <w:left w:val="none" w:sz="0" w:space="0" w:color="auto"/>
            <w:bottom w:val="none" w:sz="0" w:space="0" w:color="auto"/>
            <w:right w:val="none" w:sz="0" w:space="0" w:color="auto"/>
          </w:divBdr>
        </w:div>
        <w:div w:id="1643386243">
          <w:marLeft w:val="0"/>
          <w:marRight w:val="0"/>
          <w:marTop w:val="0"/>
          <w:marBottom w:val="0"/>
          <w:divBdr>
            <w:top w:val="none" w:sz="0" w:space="0" w:color="auto"/>
            <w:left w:val="none" w:sz="0" w:space="0" w:color="auto"/>
            <w:bottom w:val="none" w:sz="0" w:space="0" w:color="auto"/>
            <w:right w:val="none" w:sz="0" w:space="0" w:color="auto"/>
          </w:divBdr>
        </w:div>
      </w:divsChild>
    </w:div>
    <w:div w:id="111988306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0801785">
      <w:bodyDiv w:val="1"/>
      <w:marLeft w:val="0"/>
      <w:marRight w:val="0"/>
      <w:marTop w:val="0"/>
      <w:marBottom w:val="0"/>
      <w:divBdr>
        <w:top w:val="none" w:sz="0" w:space="0" w:color="auto"/>
        <w:left w:val="none" w:sz="0" w:space="0" w:color="auto"/>
        <w:bottom w:val="none" w:sz="0" w:space="0" w:color="auto"/>
        <w:right w:val="none" w:sz="0" w:space="0" w:color="auto"/>
      </w:divBdr>
      <w:divsChild>
        <w:div w:id="540438898">
          <w:marLeft w:val="0"/>
          <w:marRight w:val="0"/>
          <w:marTop w:val="0"/>
          <w:marBottom w:val="0"/>
          <w:divBdr>
            <w:top w:val="none" w:sz="0" w:space="0" w:color="auto"/>
            <w:left w:val="none" w:sz="0" w:space="0" w:color="auto"/>
            <w:bottom w:val="none" w:sz="0" w:space="0" w:color="auto"/>
            <w:right w:val="none" w:sz="0" w:space="0" w:color="auto"/>
          </w:divBdr>
        </w:div>
        <w:div w:id="655958676">
          <w:marLeft w:val="0"/>
          <w:marRight w:val="0"/>
          <w:marTop w:val="0"/>
          <w:marBottom w:val="0"/>
          <w:divBdr>
            <w:top w:val="none" w:sz="0" w:space="0" w:color="auto"/>
            <w:left w:val="none" w:sz="0" w:space="0" w:color="auto"/>
            <w:bottom w:val="none" w:sz="0" w:space="0" w:color="auto"/>
            <w:right w:val="none" w:sz="0" w:space="0" w:color="auto"/>
          </w:divBdr>
        </w:div>
        <w:div w:id="943734896">
          <w:marLeft w:val="0"/>
          <w:marRight w:val="0"/>
          <w:marTop w:val="0"/>
          <w:marBottom w:val="0"/>
          <w:divBdr>
            <w:top w:val="none" w:sz="0" w:space="0" w:color="auto"/>
            <w:left w:val="none" w:sz="0" w:space="0" w:color="auto"/>
            <w:bottom w:val="none" w:sz="0" w:space="0" w:color="auto"/>
            <w:right w:val="none" w:sz="0" w:space="0" w:color="auto"/>
          </w:divBdr>
        </w:div>
      </w:divsChild>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642595">
      <w:bodyDiv w:val="1"/>
      <w:marLeft w:val="0"/>
      <w:marRight w:val="0"/>
      <w:marTop w:val="0"/>
      <w:marBottom w:val="0"/>
      <w:divBdr>
        <w:top w:val="none" w:sz="0" w:space="0" w:color="auto"/>
        <w:left w:val="none" w:sz="0" w:space="0" w:color="auto"/>
        <w:bottom w:val="none" w:sz="0" w:space="0" w:color="auto"/>
        <w:right w:val="none" w:sz="0" w:space="0" w:color="auto"/>
      </w:divBdr>
    </w:div>
    <w:div w:id="119623723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167977">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06607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2555160">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5131381">
      <w:bodyDiv w:val="1"/>
      <w:marLeft w:val="0"/>
      <w:marRight w:val="0"/>
      <w:marTop w:val="0"/>
      <w:marBottom w:val="0"/>
      <w:divBdr>
        <w:top w:val="none" w:sz="0" w:space="0" w:color="auto"/>
        <w:left w:val="none" w:sz="0" w:space="0" w:color="auto"/>
        <w:bottom w:val="none" w:sz="0" w:space="0" w:color="auto"/>
        <w:right w:val="none" w:sz="0" w:space="0" w:color="auto"/>
      </w:divBdr>
    </w:div>
    <w:div w:id="1421180494">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0434174">
      <w:bodyDiv w:val="1"/>
      <w:marLeft w:val="0"/>
      <w:marRight w:val="0"/>
      <w:marTop w:val="0"/>
      <w:marBottom w:val="0"/>
      <w:divBdr>
        <w:top w:val="none" w:sz="0" w:space="0" w:color="auto"/>
        <w:left w:val="none" w:sz="0" w:space="0" w:color="auto"/>
        <w:bottom w:val="none" w:sz="0" w:space="0" w:color="auto"/>
        <w:right w:val="none" w:sz="0" w:space="0" w:color="auto"/>
      </w:divBdr>
      <w:divsChild>
        <w:div w:id="42602091">
          <w:marLeft w:val="0"/>
          <w:marRight w:val="0"/>
          <w:marTop w:val="0"/>
          <w:marBottom w:val="0"/>
          <w:divBdr>
            <w:top w:val="none" w:sz="0" w:space="0" w:color="auto"/>
            <w:left w:val="none" w:sz="0" w:space="0" w:color="auto"/>
            <w:bottom w:val="none" w:sz="0" w:space="0" w:color="auto"/>
            <w:right w:val="none" w:sz="0" w:space="0" w:color="auto"/>
          </w:divBdr>
        </w:div>
        <w:div w:id="572665124">
          <w:marLeft w:val="0"/>
          <w:marRight w:val="0"/>
          <w:marTop w:val="0"/>
          <w:marBottom w:val="0"/>
          <w:divBdr>
            <w:top w:val="none" w:sz="0" w:space="0" w:color="auto"/>
            <w:left w:val="none" w:sz="0" w:space="0" w:color="auto"/>
            <w:bottom w:val="none" w:sz="0" w:space="0" w:color="auto"/>
            <w:right w:val="none" w:sz="0" w:space="0" w:color="auto"/>
          </w:divBdr>
        </w:div>
        <w:div w:id="935558846">
          <w:marLeft w:val="0"/>
          <w:marRight w:val="0"/>
          <w:marTop w:val="0"/>
          <w:marBottom w:val="0"/>
          <w:divBdr>
            <w:top w:val="none" w:sz="0" w:space="0" w:color="auto"/>
            <w:left w:val="none" w:sz="0" w:space="0" w:color="auto"/>
            <w:bottom w:val="none" w:sz="0" w:space="0" w:color="auto"/>
            <w:right w:val="none" w:sz="0" w:space="0" w:color="auto"/>
          </w:divBdr>
        </w:div>
        <w:div w:id="983894765">
          <w:marLeft w:val="0"/>
          <w:marRight w:val="0"/>
          <w:marTop w:val="0"/>
          <w:marBottom w:val="0"/>
          <w:divBdr>
            <w:top w:val="none" w:sz="0" w:space="0" w:color="auto"/>
            <w:left w:val="none" w:sz="0" w:space="0" w:color="auto"/>
            <w:bottom w:val="none" w:sz="0" w:space="0" w:color="auto"/>
            <w:right w:val="none" w:sz="0" w:space="0" w:color="auto"/>
          </w:divBdr>
        </w:div>
        <w:div w:id="1098332687">
          <w:marLeft w:val="0"/>
          <w:marRight w:val="0"/>
          <w:marTop w:val="0"/>
          <w:marBottom w:val="0"/>
          <w:divBdr>
            <w:top w:val="none" w:sz="0" w:space="0" w:color="auto"/>
            <w:left w:val="none" w:sz="0" w:space="0" w:color="auto"/>
            <w:bottom w:val="none" w:sz="0" w:space="0" w:color="auto"/>
            <w:right w:val="none" w:sz="0" w:space="0" w:color="auto"/>
          </w:divBdr>
        </w:div>
        <w:div w:id="1149590818">
          <w:marLeft w:val="0"/>
          <w:marRight w:val="0"/>
          <w:marTop w:val="0"/>
          <w:marBottom w:val="0"/>
          <w:divBdr>
            <w:top w:val="none" w:sz="0" w:space="0" w:color="auto"/>
            <w:left w:val="none" w:sz="0" w:space="0" w:color="auto"/>
            <w:bottom w:val="none" w:sz="0" w:space="0" w:color="auto"/>
            <w:right w:val="none" w:sz="0" w:space="0" w:color="auto"/>
          </w:divBdr>
        </w:div>
        <w:div w:id="1607880177">
          <w:marLeft w:val="0"/>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97907275">
      <w:bodyDiv w:val="1"/>
      <w:marLeft w:val="0"/>
      <w:marRight w:val="0"/>
      <w:marTop w:val="0"/>
      <w:marBottom w:val="0"/>
      <w:divBdr>
        <w:top w:val="none" w:sz="0" w:space="0" w:color="auto"/>
        <w:left w:val="none" w:sz="0" w:space="0" w:color="auto"/>
        <w:bottom w:val="none" w:sz="0" w:space="0" w:color="auto"/>
        <w:right w:val="none" w:sz="0" w:space="0" w:color="auto"/>
      </w:divBdr>
      <w:divsChild>
        <w:div w:id="586889052">
          <w:marLeft w:val="0"/>
          <w:marRight w:val="0"/>
          <w:marTop w:val="0"/>
          <w:marBottom w:val="0"/>
          <w:divBdr>
            <w:top w:val="none" w:sz="0" w:space="0" w:color="auto"/>
            <w:left w:val="none" w:sz="0" w:space="0" w:color="auto"/>
            <w:bottom w:val="none" w:sz="0" w:space="0" w:color="auto"/>
            <w:right w:val="none" w:sz="0" w:space="0" w:color="auto"/>
          </w:divBdr>
          <w:divsChild>
            <w:div w:id="2000617973">
              <w:marLeft w:val="0"/>
              <w:marRight w:val="0"/>
              <w:marTop w:val="0"/>
              <w:marBottom w:val="0"/>
              <w:divBdr>
                <w:top w:val="none" w:sz="0" w:space="0" w:color="auto"/>
                <w:left w:val="none" w:sz="0" w:space="0" w:color="auto"/>
                <w:bottom w:val="none" w:sz="0" w:space="0" w:color="auto"/>
                <w:right w:val="none" w:sz="0" w:space="0" w:color="auto"/>
              </w:divBdr>
              <w:divsChild>
                <w:div w:id="447357420">
                  <w:marLeft w:val="0"/>
                  <w:marRight w:val="0"/>
                  <w:marTop w:val="0"/>
                  <w:marBottom w:val="0"/>
                  <w:divBdr>
                    <w:top w:val="none" w:sz="0" w:space="0" w:color="auto"/>
                    <w:left w:val="none" w:sz="0" w:space="0" w:color="auto"/>
                    <w:bottom w:val="none" w:sz="0" w:space="0" w:color="auto"/>
                    <w:right w:val="none" w:sz="0" w:space="0" w:color="auto"/>
                  </w:divBdr>
                  <w:divsChild>
                    <w:div w:id="2034649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227602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64517260">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4174979">
      <w:bodyDiv w:val="1"/>
      <w:marLeft w:val="0"/>
      <w:marRight w:val="0"/>
      <w:marTop w:val="0"/>
      <w:marBottom w:val="0"/>
      <w:divBdr>
        <w:top w:val="none" w:sz="0" w:space="0" w:color="auto"/>
        <w:left w:val="none" w:sz="0" w:space="0" w:color="auto"/>
        <w:bottom w:val="none" w:sz="0" w:space="0" w:color="auto"/>
        <w:right w:val="none" w:sz="0" w:space="0" w:color="auto"/>
      </w:divBdr>
      <w:divsChild>
        <w:div w:id="1608852912">
          <w:marLeft w:val="0"/>
          <w:marRight w:val="0"/>
          <w:marTop w:val="0"/>
          <w:marBottom w:val="0"/>
          <w:divBdr>
            <w:top w:val="none" w:sz="0" w:space="0" w:color="auto"/>
            <w:left w:val="none" w:sz="0" w:space="0" w:color="auto"/>
            <w:bottom w:val="none" w:sz="0" w:space="0" w:color="auto"/>
            <w:right w:val="none" w:sz="0" w:space="0" w:color="auto"/>
          </w:divBdr>
          <w:divsChild>
            <w:div w:id="649138300">
              <w:marLeft w:val="0"/>
              <w:marRight w:val="0"/>
              <w:marTop w:val="0"/>
              <w:marBottom w:val="0"/>
              <w:divBdr>
                <w:top w:val="none" w:sz="0" w:space="0" w:color="auto"/>
                <w:left w:val="none" w:sz="0" w:space="0" w:color="auto"/>
                <w:bottom w:val="none" w:sz="0" w:space="0" w:color="auto"/>
                <w:right w:val="none" w:sz="0" w:space="0" w:color="auto"/>
              </w:divBdr>
              <w:divsChild>
                <w:div w:id="145169047">
                  <w:marLeft w:val="0"/>
                  <w:marRight w:val="0"/>
                  <w:marTop w:val="0"/>
                  <w:marBottom w:val="0"/>
                  <w:divBdr>
                    <w:top w:val="none" w:sz="0" w:space="0" w:color="auto"/>
                    <w:left w:val="none" w:sz="0" w:space="0" w:color="auto"/>
                    <w:bottom w:val="none" w:sz="0" w:space="0" w:color="auto"/>
                    <w:right w:val="none" w:sz="0" w:space="0" w:color="auto"/>
                  </w:divBdr>
                  <w:divsChild>
                    <w:div w:id="9656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5237150">
      <w:bodyDiv w:val="1"/>
      <w:marLeft w:val="0"/>
      <w:marRight w:val="0"/>
      <w:marTop w:val="0"/>
      <w:marBottom w:val="0"/>
      <w:divBdr>
        <w:top w:val="none" w:sz="0" w:space="0" w:color="auto"/>
        <w:left w:val="none" w:sz="0" w:space="0" w:color="auto"/>
        <w:bottom w:val="none" w:sz="0" w:space="0" w:color="auto"/>
        <w:right w:val="none" w:sz="0" w:space="0" w:color="auto"/>
      </w:divBdr>
      <w:divsChild>
        <w:div w:id="26951789">
          <w:marLeft w:val="0"/>
          <w:marRight w:val="0"/>
          <w:marTop w:val="0"/>
          <w:marBottom w:val="0"/>
          <w:divBdr>
            <w:top w:val="none" w:sz="0" w:space="0" w:color="auto"/>
            <w:left w:val="none" w:sz="0" w:space="0" w:color="auto"/>
            <w:bottom w:val="none" w:sz="0" w:space="0" w:color="auto"/>
            <w:right w:val="none" w:sz="0" w:space="0" w:color="auto"/>
          </w:divBdr>
        </w:div>
        <w:div w:id="301277531">
          <w:marLeft w:val="0"/>
          <w:marRight w:val="0"/>
          <w:marTop w:val="0"/>
          <w:marBottom w:val="0"/>
          <w:divBdr>
            <w:top w:val="none" w:sz="0" w:space="0" w:color="auto"/>
            <w:left w:val="none" w:sz="0" w:space="0" w:color="auto"/>
            <w:bottom w:val="none" w:sz="0" w:space="0" w:color="auto"/>
            <w:right w:val="none" w:sz="0" w:space="0" w:color="auto"/>
          </w:divBdr>
        </w:div>
        <w:div w:id="351297094">
          <w:marLeft w:val="0"/>
          <w:marRight w:val="0"/>
          <w:marTop w:val="0"/>
          <w:marBottom w:val="0"/>
          <w:divBdr>
            <w:top w:val="none" w:sz="0" w:space="0" w:color="auto"/>
            <w:left w:val="none" w:sz="0" w:space="0" w:color="auto"/>
            <w:bottom w:val="none" w:sz="0" w:space="0" w:color="auto"/>
            <w:right w:val="none" w:sz="0" w:space="0" w:color="auto"/>
          </w:divBdr>
        </w:div>
        <w:div w:id="388114834">
          <w:marLeft w:val="0"/>
          <w:marRight w:val="0"/>
          <w:marTop w:val="0"/>
          <w:marBottom w:val="0"/>
          <w:divBdr>
            <w:top w:val="none" w:sz="0" w:space="0" w:color="auto"/>
            <w:left w:val="none" w:sz="0" w:space="0" w:color="auto"/>
            <w:bottom w:val="none" w:sz="0" w:space="0" w:color="auto"/>
            <w:right w:val="none" w:sz="0" w:space="0" w:color="auto"/>
          </w:divBdr>
        </w:div>
        <w:div w:id="654915242">
          <w:marLeft w:val="0"/>
          <w:marRight w:val="0"/>
          <w:marTop w:val="0"/>
          <w:marBottom w:val="0"/>
          <w:divBdr>
            <w:top w:val="none" w:sz="0" w:space="0" w:color="auto"/>
            <w:left w:val="none" w:sz="0" w:space="0" w:color="auto"/>
            <w:bottom w:val="none" w:sz="0" w:space="0" w:color="auto"/>
            <w:right w:val="none" w:sz="0" w:space="0" w:color="auto"/>
          </w:divBdr>
        </w:div>
        <w:div w:id="677780566">
          <w:marLeft w:val="0"/>
          <w:marRight w:val="0"/>
          <w:marTop w:val="0"/>
          <w:marBottom w:val="0"/>
          <w:divBdr>
            <w:top w:val="none" w:sz="0" w:space="0" w:color="auto"/>
            <w:left w:val="none" w:sz="0" w:space="0" w:color="auto"/>
            <w:bottom w:val="none" w:sz="0" w:space="0" w:color="auto"/>
            <w:right w:val="none" w:sz="0" w:space="0" w:color="auto"/>
          </w:divBdr>
        </w:div>
        <w:div w:id="701898458">
          <w:marLeft w:val="0"/>
          <w:marRight w:val="0"/>
          <w:marTop w:val="0"/>
          <w:marBottom w:val="0"/>
          <w:divBdr>
            <w:top w:val="none" w:sz="0" w:space="0" w:color="auto"/>
            <w:left w:val="none" w:sz="0" w:space="0" w:color="auto"/>
            <w:bottom w:val="none" w:sz="0" w:space="0" w:color="auto"/>
            <w:right w:val="none" w:sz="0" w:space="0" w:color="auto"/>
          </w:divBdr>
        </w:div>
        <w:div w:id="714351901">
          <w:marLeft w:val="0"/>
          <w:marRight w:val="0"/>
          <w:marTop w:val="0"/>
          <w:marBottom w:val="0"/>
          <w:divBdr>
            <w:top w:val="none" w:sz="0" w:space="0" w:color="auto"/>
            <w:left w:val="none" w:sz="0" w:space="0" w:color="auto"/>
            <w:bottom w:val="none" w:sz="0" w:space="0" w:color="auto"/>
            <w:right w:val="none" w:sz="0" w:space="0" w:color="auto"/>
          </w:divBdr>
        </w:div>
        <w:div w:id="813764059">
          <w:marLeft w:val="0"/>
          <w:marRight w:val="0"/>
          <w:marTop w:val="0"/>
          <w:marBottom w:val="0"/>
          <w:divBdr>
            <w:top w:val="none" w:sz="0" w:space="0" w:color="auto"/>
            <w:left w:val="none" w:sz="0" w:space="0" w:color="auto"/>
            <w:bottom w:val="none" w:sz="0" w:space="0" w:color="auto"/>
            <w:right w:val="none" w:sz="0" w:space="0" w:color="auto"/>
          </w:divBdr>
        </w:div>
        <w:div w:id="893546151">
          <w:marLeft w:val="0"/>
          <w:marRight w:val="0"/>
          <w:marTop w:val="0"/>
          <w:marBottom w:val="0"/>
          <w:divBdr>
            <w:top w:val="none" w:sz="0" w:space="0" w:color="auto"/>
            <w:left w:val="none" w:sz="0" w:space="0" w:color="auto"/>
            <w:bottom w:val="none" w:sz="0" w:space="0" w:color="auto"/>
            <w:right w:val="none" w:sz="0" w:space="0" w:color="auto"/>
          </w:divBdr>
        </w:div>
        <w:div w:id="974682201">
          <w:marLeft w:val="0"/>
          <w:marRight w:val="0"/>
          <w:marTop w:val="0"/>
          <w:marBottom w:val="0"/>
          <w:divBdr>
            <w:top w:val="none" w:sz="0" w:space="0" w:color="auto"/>
            <w:left w:val="none" w:sz="0" w:space="0" w:color="auto"/>
            <w:bottom w:val="none" w:sz="0" w:space="0" w:color="auto"/>
            <w:right w:val="none" w:sz="0" w:space="0" w:color="auto"/>
          </w:divBdr>
        </w:div>
        <w:div w:id="1117331266">
          <w:marLeft w:val="0"/>
          <w:marRight w:val="0"/>
          <w:marTop w:val="0"/>
          <w:marBottom w:val="0"/>
          <w:divBdr>
            <w:top w:val="none" w:sz="0" w:space="0" w:color="auto"/>
            <w:left w:val="none" w:sz="0" w:space="0" w:color="auto"/>
            <w:bottom w:val="none" w:sz="0" w:space="0" w:color="auto"/>
            <w:right w:val="none" w:sz="0" w:space="0" w:color="auto"/>
          </w:divBdr>
        </w:div>
        <w:div w:id="1300957114">
          <w:marLeft w:val="0"/>
          <w:marRight w:val="0"/>
          <w:marTop w:val="0"/>
          <w:marBottom w:val="0"/>
          <w:divBdr>
            <w:top w:val="none" w:sz="0" w:space="0" w:color="auto"/>
            <w:left w:val="none" w:sz="0" w:space="0" w:color="auto"/>
            <w:bottom w:val="none" w:sz="0" w:space="0" w:color="auto"/>
            <w:right w:val="none" w:sz="0" w:space="0" w:color="auto"/>
          </w:divBdr>
        </w:div>
        <w:div w:id="1440641558">
          <w:marLeft w:val="0"/>
          <w:marRight w:val="0"/>
          <w:marTop w:val="0"/>
          <w:marBottom w:val="0"/>
          <w:divBdr>
            <w:top w:val="none" w:sz="0" w:space="0" w:color="auto"/>
            <w:left w:val="none" w:sz="0" w:space="0" w:color="auto"/>
            <w:bottom w:val="none" w:sz="0" w:space="0" w:color="auto"/>
            <w:right w:val="none" w:sz="0" w:space="0" w:color="auto"/>
          </w:divBdr>
          <w:divsChild>
            <w:div w:id="974800571">
              <w:marLeft w:val="0"/>
              <w:marRight w:val="0"/>
              <w:marTop w:val="0"/>
              <w:marBottom w:val="0"/>
              <w:divBdr>
                <w:top w:val="none" w:sz="0" w:space="0" w:color="auto"/>
                <w:left w:val="none" w:sz="0" w:space="0" w:color="auto"/>
                <w:bottom w:val="none" w:sz="0" w:space="0" w:color="auto"/>
                <w:right w:val="none" w:sz="0" w:space="0" w:color="auto"/>
              </w:divBdr>
            </w:div>
            <w:div w:id="2128235934">
              <w:marLeft w:val="0"/>
              <w:marRight w:val="0"/>
              <w:marTop w:val="0"/>
              <w:marBottom w:val="0"/>
              <w:divBdr>
                <w:top w:val="none" w:sz="0" w:space="0" w:color="auto"/>
                <w:left w:val="none" w:sz="0" w:space="0" w:color="auto"/>
                <w:bottom w:val="none" w:sz="0" w:space="0" w:color="auto"/>
                <w:right w:val="none" w:sz="0" w:space="0" w:color="auto"/>
              </w:divBdr>
            </w:div>
          </w:divsChild>
        </w:div>
        <w:div w:id="1583294036">
          <w:marLeft w:val="0"/>
          <w:marRight w:val="0"/>
          <w:marTop w:val="0"/>
          <w:marBottom w:val="0"/>
          <w:divBdr>
            <w:top w:val="none" w:sz="0" w:space="0" w:color="auto"/>
            <w:left w:val="none" w:sz="0" w:space="0" w:color="auto"/>
            <w:bottom w:val="none" w:sz="0" w:space="0" w:color="auto"/>
            <w:right w:val="none" w:sz="0" w:space="0" w:color="auto"/>
          </w:divBdr>
        </w:div>
        <w:div w:id="1722745836">
          <w:marLeft w:val="0"/>
          <w:marRight w:val="0"/>
          <w:marTop w:val="0"/>
          <w:marBottom w:val="0"/>
          <w:divBdr>
            <w:top w:val="none" w:sz="0" w:space="0" w:color="auto"/>
            <w:left w:val="none" w:sz="0" w:space="0" w:color="auto"/>
            <w:bottom w:val="none" w:sz="0" w:space="0" w:color="auto"/>
            <w:right w:val="none" w:sz="0" w:space="0" w:color="auto"/>
          </w:divBdr>
        </w:div>
        <w:div w:id="1790779935">
          <w:marLeft w:val="0"/>
          <w:marRight w:val="0"/>
          <w:marTop w:val="0"/>
          <w:marBottom w:val="0"/>
          <w:divBdr>
            <w:top w:val="none" w:sz="0" w:space="0" w:color="auto"/>
            <w:left w:val="none" w:sz="0" w:space="0" w:color="auto"/>
            <w:bottom w:val="none" w:sz="0" w:space="0" w:color="auto"/>
            <w:right w:val="none" w:sz="0" w:space="0" w:color="auto"/>
          </w:divBdr>
        </w:div>
        <w:div w:id="2014645145">
          <w:marLeft w:val="0"/>
          <w:marRight w:val="0"/>
          <w:marTop w:val="0"/>
          <w:marBottom w:val="0"/>
          <w:divBdr>
            <w:top w:val="none" w:sz="0" w:space="0" w:color="auto"/>
            <w:left w:val="none" w:sz="0" w:space="0" w:color="auto"/>
            <w:bottom w:val="none" w:sz="0" w:space="0" w:color="auto"/>
            <w:right w:val="none" w:sz="0" w:space="0" w:color="auto"/>
          </w:divBdr>
        </w:div>
        <w:div w:id="2025284843">
          <w:marLeft w:val="0"/>
          <w:marRight w:val="0"/>
          <w:marTop w:val="0"/>
          <w:marBottom w:val="0"/>
          <w:divBdr>
            <w:top w:val="none" w:sz="0" w:space="0" w:color="auto"/>
            <w:left w:val="none" w:sz="0" w:space="0" w:color="auto"/>
            <w:bottom w:val="none" w:sz="0" w:space="0" w:color="auto"/>
            <w:right w:val="none" w:sz="0" w:space="0" w:color="auto"/>
          </w:divBdr>
        </w:div>
      </w:divsChild>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1184601">
      <w:bodyDiv w:val="1"/>
      <w:marLeft w:val="0"/>
      <w:marRight w:val="0"/>
      <w:marTop w:val="0"/>
      <w:marBottom w:val="0"/>
      <w:divBdr>
        <w:top w:val="none" w:sz="0" w:space="0" w:color="auto"/>
        <w:left w:val="none" w:sz="0" w:space="0" w:color="auto"/>
        <w:bottom w:val="none" w:sz="0" w:space="0" w:color="auto"/>
        <w:right w:val="none" w:sz="0" w:space="0" w:color="auto"/>
      </w:divBdr>
      <w:divsChild>
        <w:div w:id="1674068896">
          <w:marLeft w:val="0"/>
          <w:marRight w:val="0"/>
          <w:marTop w:val="0"/>
          <w:marBottom w:val="0"/>
          <w:divBdr>
            <w:top w:val="none" w:sz="0" w:space="0" w:color="auto"/>
            <w:left w:val="none" w:sz="0" w:space="0" w:color="auto"/>
            <w:bottom w:val="none" w:sz="0" w:space="0" w:color="auto"/>
            <w:right w:val="none" w:sz="0" w:space="0" w:color="auto"/>
          </w:divBdr>
          <w:divsChild>
            <w:div w:id="184633165">
              <w:marLeft w:val="0"/>
              <w:marRight w:val="0"/>
              <w:marTop w:val="0"/>
              <w:marBottom w:val="0"/>
              <w:divBdr>
                <w:top w:val="none" w:sz="0" w:space="0" w:color="auto"/>
                <w:left w:val="none" w:sz="0" w:space="0" w:color="auto"/>
                <w:bottom w:val="none" w:sz="0" w:space="0" w:color="auto"/>
                <w:right w:val="none" w:sz="0" w:space="0" w:color="auto"/>
              </w:divBdr>
              <w:divsChild>
                <w:div w:id="356197015">
                  <w:marLeft w:val="0"/>
                  <w:marRight w:val="0"/>
                  <w:marTop w:val="0"/>
                  <w:marBottom w:val="0"/>
                  <w:divBdr>
                    <w:top w:val="none" w:sz="0" w:space="0" w:color="auto"/>
                    <w:left w:val="none" w:sz="0" w:space="0" w:color="auto"/>
                    <w:bottom w:val="none" w:sz="0" w:space="0" w:color="auto"/>
                    <w:right w:val="none" w:sz="0" w:space="0" w:color="auto"/>
                  </w:divBdr>
                  <w:divsChild>
                    <w:div w:id="78882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4382021">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206156">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www.mitigationpartnership.net" TargetMode="External"/><Relationship Id="rId26" Type="http://schemas.openxmlformats.org/officeDocument/2006/relationships/hyperlink" Target="http://erc.undp.org/index.aspx?module=Intra" TargetMode="External"/><Relationship Id="rId39" Type="http://schemas.openxmlformats.org/officeDocument/2006/relationships/hyperlink" Target="http://www.un.org/Docs/sc/committees/1267/1267ListEng.htm" TargetMode="External"/><Relationship Id="rId21" Type="http://schemas.openxmlformats.org/officeDocument/2006/relationships/footer" Target="footer2.xml"/><Relationship Id="rId34" Type="http://schemas.openxmlformats.org/officeDocument/2006/relationships/hyperlink" Target="http://intra.undp.org/bdp/archive-programming-manual/docs/reference-centre/chapter6/sbaa.pdf" TargetMode="External"/><Relationship Id="rId42" Type="http://schemas.openxmlformats.org/officeDocument/2006/relationships/footer" Target="footer5.xml"/><Relationship Id="rId47"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namadatabase.org/index.php/Downloads" TargetMode="External"/><Relationship Id="rId29" Type="http://schemas.openxmlformats.org/officeDocument/2006/relationships/hyperlink" Target="http://www.thegef.org/gef/GEF_logo" TargetMode="External"/><Relationship Id="rId11" Type="http://schemas.openxmlformats.org/officeDocument/2006/relationships/chart" Target="charts/chart1.xml"/><Relationship Id="rId24" Type="http://schemas.openxmlformats.org/officeDocument/2006/relationships/footer" Target="footer4.xml"/><Relationship Id="rId32" Type="http://schemas.openxmlformats.org/officeDocument/2006/relationships/hyperlink" Target="http://intra.undp.org/coa/branding.shtml" TargetMode="External"/><Relationship Id="rId37" Type="http://schemas.openxmlformats.org/officeDocument/2006/relationships/hyperlink" Target="http://www.un.org/Docs/sc/committees/1267/1267ListEng.htm" TargetMode="External"/><Relationship Id="rId40" Type="http://schemas.openxmlformats.org/officeDocument/2006/relationships/hyperlink" Target="http://content.undp.org/go/prescriptive/Project-Management---Prescriptive-Content-Documents/download/?d_id=1266198&amp;"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namapipeline.org" TargetMode="External"/><Relationship Id="rId23" Type="http://schemas.openxmlformats.org/officeDocument/2006/relationships/footer" Target="footer3.xml"/><Relationship Id="rId28" Type="http://schemas.openxmlformats.org/officeDocument/2006/relationships/hyperlink" Target="http://intra.undp.org/branding/useOfLogo.html" TargetMode="External"/><Relationship Id="rId36" Type="http://schemas.openxmlformats.org/officeDocument/2006/relationships/hyperlink" Target="http://intra.undp.org/bdp/archive-programming-manual/docs/reference-centre/chapter6/sbaa.pdf" TargetMode="External"/><Relationship Id="rId49" Type="http://schemas.openxmlformats.org/officeDocument/2006/relationships/customXml" Target="../customXml/item4.xml"/><Relationship Id="rId10" Type="http://schemas.openxmlformats.org/officeDocument/2006/relationships/image" Target="media/image3.jpeg"/><Relationship Id="rId19" Type="http://schemas.openxmlformats.org/officeDocument/2006/relationships/hyperlink" Target="http://www.thepmr.org" TargetMode="External"/><Relationship Id="rId31" Type="http://schemas.openxmlformats.org/officeDocument/2006/relationships/hyperlink" Target="http://intra.undp.org/coa/branding.shtml" TargetMode="External"/><Relationship Id="rId44" Type="http://schemas.openxmlformats.org/officeDocument/2006/relationships/hyperlink" Target="http://www.stat.gov.kz" TargetMode="Externa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chart" Target="charts/chart2.xml"/><Relationship Id="rId22" Type="http://schemas.openxmlformats.org/officeDocument/2006/relationships/hyperlink" Target="https://intranet.undp.org/global/documents/frm/Guidance-on-Micro-capital-Grants.doc" TargetMode="External"/><Relationship Id="rId27" Type="http://schemas.openxmlformats.org/officeDocument/2006/relationships/hyperlink" Target="http://intra.undp.org/coa/branding.shtml" TargetMode="External"/><Relationship Id="rId30" Type="http://schemas.openxmlformats.org/officeDocument/2006/relationships/hyperlink" Target="http://www.thegef.org/gef/GEF_logo" TargetMode="External"/><Relationship Id="rId35" Type="http://schemas.openxmlformats.org/officeDocument/2006/relationships/hyperlink" Target="http://www.un.org/Docs/sc/committees/1267/1267ListEng.htm" TargetMode="External"/><Relationship Id="rId43" Type="http://schemas.openxmlformats.org/officeDocument/2006/relationships/image" Target="media/image6.png"/><Relationship Id="rId48" Type="http://schemas.openxmlformats.org/officeDocument/2006/relationships/customXml" Target="../customXml/item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hyperlink" Target="http://www.namapartnership.org" TargetMode="External"/><Relationship Id="rId25" Type="http://schemas.openxmlformats.org/officeDocument/2006/relationships/hyperlink" Target="http://erc.undp.org/index.aspx?module=Intra" TargetMode="External"/><Relationship Id="rId33" Type="http://schemas.openxmlformats.org/officeDocument/2006/relationships/hyperlink" Target="http://www.thegef.org/gef/sites/thegef.org/files/documents/C.40.08_Branding_the_GEF%20final_0.pdf" TargetMode="External"/><Relationship Id="rId38" Type="http://schemas.openxmlformats.org/officeDocument/2006/relationships/hyperlink" Target="http://intra.undp.org/bdp/archive-programming-manual/docs/reference-centre/chapter6/sbaa.pdf" TargetMode="External"/><Relationship Id="rId46" Type="http://schemas.openxmlformats.org/officeDocument/2006/relationships/theme" Target="theme/theme1.xml"/><Relationship Id="rId20" Type="http://schemas.openxmlformats.org/officeDocument/2006/relationships/footer" Target="footer1.xm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s>
</file>

<file path=word/charts/_rels/chart1.xml.rels><?xml version="1.0" encoding="UTF-8" standalone="yes"?>
<Relationships xmlns="http://schemas.openxmlformats.org/package/2006/relationships"><Relationship Id="rId1" Type="http://schemas.openxmlformats.org/officeDocument/2006/relationships/oleObject" Target="file:///C:\a_MyDocs\bGEF\Kazakh\GHG.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a_MyDocs\aProjects\Kazakh\GHG%20NEW.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Projections!$A$38</c:f>
              <c:strCache>
                <c:ptCount val="1"/>
                <c:pt idx="0">
                  <c:v>power and heat, MtCO2</c:v>
                </c:pt>
              </c:strCache>
            </c:strRef>
          </c:tx>
          <c:invertIfNegative val="0"/>
          <c:cat>
            <c:numRef>
              <c:f>Projections!$B$1:$G$1</c:f>
              <c:numCache>
                <c:formatCode>General</c:formatCode>
                <c:ptCount val="6"/>
                <c:pt idx="0">
                  <c:v>1990</c:v>
                </c:pt>
                <c:pt idx="1">
                  <c:v>1995</c:v>
                </c:pt>
                <c:pt idx="2">
                  <c:v>2000</c:v>
                </c:pt>
                <c:pt idx="3">
                  <c:v>2005</c:v>
                </c:pt>
                <c:pt idx="4">
                  <c:v>2009</c:v>
                </c:pt>
                <c:pt idx="5">
                  <c:v>2012</c:v>
                </c:pt>
              </c:numCache>
            </c:numRef>
          </c:cat>
          <c:val>
            <c:numRef>
              <c:f>Projections!$B$38:$G$38</c:f>
              <c:numCache>
                <c:formatCode>0</c:formatCode>
                <c:ptCount val="6"/>
                <c:pt idx="0">
                  <c:v>109.69596648988841</c:v>
                </c:pt>
                <c:pt idx="1">
                  <c:v>82.257006863940973</c:v>
                </c:pt>
                <c:pt idx="2">
                  <c:v>58.157279341793803</c:v>
                </c:pt>
                <c:pt idx="3">
                  <c:v>67.983021129799113</c:v>
                </c:pt>
                <c:pt idx="4">
                  <c:v>78.494504320914899</c:v>
                </c:pt>
                <c:pt idx="5">
                  <c:v>92.010679056872902</c:v>
                </c:pt>
              </c:numCache>
            </c:numRef>
          </c:val>
        </c:ser>
        <c:ser>
          <c:idx val="1"/>
          <c:order val="1"/>
          <c:tx>
            <c:strRef>
              <c:f>Projections!$A$39</c:f>
              <c:strCache>
                <c:ptCount val="1"/>
                <c:pt idx="0">
                  <c:v>buildings, MtCO2</c:v>
                </c:pt>
              </c:strCache>
            </c:strRef>
          </c:tx>
          <c:invertIfNegative val="0"/>
          <c:cat>
            <c:numRef>
              <c:f>Projections!$B$1:$G$1</c:f>
              <c:numCache>
                <c:formatCode>General</c:formatCode>
                <c:ptCount val="6"/>
                <c:pt idx="0">
                  <c:v>1990</c:v>
                </c:pt>
                <c:pt idx="1">
                  <c:v>1995</c:v>
                </c:pt>
                <c:pt idx="2">
                  <c:v>2000</c:v>
                </c:pt>
                <c:pt idx="3">
                  <c:v>2005</c:v>
                </c:pt>
                <c:pt idx="4">
                  <c:v>2009</c:v>
                </c:pt>
                <c:pt idx="5">
                  <c:v>2012</c:v>
                </c:pt>
              </c:numCache>
            </c:numRef>
          </c:cat>
          <c:val>
            <c:numRef>
              <c:f>Projections!$B$39:$G$39</c:f>
              <c:numCache>
                <c:formatCode>0</c:formatCode>
                <c:ptCount val="6"/>
                <c:pt idx="0">
                  <c:v>45.984452237121062</c:v>
                </c:pt>
                <c:pt idx="1">
                  <c:v>23.647182753660289</c:v>
                </c:pt>
                <c:pt idx="2">
                  <c:v>6.657356043243615</c:v>
                </c:pt>
                <c:pt idx="3">
                  <c:v>9.0116928500547253</c:v>
                </c:pt>
                <c:pt idx="4">
                  <c:v>11.61458906459362</c:v>
                </c:pt>
                <c:pt idx="5">
                  <c:v>13.50443410137308</c:v>
                </c:pt>
              </c:numCache>
            </c:numRef>
          </c:val>
        </c:ser>
        <c:ser>
          <c:idx val="2"/>
          <c:order val="2"/>
          <c:tx>
            <c:strRef>
              <c:f>Projections!$A$40</c:f>
              <c:strCache>
                <c:ptCount val="1"/>
                <c:pt idx="0">
                  <c:v>transport, MtCO2</c:v>
                </c:pt>
              </c:strCache>
            </c:strRef>
          </c:tx>
          <c:invertIfNegative val="0"/>
          <c:cat>
            <c:numRef>
              <c:f>Projections!$B$1:$G$1</c:f>
              <c:numCache>
                <c:formatCode>General</c:formatCode>
                <c:ptCount val="6"/>
                <c:pt idx="0">
                  <c:v>1990</c:v>
                </c:pt>
                <c:pt idx="1">
                  <c:v>1995</c:v>
                </c:pt>
                <c:pt idx="2">
                  <c:v>2000</c:v>
                </c:pt>
                <c:pt idx="3">
                  <c:v>2005</c:v>
                </c:pt>
                <c:pt idx="4">
                  <c:v>2009</c:v>
                </c:pt>
                <c:pt idx="5">
                  <c:v>2012</c:v>
                </c:pt>
              </c:numCache>
            </c:numRef>
          </c:cat>
          <c:val>
            <c:numRef>
              <c:f>Projections!$B$40:$G$40</c:f>
              <c:numCache>
                <c:formatCode>0</c:formatCode>
                <c:ptCount val="6"/>
                <c:pt idx="0">
                  <c:v>16.76021803289969</c:v>
                </c:pt>
                <c:pt idx="1">
                  <c:v>7.1016910476055326</c:v>
                </c:pt>
                <c:pt idx="2">
                  <c:v>6.3584722649982046</c:v>
                </c:pt>
                <c:pt idx="3">
                  <c:v>11.80180563637848</c:v>
                </c:pt>
                <c:pt idx="4">
                  <c:v>15.672339878100029</c:v>
                </c:pt>
                <c:pt idx="5">
                  <c:v>19.75922454775662</c:v>
                </c:pt>
              </c:numCache>
            </c:numRef>
          </c:val>
        </c:ser>
        <c:ser>
          <c:idx val="3"/>
          <c:order val="3"/>
          <c:tx>
            <c:strRef>
              <c:f>Projections!$A$41</c:f>
              <c:strCache>
                <c:ptCount val="1"/>
                <c:pt idx="0">
                  <c:v>waste, MtCO2</c:v>
                </c:pt>
              </c:strCache>
            </c:strRef>
          </c:tx>
          <c:invertIfNegative val="0"/>
          <c:cat>
            <c:numRef>
              <c:f>Projections!$B$1:$G$1</c:f>
              <c:numCache>
                <c:formatCode>General</c:formatCode>
                <c:ptCount val="6"/>
                <c:pt idx="0">
                  <c:v>1990</c:v>
                </c:pt>
                <c:pt idx="1">
                  <c:v>1995</c:v>
                </c:pt>
                <c:pt idx="2">
                  <c:v>2000</c:v>
                </c:pt>
                <c:pt idx="3">
                  <c:v>2005</c:v>
                </c:pt>
                <c:pt idx="4">
                  <c:v>2009</c:v>
                </c:pt>
                <c:pt idx="5">
                  <c:v>2012</c:v>
                </c:pt>
              </c:numCache>
            </c:numRef>
          </c:cat>
          <c:val>
            <c:numRef>
              <c:f>Projections!$B$41:$G$41</c:f>
              <c:numCache>
                <c:formatCode>0</c:formatCode>
                <c:ptCount val="6"/>
                <c:pt idx="0">
                  <c:v>2.153412579580019</c:v>
                </c:pt>
                <c:pt idx="1">
                  <c:v>2.5832206883785842</c:v>
                </c:pt>
                <c:pt idx="2">
                  <c:v>2.7799025224051528</c:v>
                </c:pt>
                <c:pt idx="3">
                  <c:v>3.008809425998233</c:v>
                </c:pt>
                <c:pt idx="4">
                  <c:v>3.2577464296602181</c:v>
                </c:pt>
                <c:pt idx="5">
                  <c:v>3.489514448398416</c:v>
                </c:pt>
              </c:numCache>
            </c:numRef>
          </c:val>
        </c:ser>
        <c:dLbls>
          <c:showLegendKey val="0"/>
          <c:showVal val="0"/>
          <c:showCatName val="0"/>
          <c:showSerName val="0"/>
          <c:showPercent val="0"/>
          <c:showBubbleSize val="0"/>
        </c:dLbls>
        <c:gapWidth val="150"/>
        <c:overlap val="100"/>
        <c:axId val="360210480"/>
        <c:axId val="360211040"/>
      </c:barChart>
      <c:catAx>
        <c:axId val="360210480"/>
        <c:scaling>
          <c:orientation val="minMax"/>
        </c:scaling>
        <c:delete val="0"/>
        <c:axPos val="b"/>
        <c:numFmt formatCode="General" sourceLinked="1"/>
        <c:majorTickMark val="out"/>
        <c:minorTickMark val="none"/>
        <c:tickLblPos val="nextTo"/>
        <c:crossAx val="360211040"/>
        <c:crosses val="autoZero"/>
        <c:auto val="1"/>
        <c:lblAlgn val="ctr"/>
        <c:lblOffset val="100"/>
        <c:noMultiLvlLbl val="0"/>
      </c:catAx>
      <c:valAx>
        <c:axId val="360211040"/>
        <c:scaling>
          <c:orientation val="minMax"/>
        </c:scaling>
        <c:delete val="0"/>
        <c:axPos val="l"/>
        <c:majorGridlines/>
        <c:numFmt formatCode="0" sourceLinked="1"/>
        <c:majorTickMark val="out"/>
        <c:minorTickMark val="none"/>
        <c:tickLblPos val="nextTo"/>
        <c:crossAx val="36021048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stacked"/>
        <c:varyColors val="0"/>
        <c:ser>
          <c:idx val="0"/>
          <c:order val="0"/>
          <c:tx>
            <c:strRef>
              <c:f>'GHG base sectors'!$AS$1:$AS$4</c:f>
              <c:strCache>
                <c:ptCount val="1"/>
                <c:pt idx="0">
                  <c:v>Residential</c:v>
                </c:pt>
              </c:strCache>
            </c:strRef>
          </c:tx>
          <c:invertIfNegative val="0"/>
          <c:cat>
            <c:strRef>
              <c:f>('GHG base sectors'!$AR$5,'GHG base sectors'!$AR$7:$AR$8,'GHG base sectors'!$AR$10,'GHG base sectors'!$AR$13:$AR$15)</c:f>
              <c:strCache>
                <c:ptCount val="7"/>
                <c:pt idx="0">
                  <c:v>Aktau</c:v>
                </c:pt>
                <c:pt idx="1">
                  <c:v>Almaty</c:v>
                </c:pt>
                <c:pt idx="2">
                  <c:v>Astana</c:v>
                </c:pt>
                <c:pt idx="3">
                  <c:v>Karaganda</c:v>
                </c:pt>
                <c:pt idx="4">
                  <c:v>Kyzylorda</c:v>
                </c:pt>
                <c:pt idx="5">
                  <c:v>Pavlodar</c:v>
                </c:pt>
                <c:pt idx="6">
                  <c:v>Semey</c:v>
                </c:pt>
              </c:strCache>
            </c:strRef>
          </c:cat>
          <c:val>
            <c:numRef>
              <c:f>('GHG base sectors'!$AS$5,'GHG base sectors'!$AS$7:$AS$8,'GHG base sectors'!$AS$10,'GHG base sectors'!$AS$13:$AS$15)</c:f>
              <c:numCache>
                <c:formatCode>#,##0</c:formatCode>
                <c:ptCount val="7"/>
                <c:pt idx="0">
                  <c:v>401235.99111589009</c:v>
                </c:pt>
                <c:pt idx="1">
                  <c:v>2612662.2784669199</c:v>
                </c:pt>
                <c:pt idx="2">
                  <c:v>1904571.1607289701</c:v>
                </c:pt>
                <c:pt idx="3">
                  <c:v>1619654.75236117</c:v>
                </c:pt>
                <c:pt idx="4">
                  <c:v>332561.80186246079</c:v>
                </c:pt>
                <c:pt idx="5">
                  <c:v>828436.0714666025</c:v>
                </c:pt>
                <c:pt idx="6">
                  <c:v>394148.78308774298</c:v>
                </c:pt>
              </c:numCache>
            </c:numRef>
          </c:val>
        </c:ser>
        <c:ser>
          <c:idx val="5"/>
          <c:order val="1"/>
          <c:tx>
            <c:strRef>
              <c:f>'GHG base sectors'!$AV$1:$AV$4</c:f>
              <c:strCache>
                <c:ptCount val="1"/>
                <c:pt idx="0">
                  <c:v>Transport</c:v>
                </c:pt>
              </c:strCache>
            </c:strRef>
          </c:tx>
          <c:invertIfNegative val="0"/>
          <c:cat>
            <c:strRef>
              <c:f>('GHG base sectors'!$AR$5,'GHG base sectors'!$AR$7:$AR$8,'GHG base sectors'!$AR$10,'GHG base sectors'!$AR$13:$AR$15)</c:f>
              <c:strCache>
                <c:ptCount val="7"/>
                <c:pt idx="0">
                  <c:v>Aktau</c:v>
                </c:pt>
                <c:pt idx="1">
                  <c:v>Almaty</c:v>
                </c:pt>
                <c:pt idx="2">
                  <c:v>Astana</c:v>
                </c:pt>
                <c:pt idx="3">
                  <c:v>Karaganda</c:v>
                </c:pt>
                <c:pt idx="4">
                  <c:v>Kyzylorda</c:v>
                </c:pt>
                <c:pt idx="5">
                  <c:v>Pavlodar</c:v>
                </c:pt>
                <c:pt idx="6">
                  <c:v>Semey</c:v>
                </c:pt>
              </c:strCache>
            </c:strRef>
          </c:cat>
          <c:val>
            <c:numRef>
              <c:f>('GHG base sectors'!$AV$5,'GHG base sectors'!$AV$7:$AV$8,'GHG base sectors'!$AV$10,'GHG base sectors'!$AV$13:$AV$15)</c:f>
              <c:numCache>
                <c:formatCode>#,##0</c:formatCode>
                <c:ptCount val="7"/>
                <c:pt idx="0">
                  <c:v>452005.0763249739</c:v>
                </c:pt>
                <c:pt idx="1">
                  <c:v>3320858.9614096601</c:v>
                </c:pt>
                <c:pt idx="2">
                  <c:v>1806410.37303507</c:v>
                </c:pt>
                <c:pt idx="3">
                  <c:v>762490.21067016397</c:v>
                </c:pt>
                <c:pt idx="4">
                  <c:v>806593.22543084749</c:v>
                </c:pt>
                <c:pt idx="5">
                  <c:v>779927.22787457146</c:v>
                </c:pt>
                <c:pt idx="6">
                  <c:v>1209347.1667281799</c:v>
                </c:pt>
              </c:numCache>
            </c:numRef>
          </c:val>
        </c:ser>
        <c:ser>
          <c:idx val="8"/>
          <c:order val="2"/>
          <c:tx>
            <c:strRef>
              <c:f>'GHG base sectors'!$AW$1:$AW$4</c:f>
              <c:strCache>
                <c:ptCount val="1"/>
                <c:pt idx="0">
                  <c:v>MSW</c:v>
                </c:pt>
              </c:strCache>
            </c:strRef>
          </c:tx>
          <c:invertIfNegative val="0"/>
          <c:cat>
            <c:strRef>
              <c:f>('GHG base sectors'!$AR$5,'GHG base sectors'!$AR$7:$AR$8,'GHG base sectors'!$AR$10,'GHG base sectors'!$AR$13:$AR$15)</c:f>
              <c:strCache>
                <c:ptCount val="7"/>
                <c:pt idx="0">
                  <c:v>Aktau</c:v>
                </c:pt>
                <c:pt idx="1">
                  <c:v>Almaty</c:v>
                </c:pt>
                <c:pt idx="2">
                  <c:v>Astana</c:v>
                </c:pt>
                <c:pt idx="3">
                  <c:v>Karaganda</c:v>
                </c:pt>
                <c:pt idx="4">
                  <c:v>Kyzylorda</c:v>
                </c:pt>
                <c:pt idx="5">
                  <c:v>Pavlodar</c:v>
                </c:pt>
                <c:pt idx="6">
                  <c:v>Semey</c:v>
                </c:pt>
              </c:strCache>
            </c:strRef>
          </c:cat>
          <c:val>
            <c:numRef>
              <c:f>('GHG base sectors'!$AW$5,'GHG base sectors'!$AW$7:$AW$8,'GHG base sectors'!$AW$10,'GHG base sectors'!$AW$13:$AW$15)</c:f>
              <c:numCache>
                <c:formatCode>#,##0</c:formatCode>
                <c:ptCount val="7"/>
                <c:pt idx="0">
                  <c:v>80902.482371761376</c:v>
                </c:pt>
                <c:pt idx="1">
                  <c:v>641000</c:v>
                </c:pt>
                <c:pt idx="2">
                  <c:v>359000</c:v>
                </c:pt>
                <c:pt idx="3">
                  <c:v>214637.675872678</c:v>
                </c:pt>
                <c:pt idx="4">
                  <c:v>93055.300356852327</c:v>
                </c:pt>
                <c:pt idx="5">
                  <c:v>145778.27646200149</c:v>
                </c:pt>
                <c:pt idx="6">
                  <c:v>138693.87289180359</c:v>
                </c:pt>
              </c:numCache>
            </c:numRef>
          </c:val>
        </c:ser>
        <c:ser>
          <c:idx val="2"/>
          <c:order val="3"/>
          <c:tx>
            <c:strRef>
              <c:f>'GHG base sectors'!$AT$1:$AT$4</c:f>
              <c:strCache>
                <c:ptCount val="1"/>
                <c:pt idx="0">
                  <c:v>Public/commerc. 
services</c:v>
                </c:pt>
              </c:strCache>
            </c:strRef>
          </c:tx>
          <c:invertIfNegative val="0"/>
          <c:cat>
            <c:strRef>
              <c:f>('GHG base sectors'!$AR$5,'GHG base sectors'!$AR$7:$AR$8,'GHG base sectors'!$AR$10,'GHG base sectors'!$AR$13:$AR$15)</c:f>
              <c:strCache>
                <c:ptCount val="7"/>
                <c:pt idx="0">
                  <c:v>Aktau</c:v>
                </c:pt>
                <c:pt idx="1">
                  <c:v>Almaty</c:v>
                </c:pt>
                <c:pt idx="2">
                  <c:v>Astana</c:v>
                </c:pt>
                <c:pt idx="3">
                  <c:v>Karaganda</c:v>
                </c:pt>
                <c:pt idx="4">
                  <c:v>Kyzylorda</c:v>
                </c:pt>
                <c:pt idx="5">
                  <c:v>Pavlodar</c:v>
                </c:pt>
                <c:pt idx="6">
                  <c:v>Semey</c:v>
                </c:pt>
              </c:strCache>
            </c:strRef>
          </c:cat>
          <c:val>
            <c:numRef>
              <c:f>('GHG base sectors'!$AT$5,'GHG base sectors'!$AT$7:$AT$8,'GHG base sectors'!$AT$10,'GHG base sectors'!$AT$13:$AT$15)</c:f>
              <c:numCache>
                <c:formatCode>#,##0</c:formatCode>
                <c:ptCount val="7"/>
                <c:pt idx="0">
                  <c:v>743612.32892794302</c:v>
                </c:pt>
                <c:pt idx="1">
                  <c:v>2692555.4216604</c:v>
                </c:pt>
                <c:pt idx="2">
                  <c:v>1914858.54650603</c:v>
                </c:pt>
                <c:pt idx="3">
                  <c:v>2764320.8911456298</c:v>
                </c:pt>
                <c:pt idx="4">
                  <c:v>249192.63017346009</c:v>
                </c:pt>
                <c:pt idx="5">
                  <c:v>4654166.1563616404</c:v>
                </c:pt>
                <c:pt idx="6">
                  <c:v>1913029.5656649901</c:v>
                </c:pt>
              </c:numCache>
            </c:numRef>
          </c:val>
        </c:ser>
        <c:ser>
          <c:idx val="3"/>
          <c:order val="4"/>
          <c:tx>
            <c:strRef>
              <c:f>'GHG base sectors'!$AU$1:$AU$4</c:f>
              <c:strCache>
                <c:ptCount val="1"/>
                <c:pt idx="0">
                  <c:v>Industry</c:v>
                </c:pt>
              </c:strCache>
            </c:strRef>
          </c:tx>
          <c:invertIfNegative val="0"/>
          <c:cat>
            <c:strRef>
              <c:f>('GHG base sectors'!$AR$5,'GHG base sectors'!$AR$7:$AR$8,'GHG base sectors'!$AR$10,'GHG base sectors'!$AR$13:$AR$15)</c:f>
              <c:strCache>
                <c:ptCount val="7"/>
                <c:pt idx="0">
                  <c:v>Aktau</c:v>
                </c:pt>
                <c:pt idx="1">
                  <c:v>Almaty</c:v>
                </c:pt>
                <c:pt idx="2">
                  <c:v>Astana</c:v>
                </c:pt>
                <c:pt idx="3">
                  <c:v>Karaganda</c:v>
                </c:pt>
                <c:pt idx="4">
                  <c:v>Kyzylorda</c:v>
                </c:pt>
                <c:pt idx="5">
                  <c:v>Pavlodar</c:v>
                </c:pt>
                <c:pt idx="6">
                  <c:v>Semey</c:v>
                </c:pt>
              </c:strCache>
            </c:strRef>
          </c:cat>
          <c:val>
            <c:numRef>
              <c:f>('GHG base sectors'!$AU$5,'GHG base sectors'!$AU$7:$AU$8,'GHG base sectors'!$AU$10,'GHG base sectors'!$AU$13:$AU$15)</c:f>
              <c:numCache>
                <c:formatCode>#,##0</c:formatCode>
                <c:ptCount val="7"/>
                <c:pt idx="0">
                  <c:v>1105071.76158064</c:v>
                </c:pt>
                <c:pt idx="1">
                  <c:v>2140773.6800000002</c:v>
                </c:pt>
                <c:pt idx="2">
                  <c:v>1661659.3536</c:v>
                </c:pt>
                <c:pt idx="3">
                  <c:v>5442323.7795384498</c:v>
                </c:pt>
                <c:pt idx="4">
                  <c:v>1196523.5587931799</c:v>
                </c:pt>
                <c:pt idx="5">
                  <c:v>4546599.1028419798</c:v>
                </c:pt>
                <c:pt idx="6">
                  <c:v>1613385.1025064299</c:v>
                </c:pt>
              </c:numCache>
            </c:numRef>
          </c:val>
        </c:ser>
        <c:dLbls>
          <c:showLegendKey val="0"/>
          <c:showVal val="0"/>
          <c:showCatName val="0"/>
          <c:showSerName val="0"/>
          <c:showPercent val="0"/>
          <c:showBubbleSize val="0"/>
        </c:dLbls>
        <c:gapWidth val="150"/>
        <c:overlap val="100"/>
        <c:axId val="360216080"/>
        <c:axId val="360216640"/>
      </c:barChart>
      <c:catAx>
        <c:axId val="360216080"/>
        <c:scaling>
          <c:orientation val="minMax"/>
        </c:scaling>
        <c:delete val="0"/>
        <c:axPos val="b"/>
        <c:numFmt formatCode="General" sourceLinked="0"/>
        <c:majorTickMark val="out"/>
        <c:minorTickMark val="none"/>
        <c:tickLblPos val="nextTo"/>
        <c:crossAx val="360216640"/>
        <c:crosses val="autoZero"/>
        <c:auto val="1"/>
        <c:lblAlgn val="ctr"/>
        <c:lblOffset val="100"/>
        <c:noMultiLvlLbl val="0"/>
      </c:catAx>
      <c:valAx>
        <c:axId val="360216640"/>
        <c:scaling>
          <c:orientation val="minMax"/>
        </c:scaling>
        <c:delete val="0"/>
        <c:axPos val="l"/>
        <c:majorGridlines/>
        <c:title>
          <c:tx>
            <c:rich>
              <a:bodyPr rot="-5400000" vert="horz"/>
              <a:lstStyle/>
              <a:p>
                <a:pPr>
                  <a:defRPr/>
                </a:pPr>
                <a:r>
                  <a:rPr lang="en-US"/>
                  <a:t>MtCO2/year</a:t>
                </a:r>
              </a:p>
            </c:rich>
          </c:tx>
          <c:overlay val="0"/>
        </c:title>
        <c:numFmt formatCode="#,##0" sourceLinked="1"/>
        <c:majorTickMark val="out"/>
        <c:minorTickMark val="none"/>
        <c:tickLblPos val="nextTo"/>
        <c:crossAx val="360216080"/>
        <c:crosses val="autoZero"/>
        <c:crossBetween val="between"/>
      </c:valAx>
    </c:plotArea>
    <c:legend>
      <c:legendPos val="r"/>
      <c:overlay val="0"/>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90022CE-EADB-49A4-8E62-9194B5843778}">
  <ds:schemaRefs>
    <ds:schemaRef ds:uri="http://schemas.openxmlformats.org/officeDocument/2006/bibliography"/>
  </ds:schemaRefs>
</ds:datastoreItem>
</file>

<file path=customXml/itemProps2.xml><?xml version="1.0" encoding="utf-8"?>
<ds:datastoreItem xmlns:ds="http://schemas.openxmlformats.org/officeDocument/2006/customXml" ds:itemID="{76C9816A-78F3-40F5-AA88-635E43A00743}"/>
</file>

<file path=customXml/itemProps3.xml><?xml version="1.0" encoding="utf-8"?>
<ds:datastoreItem xmlns:ds="http://schemas.openxmlformats.org/officeDocument/2006/customXml" ds:itemID="{EE6EB28B-1031-433A-8A7B-B656F760EE21}"/>
</file>

<file path=customXml/itemProps4.xml><?xml version="1.0" encoding="utf-8"?>
<ds:datastoreItem xmlns:ds="http://schemas.openxmlformats.org/officeDocument/2006/customXml" ds:itemID="{2D832188-34B3-4D7F-BF0B-209AD218D7D5}"/>
</file>

<file path=docProps/app.xml><?xml version="1.0" encoding="utf-8"?>
<Properties xmlns="http://schemas.openxmlformats.org/officeDocument/2006/extended-properties" xmlns:vt="http://schemas.openxmlformats.org/officeDocument/2006/docPropsVTypes">
  <Template>Normal.dotm</Template>
  <TotalTime>0</TotalTime>
  <Pages>110</Pages>
  <Words>40420</Words>
  <Characters>230399</Characters>
  <Application>Microsoft Office Word</Application>
  <DocSecurity>4</DocSecurity>
  <Lines>1919</Lines>
  <Paragraphs>540</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270279</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creator>Grant Ballard-Tremeer</dc:creator>
  <cp:lastModifiedBy>Melissa Hernandez</cp:lastModifiedBy>
  <cp:revision>2</cp:revision>
  <cp:lastPrinted>2014-07-09T08:37:00Z</cp:lastPrinted>
  <dcterms:created xsi:type="dcterms:W3CDTF">2014-08-25T20:46:00Z</dcterms:created>
  <dcterms:modified xsi:type="dcterms:W3CDTF">2014-08-25T20:46:00Z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